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CC6" w:rsidRPr="00280F86" w:rsidRDefault="00E25CC6" w:rsidP="00243370">
      <w:pPr>
        <w:pBdr>
          <w:bottom w:val="single" w:sz="12" w:space="0" w:color="auto"/>
        </w:pBdr>
        <w:spacing w:before="1560"/>
        <w:jc w:val="center"/>
        <w:rPr>
          <w:rFonts w:ascii="Calibri" w:hAnsi="Calibri"/>
          <w:b/>
          <w:sz w:val="52"/>
          <w:szCs w:val="52"/>
        </w:rPr>
      </w:pPr>
      <w:bookmarkStart w:id="0" w:name="_GoBack"/>
      <w:bookmarkEnd w:id="0"/>
      <w:r w:rsidRPr="00280F86">
        <w:rPr>
          <w:rFonts w:ascii="Calibri" w:hAnsi="Calibri"/>
          <w:b/>
          <w:sz w:val="52"/>
          <w:szCs w:val="52"/>
        </w:rPr>
        <w:t>Service Delivery</w:t>
      </w:r>
    </w:p>
    <w:p w:rsidR="00E25CC6" w:rsidRPr="00280F86" w:rsidRDefault="00E25CC6" w:rsidP="00243370">
      <w:pPr>
        <w:jc w:val="center"/>
        <w:rPr>
          <w:rFonts w:ascii="Calibri" w:hAnsi="Calibri"/>
          <w:b/>
          <w:sz w:val="52"/>
          <w:szCs w:val="52"/>
        </w:rPr>
      </w:pPr>
      <w:r w:rsidRPr="00280F86">
        <w:rPr>
          <w:rFonts w:ascii="Calibri" w:hAnsi="Calibri"/>
          <w:b/>
          <w:sz w:val="52"/>
          <w:szCs w:val="52"/>
        </w:rPr>
        <w:t>201</w:t>
      </w:r>
      <w:r>
        <w:rPr>
          <w:rFonts w:ascii="Calibri" w:hAnsi="Calibri"/>
          <w:b/>
          <w:sz w:val="52"/>
          <w:szCs w:val="52"/>
        </w:rPr>
        <w:t>6</w:t>
      </w:r>
      <w:r>
        <w:rPr>
          <w:rFonts w:ascii="Calibri" w:hAnsi="Calibri"/>
          <w:b/>
          <w:sz w:val="52"/>
          <w:szCs w:val="52"/>
        </w:rPr>
        <w:noBreakHyphen/>
      </w:r>
      <w:r w:rsidRPr="00280F86">
        <w:rPr>
          <w:rFonts w:ascii="Calibri" w:hAnsi="Calibri"/>
          <w:b/>
          <w:sz w:val="52"/>
          <w:szCs w:val="52"/>
        </w:rPr>
        <w:t>1</w:t>
      </w:r>
      <w:r>
        <w:rPr>
          <w:rFonts w:ascii="Calibri" w:hAnsi="Calibri"/>
          <w:b/>
          <w:sz w:val="52"/>
          <w:szCs w:val="52"/>
        </w:rPr>
        <w:t>7</w:t>
      </w:r>
    </w:p>
    <w:p w:rsidR="00E25CC6" w:rsidRPr="00280F86" w:rsidRDefault="00E25CC6" w:rsidP="00243370">
      <w:pPr>
        <w:jc w:val="center"/>
        <w:rPr>
          <w:rFonts w:ascii="Calibri" w:hAnsi="Calibri"/>
          <w:sz w:val="30"/>
          <w:szCs w:val="30"/>
        </w:rPr>
      </w:pPr>
    </w:p>
    <w:p w:rsidR="00E25CC6" w:rsidRPr="007B2462" w:rsidRDefault="00E25CC6" w:rsidP="00243370">
      <w:pPr>
        <w:jc w:val="center"/>
      </w:pPr>
      <w:r w:rsidRPr="00D26163">
        <w:rPr>
          <w:rFonts w:ascii="Calibri" w:hAnsi="Calibri" w:cs="Calibri"/>
          <w:noProof/>
          <w:lang w:eastAsia="en-AU"/>
        </w:rPr>
        <w:drawing>
          <wp:inline distT="0" distB="0" distL="0" distR="0" wp14:anchorId="7BA04A7E" wp14:editId="4F56C493">
            <wp:extent cx="940435" cy="1147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rsidR="00E25CC6" w:rsidRPr="00280F86" w:rsidRDefault="00E25CC6" w:rsidP="00243370">
      <w:pPr>
        <w:jc w:val="center"/>
        <w:rPr>
          <w:rFonts w:ascii="Calibri" w:hAnsi="Calibri"/>
          <w:sz w:val="30"/>
          <w:szCs w:val="30"/>
        </w:rPr>
      </w:pPr>
    </w:p>
    <w:p w:rsidR="00E25CC6" w:rsidRPr="00280F86" w:rsidRDefault="00E25CC6" w:rsidP="00243370">
      <w:pPr>
        <w:jc w:val="center"/>
        <w:rPr>
          <w:rFonts w:ascii="Calibri" w:hAnsi="Calibri"/>
          <w:sz w:val="30"/>
          <w:szCs w:val="30"/>
        </w:rPr>
      </w:pPr>
    </w:p>
    <w:p w:rsidR="00E25CC6" w:rsidRPr="007B2462" w:rsidRDefault="00E25CC6" w:rsidP="00243370">
      <w:pPr>
        <w:jc w:val="center"/>
        <w:rPr>
          <w:rFonts w:ascii="Calibri" w:hAnsi="Calibri"/>
          <w:sz w:val="28"/>
          <w:szCs w:val="28"/>
        </w:rPr>
      </w:pPr>
      <w:r w:rsidRPr="007B2462">
        <w:rPr>
          <w:rFonts w:ascii="Calibri" w:hAnsi="Calibri"/>
          <w:sz w:val="28"/>
          <w:szCs w:val="28"/>
        </w:rPr>
        <w:t>Presented by</w:t>
      </w:r>
    </w:p>
    <w:p w:rsidR="00E25CC6" w:rsidRPr="00D26163" w:rsidRDefault="00E25CC6" w:rsidP="00243370">
      <w:pPr>
        <w:jc w:val="center"/>
        <w:rPr>
          <w:rFonts w:ascii="Calibri" w:hAnsi="Calibri" w:cs="Calibri"/>
          <w:b/>
          <w:sz w:val="36"/>
          <w:szCs w:val="36"/>
        </w:rPr>
      </w:pPr>
      <w:r w:rsidRPr="00D26163">
        <w:rPr>
          <w:rFonts w:ascii="Calibri" w:hAnsi="Calibri" w:cs="Calibri"/>
          <w:b/>
          <w:sz w:val="36"/>
          <w:szCs w:val="36"/>
        </w:rPr>
        <w:t>Tim Pallas MP</w:t>
      </w:r>
    </w:p>
    <w:p w:rsidR="00E25CC6" w:rsidRPr="00D26163" w:rsidRDefault="00E25CC6" w:rsidP="00243370">
      <w:pPr>
        <w:jc w:val="center"/>
        <w:rPr>
          <w:rFonts w:ascii="Calibri" w:hAnsi="Calibri" w:cs="Calibri"/>
          <w:sz w:val="28"/>
          <w:szCs w:val="28"/>
        </w:rPr>
      </w:pPr>
      <w:r w:rsidRPr="00D26163">
        <w:rPr>
          <w:rFonts w:ascii="Calibri" w:hAnsi="Calibri" w:cs="Calibri"/>
          <w:sz w:val="28"/>
          <w:szCs w:val="28"/>
        </w:rPr>
        <w:t>Treasurer of the State of Victoria</w:t>
      </w:r>
    </w:p>
    <w:p w:rsidR="00E25CC6" w:rsidRPr="007B2462" w:rsidRDefault="00E25CC6" w:rsidP="00243370">
      <w:pPr>
        <w:jc w:val="center"/>
        <w:rPr>
          <w:rFonts w:ascii="Calibri" w:hAnsi="Calibri"/>
          <w:sz w:val="30"/>
          <w:szCs w:val="30"/>
        </w:rPr>
      </w:pPr>
      <w:r w:rsidRPr="007B2462">
        <w:rPr>
          <w:rFonts w:ascii="Calibri" w:hAnsi="Calibri"/>
          <w:sz w:val="30"/>
          <w:szCs w:val="30"/>
        </w:rPr>
        <w:t>for the information of Honourable Members</w:t>
      </w:r>
    </w:p>
    <w:p w:rsidR="00E25CC6" w:rsidRPr="00280F86" w:rsidRDefault="00E25CC6" w:rsidP="00243370">
      <w:pPr>
        <w:jc w:val="center"/>
        <w:rPr>
          <w:rFonts w:ascii="Calibri" w:hAnsi="Calibri"/>
          <w:sz w:val="36"/>
          <w:szCs w:val="36"/>
        </w:rPr>
      </w:pPr>
    </w:p>
    <w:p w:rsidR="00E25CC6" w:rsidRPr="00E279C9" w:rsidRDefault="00E25CC6" w:rsidP="00243370">
      <w:pPr>
        <w:jc w:val="center"/>
        <w:rPr>
          <w:rFonts w:ascii="Calibri" w:hAnsi="Calibri"/>
          <w:b/>
          <w:sz w:val="36"/>
          <w:szCs w:val="36"/>
        </w:rPr>
      </w:pPr>
      <w:r w:rsidRPr="00E279C9">
        <w:rPr>
          <w:rFonts w:ascii="Calibri" w:hAnsi="Calibri"/>
          <w:b/>
          <w:sz w:val="36"/>
          <w:szCs w:val="36"/>
        </w:rPr>
        <w:t>Budget Paper No. 3</w:t>
      </w:r>
    </w:p>
    <w:p w:rsidR="00E25CC6" w:rsidRDefault="00E25CC6" w:rsidP="00243370"/>
    <w:p w:rsidR="00E25CC6" w:rsidRDefault="00E25CC6" w:rsidP="00243370">
      <w:pPr>
        <w:spacing w:after="0"/>
      </w:pPr>
    </w:p>
    <w:p w:rsidR="00772CF3" w:rsidRDefault="00772CF3" w:rsidP="00772CF3"/>
    <w:p w:rsidR="00772CF3" w:rsidRDefault="00772CF3" w:rsidP="00772CF3">
      <w:pPr>
        <w:autoSpaceDE w:val="0"/>
        <w:autoSpaceDN w:val="0"/>
        <w:adjustRightInd w:val="0"/>
        <w:spacing w:after="0"/>
        <w:rPr>
          <w:rFonts w:asciiTheme="minorHAnsi" w:hAnsiTheme="minorHAnsi" w:cs="VIC-Light"/>
          <w:sz w:val="14"/>
          <w:szCs w:val="14"/>
          <w:lang w:eastAsia="en-AU"/>
        </w:rPr>
        <w:sectPr w:rsidR="00772CF3" w:rsidSect="00F302FC">
          <w:footerReference w:type="even" r:id="rId10"/>
          <w:footerReference w:type="default" r:id="rId11"/>
          <w:type w:val="oddPage"/>
          <w:pgSz w:w="9979" w:h="14181" w:code="138"/>
          <w:pgMar w:top="1138" w:right="1138" w:bottom="1138" w:left="1138" w:header="720" w:footer="432" w:gutter="0"/>
          <w:cols w:space="708"/>
          <w:docGrid w:linePitch="360"/>
        </w:sectPr>
      </w:pP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lastRenderedPageBreak/>
        <w:t>The Secretary</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Department of Treasury and Finance</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1 Treasury Place</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Melbourne, Victoria, 3002</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Australia</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Tel: +61 3 9651 5111</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Fax: +61 3 9651 2062</w:t>
      </w:r>
    </w:p>
    <w:p w:rsidR="00772CF3"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Website: budget.vic.gov.au</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Authorised by the Victorian Government</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1 Treasury Place, Melbourne, 3002</w:t>
      </w:r>
    </w:p>
    <w:p w:rsidR="00772CF3" w:rsidRDefault="00772CF3" w:rsidP="00772CF3">
      <w:pPr>
        <w:autoSpaceDE w:val="0"/>
        <w:autoSpaceDN w:val="0"/>
        <w:adjustRightInd w:val="0"/>
        <w:spacing w:after="0"/>
        <w:rPr>
          <w:rFonts w:asciiTheme="minorHAnsi" w:hAnsiTheme="minorHAnsi" w:cs="VIC-Light"/>
          <w:sz w:val="14"/>
          <w:szCs w:val="14"/>
          <w:lang w:eastAsia="en-AU"/>
        </w:rPr>
      </w:pP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Printed by Doculink, Port Melbourne</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Printed on recycled paper</w:t>
      </w:r>
    </w:p>
    <w:p w:rsidR="00772CF3" w:rsidRDefault="00772CF3" w:rsidP="00772CF3">
      <w:pPr>
        <w:autoSpaceDE w:val="0"/>
        <w:autoSpaceDN w:val="0"/>
        <w:adjustRightInd w:val="0"/>
        <w:spacing w:after="0"/>
        <w:rPr>
          <w:rFonts w:asciiTheme="minorHAnsi" w:hAnsiTheme="minorHAnsi" w:cs="VIC-Light"/>
          <w:sz w:val="14"/>
          <w:szCs w:val="14"/>
          <w:lang w:eastAsia="en-AU"/>
        </w:rPr>
      </w:pP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This publication makes reference to the</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2016-17 Budget paper set which includes:</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1 – Treasurer’s Speech</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2 – Strategy and Outlook</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3 – Service Delivery</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4 – State Capital Program</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Budget Paper No. 5 – Statement of Finances</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(incorporating Quarterly Financial Report No. 3)</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Pr>
          <w:rFonts w:asciiTheme="minorHAnsi" w:hAnsiTheme="minorHAnsi" w:cs="VIC-Light"/>
          <w:sz w:val="14"/>
          <w:szCs w:val="14"/>
          <w:lang w:eastAsia="en-AU"/>
        </w:rPr>
        <w:br w:type="column"/>
      </w:r>
      <w:r w:rsidRPr="002378DF">
        <w:rPr>
          <w:rFonts w:asciiTheme="minorHAnsi" w:hAnsiTheme="minorHAnsi" w:cs="VIC-Light"/>
          <w:sz w:val="14"/>
          <w:szCs w:val="14"/>
          <w:lang w:eastAsia="en-AU"/>
        </w:rPr>
        <w:lastRenderedPageBreak/>
        <w:t>© State of Victoria 2016</w:t>
      </w:r>
    </w:p>
    <w:p w:rsidR="00772CF3"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(Department of Treasury and Finance)</w:t>
      </w: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p>
    <w:p w:rsidR="00772CF3" w:rsidRPr="002378DF" w:rsidRDefault="00772CF3" w:rsidP="00772CF3">
      <w:pPr>
        <w:autoSpaceDE w:val="0"/>
        <w:autoSpaceDN w:val="0"/>
        <w:adjustRightInd w:val="0"/>
        <w:spacing w:after="0"/>
        <w:ind w:right="977"/>
        <w:rPr>
          <w:rFonts w:asciiTheme="minorHAnsi" w:hAnsiTheme="minorHAnsi" w:cs="VIC-Light"/>
          <w:sz w:val="14"/>
          <w:szCs w:val="14"/>
          <w:lang w:eastAsia="en-AU"/>
        </w:rPr>
      </w:pPr>
      <w:r w:rsidRPr="002378DF">
        <w:rPr>
          <w:rFonts w:asciiTheme="minorHAnsi" w:hAnsiTheme="minorHAnsi" w:cs="VIC-Light"/>
          <w:sz w:val="14"/>
          <w:szCs w:val="14"/>
          <w:lang w:eastAsia="en-AU"/>
        </w:rPr>
        <w:t>You are free to re-use this work under a</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Creative Commons Attribution 4.0 licence,</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provided y</w:t>
      </w:r>
      <w:r>
        <w:rPr>
          <w:rFonts w:asciiTheme="minorHAnsi" w:hAnsiTheme="minorHAnsi" w:cs="VIC-Light"/>
          <w:sz w:val="14"/>
          <w:szCs w:val="14"/>
          <w:lang w:eastAsia="en-AU"/>
        </w:rPr>
        <w:t xml:space="preserve">ou credit the State of Victoria </w:t>
      </w:r>
      <w:r w:rsidRPr="002378DF">
        <w:rPr>
          <w:rFonts w:asciiTheme="minorHAnsi" w:hAnsiTheme="minorHAnsi" w:cs="VIC-Light"/>
          <w:sz w:val="14"/>
          <w:szCs w:val="14"/>
          <w:lang w:eastAsia="en-AU"/>
        </w:rPr>
        <w:t>(Depa</w:t>
      </w:r>
      <w:r>
        <w:rPr>
          <w:rFonts w:asciiTheme="minorHAnsi" w:hAnsiTheme="minorHAnsi" w:cs="VIC-Light"/>
          <w:sz w:val="14"/>
          <w:szCs w:val="14"/>
          <w:lang w:eastAsia="en-AU"/>
        </w:rPr>
        <w:t xml:space="preserve">rtment of Treasury and Finance) </w:t>
      </w:r>
      <w:r w:rsidRPr="002378DF">
        <w:rPr>
          <w:rFonts w:asciiTheme="minorHAnsi" w:hAnsiTheme="minorHAnsi" w:cs="VIC-Light"/>
          <w:sz w:val="14"/>
          <w:szCs w:val="14"/>
          <w:lang w:eastAsia="en-AU"/>
        </w:rPr>
        <w:t>as author, indicate if changes were made</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and comply with the other licence terms.</w:t>
      </w:r>
    </w:p>
    <w:p w:rsidR="00772CF3" w:rsidRPr="002378DF" w:rsidRDefault="00772CF3" w:rsidP="00772CF3">
      <w:pPr>
        <w:autoSpaceDE w:val="0"/>
        <w:autoSpaceDN w:val="0"/>
        <w:adjustRightInd w:val="0"/>
        <w:spacing w:after="0"/>
        <w:ind w:right="977"/>
        <w:rPr>
          <w:rFonts w:asciiTheme="minorHAnsi" w:hAnsiTheme="minorHAnsi" w:cs="VIC-Light"/>
          <w:sz w:val="14"/>
          <w:szCs w:val="14"/>
          <w:lang w:eastAsia="en-AU"/>
        </w:rPr>
      </w:pPr>
      <w:r w:rsidRPr="002378DF">
        <w:rPr>
          <w:rFonts w:asciiTheme="minorHAnsi" w:hAnsiTheme="minorHAnsi" w:cs="VIC-Light"/>
          <w:sz w:val="14"/>
          <w:szCs w:val="14"/>
          <w:lang w:eastAsia="en-AU"/>
        </w:rPr>
        <w:t>The licence does not apply to any branding,</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including Government logos.</w:t>
      </w:r>
    </w:p>
    <w:p w:rsidR="00772CF3" w:rsidRDefault="00772CF3" w:rsidP="00772CF3">
      <w:pPr>
        <w:autoSpaceDE w:val="0"/>
        <w:autoSpaceDN w:val="0"/>
        <w:adjustRightInd w:val="0"/>
        <w:spacing w:after="0"/>
        <w:ind w:right="977"/>
        <w:rPr>
          <w:rFonts w:asciiTheme="minorHAnsi" w:hAnsiTheme="minorHAnsi" w:cs="VIC-Light"/>
          <w:sz w:val="14"/>
          <w:szCs w:val="14"/>
          <w:lang w:eastAsia="en-AU"/>
        </w:rPr>
      </w:pPr>
      <w:r w:rsidRPr="002378DF">
        <w:rPr>
          <w:rFonts w:asciiTheme="minorHAnsi" w:hAnsiTheme="minorHAnsi" w:cs="VIC-Light"/>
          <w:sz w:val="14"/>
          <w:szCs w:val="14"/>
          <w:lang w:eastAsia="en-AU"/>
        </w:rPr>
        <w:t>Copyright queries may be directed to</w:t>
      </w:r>
      <w:r>
        <w:rPr>
          <w:rFonts w:asciiTheme="minorHAnsi" w:hAnsiTheme="minorHAnsi" w:cs="VIC-Light"/>
          <w:sz w:val="14"/>
          <w:szCs w:val="14"/>
          <w:lang w:eastAsia="en-AU"/>
        </w:rPr>
        <w:t xml:space="preserve"> </w:t>
      </w:r>
      <w:r w:rsidRPr="002378DF">
        <w:rPr>
          <w:rFonts w:asciiTheme="minorHAnsi" w:hAnsiTheme="minorHAnsi" w:cs="VIC-Light"/>
          <w:sz w:val="14"/>
          <w:szCs w:val="14"/>
          <w:lang w:eastAsia="en-AU"/>
        </w:rPr>
        <w:t>IPpolicy@dtf.vic.gov.au.</w:t>
      </w:r>
    </w:p>
    <w:p w:rsidR="00772CF3" w:rsidRPr="002378DF" w:rsidRDefault="00772CF3" w:rsidP="00772CF3">
      <w:pPr>
        <w:autoSpaceDE w:val="0"/>
        <w:autoSpaceDN w:val="0"/>
        <w:adjustRightInd w:val="0"/>
        <w:spacing w:after="0"/>
        <w:ind w:right="977"/>
        <w:rPr>
          <w:rFonts w:asciiTheme="minorHAnsi" w:hAnsiTheme="minorHAnsi" w:cs="VIC-Light"/>
          <w:sz w:val="14"/>
          <w:szCs w:val="14"/>
          <w:lang w:eastAsia="en-AU"/>
        </w:rPr>
      </w:pPr>
    </w:p>
    <w:p w:rsidR="00772CF3" w:rsidRDefault="00772CF3" w:rsidP="00772CF3">
      <w:pPr>
        <w:autoSpaceDE w:val="0"/>
        <w:autoSpaceDN w:val="0"/>
        <w:adjustRightInd w:val="0"/>
        <w:spacing w:after="0"/>
        <w:rPr>
          <w:rFonts w:asciiTheme="minorHAnsi" w:hAnsiTheme="minorHAnsi" w:cs="VIC-Light"/>
          <w:sz w:val="14"/>
          <w:szCs w:val="14"/>
          <w:lang w:eastAsia="en-AU"/>
        </w:rPr>
      </w:pPr>
      <w:r>
        <w:rPr>
          <w:noProof/>
          <w:lang w:eastAsia="en-AU"/>
        </w:rPr>
        <w:drawing>
          <wp:inline distT="0" distB="0" distL="0" distR="0" wp14:anchorId="1A16656D" wp14:editId="683DB606">
            <wp:extent cx="812800" cy="285287"/>
            <wp:effectExtent l="0" t="0" r="6350" b="635"/>
            <wp:docPr id="3" name="Picture 3"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rors.creativecommons.org/presskit/buttons/88x31/png/b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3668" cy="285592"/>
                    </a:xfrm>
                    <a:prstGeom prst="rect">
                      <a:avLst/>
                    </a:prstGeom>
                    <a:noFill/>
                    <a:ln>
                      <a:noFill/>
                    </a:ln>
                  </pic:spPr>
                </pic:pic>
              </a:graphicData>
            </a:graphic>
          </wp:inline>
        </w:drawing>
      </w:r>
    </w:p>
    <w:p w:rsidR="00772CF3" w:rsidRDefault="00772CF3" w:rsidP="00772CF3">
      <w:pPr>
        <w:autoSpaceDE w:val="0"/>
        <w:autoSpaceDN w:val="0"/>
        <w:adjustRightInd w:val="0"/>
        <w:spacing w:after="0"/>
        <w:rPr>
          <w:rFonts w:asciiTheme="minorHAnsi" w:hAnsiTheme="minorHAnsi" w:cs="VIC-Light"/>
          <w:sz w:val="14"/>
          <w:szCs w:val="14"/>
          <w:lang w:eastAsia="en-AU"/>
        </w:rPr>
      </w:pPr>
    </w:p>
    <w:p w:rsidR="00772CF3" w:rsidRPr="002378DF"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ISSN 2204-9185 (print)</w:t>
      </w:r>
    </w:p>
    <w:p w:rsidR="00772CF3" w:rsidRDefault="00772CF3" w:rsidP="00772CF3">
      <w:pPr>
        <w:autoSpaceDE w:val="0"/>
        <w:autoSpaceDN w:val="0"/>
        <w:adjustRightInd w:val="0"/>
        <w:spacing w:after="0"/>
        <w:rPr>
          <w:rFonts w:asciiTheme="minorHAnsi" w:hAnsiTheme="minorHAnsi" w:cs="VIC-Light"/>
          <w:sz w:val="14"/>
          <w:szCs w:val="14"/>
          <w:lang w:eastAsia="en-AU"/>
        </w:rPr>
      </w:pPr>
      <w:r w:rsidRPr="002378DF">
        <w:rPr>
          <w:rFonts w:asciiTheme="minorHAnsi" w:hAnsiTheme="minorHAnsi" w:cs="VIC-Light"/>
          <w:sz w:val="14"/>
          <w:szCs w:val="14"/>
          <w:lang w:eastAsia="en-AU"/>
        </w:rPr>
        <w:t>ISSN 2204-9177 (online)</w:t>
      </w:r>
    </w:p>
    <w:p w:rsidR="00772CF3" w:rsidRDefault="00772CF3" w:rsidP="00772CF3">
      <w:pPr>
        <w:rPr>
          <w:rFonts w:ascii="Calibri" w:hAnsi="Calibri" w:cs="VIC-Light"/>
          <w:sz w:val="14"/>
          <w:szCs w:val="14"/>
          <w:lang w:eastAsia="en-AU"/>
        </w:rPr>
      </w:pPr>
      <w:r w:rsidRPr="002378DF">
        <w:rPr>
          <w:rFonts w:ascii="Calibri" w:hAnsi="Calibri" w:cs="VIC-Light"/>
          <w:sz w:val="14"/>
          <w:szCs w:val="14"/>
          <w:lang w:eastAsia="en-AU"/>
        </w:rPr>
        <w:t>Published April 2016</w:t>
      </w:r>
    </w:p>
    <w:p w:rsidR="00E25CC6" w:rsidRDefault="00E25CC6">
      <w:pPr>
        <w:spacing w:after="0"/>
      </w:pPr>
    </w:p>
    <w:p w:rsidR="00E25CC6" w:rsidRDefault="00E25CC6">
      <w:pPr>
        <w:spacing w:after="0"/>
        <w:sectPr w:rsidR="00E25CC6" w:rsidSect="00772CF3">
          <w:headerReference w:type="even" r:id="rId13"/>
          <w:headerReference w:type="default" r:id="rId14"/>
          <w:footerReference w:type="even" r:id="rId15"/>
          <w:footerReference w:type="default" r:id="rId16"/>
          <w:headerReference w:type="first" r:id="rId17"/>
          <w:footerReference w:type="first" r:id="rId18"/>
          <w:pgSz w:w="9979" w:h="14181" w:code="138"/>
          <w:pgMar w:top="1138" w:right="1138" w:bottom="1138" w:left="1138" w:header="720" w:footer="432" w:gutter="0"/>
          <w:cols w:num="2" w:space="708"/>
          <w:vAlign w:val="bottom"/>
          <w:docGrid w:linePitch="360"/>
        </w:sectPr>
      </w:pPr>
    </w:p>
    <w:p w:rsidR="005538B4" w:rsidRDefault="00E25CC6" w:rsidP="00F16216">
      <w:pPr>
        <w:pStyle w:val="ChapterHeading"/>
        <w:rPr>
          <w:noProof/>
        </w:rPr>
      </w:pPr>
      <w:bookmarkStart w:id="1" w:name="_Toc449033135"/>
      <w:bookmarkStart w:id="2" w:name="_Toc449037817"/>
      <w:bookmarkStart w:id="3" w:name="_Toc449040386"/>
      <w:bookmarkStart w:id="4" w:name="_Toc449109419"/>
      <w:r>
        <w:lastRenderedPageBreak/>
        <w:t>Table of Contents</w:t>
      </w:r>
      <w:bookmarkEnd w:id="1"/>
      <w:bookmarkEnd w:id="2"/>
      <w:bookmarkEnd w:id="3"/>
      <w:bookmarkEnd w:id="4"/>
      <w:r>
        <w:rPr>
          <w:caps w:val="0"/>
          <w:noProof/>
          <w:sz w:val="24"/>
          <w:szCs w:val="20"/>
        </w:rPr>
        <w:fldChar w:fldCharType="begin"/>
      </w:r>
      <w:r>
        <w:instrText xml:space="preserve"> TOC \h \z \t "Heading 1,2,Chapter Heading,1,Table of Contents continued,2" </w:instrText>
      </w:r>
      <w:r>
        <w:rPr>
          <w:caps w:val="0"/>
          <w:noProof/>
          <w:sz w:val="24"/>
          <w:szCs w:val="20"/>
        </w:rPr>
        <w:fldChar w:fldCharType="separate"/>
      </w:r>
    </w:p>
    <w:p w:rsidR="005538B4" w:rsidRDefault="00584E38">
      <w:pPr>
        <w:pStyle w:val="TOC1"/>
        <w:rPr>
          <w:rFonts w:asciiTheme="minorHAnsi" w:eastAsiaTheme="minorEastAsia" w:hAnsiTheme="minorHAnsi" w:cstheme="minorBidi"/>
          <w:b w:val="0"/>
          <w:noProof/>
          <w:sz w:val="22"/>
          <w:szCs w:val="22"/>
          <w:lang w:eastAsia="en-AU"/>
        </w:rPr>
      </w:pPr>
      <w:hyperlink w:anchor="_Toc449109420" w:history="1">
        <w:r w:rsidR="005538B4" w:rsidRPr="004D3EAA">
          <w:rPr>
            <w:rStyle w:val="Hyperlink"/>
            <w:noProof/>
          </w:rPr>
          <w:t>Chapter 1 – Output, asset investment, savings and revenue initiatives</w:t>
        </w:r>
        <w:r w:rsidR="005538B4">
          <w:rPr>
            <w:noProof/>
            <w:webHidden/>
          </w:rPr>
          <w:tab/>
        </w:r>
        <w:r w:rsidR="005538B4">
          <w:rPr>
            <w:noProof/>
            <w:webHidden/>
          </w:rPr>
          <w:fldChar w:fldCharType="begin"/>
        </w:r>
        <w:r w:rsidR="005538B4">
          <w:rPr>
            <w:noProof/>
            <w:webHidden/>
          </w:rPr>
          <w:instrText xml:space="preserve"> PAGEREF _Toc449109420 \h </w:instrText>
        </w:r>
        <w:r w:rsidR="005538B4">
          <w:rPr>
            <w:noProof/>
            <w:webHidden/>
          </w:rPr>
        </w:r>
        <w:r w:rsidR="005538B4">
          <w:rPr>
            <w:noProof/>
            <w:webHidden/>
          </w:rPr>
          <w:fldChar w:fldCharType="separate"/>
        </w:r>
        <w:r w:rsidR="00772CF3">
          <w:rPr>
            <w:noProof/>
            <w:webHidden/>
          </w:rPr>
          <w:t>1</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1" w:history="1">
        <w:r w:rsidR="005538B4" w:rsidRPr="004D3EAA">
          <w:rPr>
            <w:rStyle w:val="Hyperlink"/>
            <w:noProof/>
          </w:rPr>
          <w:t>Whole of Government – Aboriginal Affairs</w:t>
        </w:r>
        <w:r w:rsidR="005538B4">
          <w:rPr>
            <w:noProof/>
            <w:webHidden/>
          </w:rPr>
          <w:tab/>
        </w:r>
        <w:r w:rsidR="005538B4">
          <w:rPr>
            <w:noProof/>
            <w:webHidden/>
          </w:rPr>
          <w:fldChar w:fldCharType="begin"/>
        </w:r>
        <w:r w:rsidR="005538B4">
          <w:rPr>
            <w:noProof/>
            <w:webHidden/>
          </w:rPr>
          <w:instrText xml:space="preserve"> PAGEREF _Toc449109421 \h </w:instrText>
        </w:r>
        <w:r w:rsidR="005538B4">
          <w:rPr>
            <w:noProof/>
            <w:webHidden/>
          </w:rPr>
        </w:r>
        <w:r w:rsidR="005538B4">
          <w:rPr>
            <w:noProof/>
            <w:webHidden/>
          </w:rPr>
          <w:fldChar w:fldCharType="separate"/>
        </w:r>
        <w:r w:rsidR="00772CF3">
          <w:rPr>
            <w:noProof/>
            <w:webHidden/>
          </w:rPr>
          <w:t>6</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2" w:history="1">
        <w:r w:rsidR="005538B4" w:rsidRPr="004D3EAA">
          <w:rPr>
            <w:rStyle w:val="Hyperlink"/>
            <w:noProof/>
          </w:rPr>
          <w:t>Whole of Government – Family Violence</w:t>
        </w:r>
        <w:r w:rsidR="005538B4">
          <w:rPr>
            <w:noProof/>
            <w:webHidden/>
          </w:rPr>
          <w:tab/>
        </w:r>
        <w:r w:rsidR="005538B4">
          <w:rPr>
            <w:noProof/>
            <w:webHidden/>
          </w:rPr>
          <w:fldChar w:fldCharType="begin"/>
        </w:r>
        <w:r w:rsidR="005538B4">
          <w:rPr>
            <w:noProof/>
            <w:webHidden/>
          </w:rPr>
          <w:instrText xml:space="preserve"> PAGEREF _Toc449109422 \h </w:instrText>
        </w:r>
        <w:r w:rsidR="005538B4">
          <w:rPr>
            <w:noProof/>
            <w:webHidden/>
          </w:rPr>
        </w:r>
        <w:r w:rsidR="005538B4">
          <w:rPr>
            <w:noProof/>
            <w:webHidden/>
          </w:rPr>
          <w:fldChar w:fldCharType="separate"/>
        </w:r>
        <w:r w:rsidR="00772CF3">
          <w:rPr>
            <w:noProof/>
            <w:webHidden/>
          </w:rPr>
          <w:t>8</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3" w:history="1">
        <w:r w:rsidR="005538B4" w:rsidRPr="004D3EAA">
          <w:rPr>
            <w:rStyle w:val="Hyperlink"/>
            <w:noProof/>
          </w:rPr>
          <w:t>Whole of Government – Hazelwood</w:t>
        </w:r>
        <w:r w:rsidR="005538B4">
          <w:rPr>
            <w:noProof/>
            <w:webHidden/>
          </w:rPr>
          <w:tab/>
        </w:r>
        <w:r w:rsidR="005538B4">
          <w:rPr>
            <w:noProof/>
            <w:webHidden/>
          </w:rPr>
          <w:fldChar w:fldCharType="begin"/>
        </w:r>
        <w:r w:rsidR="005538B4">
          <w:rPr>
            <w:noProof/>
            <w:webHidden/>
          </w:rPr>
          <w:instrText xml:space="preserve"> PAGEREF _Toc449109423 \h </w:instrText>
        </w:r>
        <w:r w:rsidR="005538B4">
          <w:rPr>
            <w:noProof/>
            <w:webHidden/>
          </w:rPr>
        </w:r>
        <w:r w:rsidR="005538B4">
          <w:rPr>
            <w:noProof/>
            <w:webHidden/>
          </w:rPr>
          <w:fldChar w:fldCharType="separate"/>
        </w:r>
        <w:r w:rsidR="00772CF3">
          <w:rPr>
            <w:noProof/>
            <w:webHidden/>
          </w:rPr>
          <w:t>19</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4" w:history="1">
        <w:r w:rsidR="005538B4" w:rsidRPr="004D3EAA">
          <w:rPr>
            <w:rStyle w:val="Hyperlink"/>
            <w:noProof/>
          </w:rPr>
          <w:t>Whole of Government – Ice Action Plan – Stage 2</w:t>
        </w:r>
        <w:r w:rsidR="005538B4">
          <w:rPr>
            <w:noProof/>
            <w:webHidden/>
          </w:rPr>
          <w:tab/>
        </w:r>
        <w:r w:rsidR="005538B4">
          <w:rPr>
            <w:noProof/>
            <w:webHidden/>
          </w:rPr>
          <w:fldChar w:fldCharType="begin"/>
        </w:r>
        <w:r w:rsidR="005538B4">
          <w:rPr>
            <w:noProof/>
            <w:webHidden/>
          </w:rPr>
          <w:instrText xml:space="preserve"> PAGEREF _Toc449109424 \h </w:instrText>
        </w:r>
        <w:r w:rsidR="005538B4">
          <w:rPr>
            <w:noProof/>
            <w:webHidden/>
          </w:rPr>
        </w:r>
        <w:r w:rsidR="005538B4">
          <w:rPr>
            <w:noProof/>
            <w:webHidden/>
          </w:rPr>
          <w:fldChar w:fldCharType="separate"/>
        </w:r>
        <w:r w:rsidR="00772CF3">
          <w:rPr>
            <w:noProof/>
            <w:webHidden/>
          </w:rPr>
          <w:t>23</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5" w:history="1">
        <w:r w:rsidR="005538B4" w:rsidRPr="004D3EAA">
          <w:rPr>
            <w:rStyle w:val="Hyperlink"/>
            <w:noProof/>
          </w:rPr>
          <w:t>Whole of Government – Jobs</w:t>
        </w:r>
        <w:r w:rsidR="005538B4">
          <w:rPr>
            <w:noProof/>
            <w:webHidden/>
          </w:rPr>
          <w:tab/>
        </w:r>
        <w:r w:rsidR="005538B4">
          <w:rPr>
            <w:noProof/>
            <w:webHidden/>
          </w:rPr>
          <w:fldChar w:fldCharType="begin"/>
        </w:r>
        <w:r w:rsidR="005538B4">
          <w:rPr>
            <w:noProof/>
            <w:webHidden/>
          </w:rPr>
          <w:instrText xml:space="preserve"> PAGEREF _Toc449109425 \h </w:instrText>
        </w:r>
        <w:r w:rsidR="005538B4">
          <w:rPr>
            <w:noProof/>
            <w:webHidden/>
          </w:rPr>
        </w:r>
        <w:r w:rsidR="005538B4">
          <w:rPr>
            <w:noProof/>
            <w:webHidden/>
          </w:rPr>
          <w:fldChar w:fldCharType="separate"/>
        </w:r>
        <w:r w:rsidR="00772CF3">
          <w:rPr>
            <w:noProof/>
            <w:webHidden/>
          </w:rPr>
          <w:t>25</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6" w:history="1">
        <w:r w:rsidR="005538B4" w:rsidRPr="004D3EAA">
          <w:rPr>
            <w:rStyle w:val="Hyperlink"/>
            <w:rFonts w:eastAsiaTheme="minorHAnsi"/>
            <w:noProof/>
          </w:rPr>
          <w:t>Department of Economic Development, Jobs, Transport and Resources</w:t>
        </w:r>
        <w:r w:rsidR="005538B4">
          <w:rPr>
            <w:noProof/>
            <w:webHidden/>
          </w:rPr>
          <w:tab/>
        </w:r>
        <w:r w:rsidR="005538B4">
          <w:rPr>
            <w:noProof/>
            <w:webHidden/>
          </w:rPr>
          <w:fldChar w:fldCharType="begin"/>
        </w:r>
        <w:r w:rsidR="005538B4">
          <w:rPr>
            <w:noProof/>
            <w:webHidden/>
          </w:rPr>
          <w:instrText xml:space="preserve"> PAGEREF _Toc449109426 \h </w:instrText>
        </w:r>
        <w:r w:rsidR="005538B4">
          <w:rPr>
            <w:noProof/>
            <w:webHidden/>
          </w:rPr>
        </w:r>
        <w:r w:rsidR="005538B4">
          <w:rPr>
            <w:noProof/>
            <w:webHidden/>
          </w:rPr>
          <w:fldChar w:fldCharType="separate"/>
        </w:r>
        <w:r w:rsidR="00772CF3">
          <w:rPr>
            <w:noProof/>
            <w:webHidden/>
          </w:rPr>
          <w:t>37</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7" w:history="1">
        <w:r w:rsidR="005538B4" w:rsidRPr="004D3EAA">
          <w:rPr>
            <w:rStyle w:val="Hyperlink"/>
            <w:rFonts w:eastAsiaTheme="minorHAnsi"/>
            <w:noProof/>
          </w:rPr>
          <w:t>Department of Education and Training</w:t>
        </w:r>
        <w:r w:rsidR="005538B4">
          <w:rPr>
            <w:noProof/>
            <w:webHidden/>
          </w:rPr>
          <w:tab/>
        </w:r>
        <w:r w:rsidR="005538B4">
          <w:rPr>
            <w:noProof/>
            <w:webHidden/>
          </w:rPr>
          <w:fldChar w:fldCharType="begin"/>
        </w:r>
        <w:r w:rsidR="005538B4">
          <w:rPr>
            <w:noProof/>
            <w:webHidden/>
          </w:rPr>
          <w:instrText xml:space="preserve"> PAGEREF _Toc449109427 \h </w:instrText>
        </w:r>
        <w:r w:rsidR="005538B4">
          <w:rPr>
            <w:noProof/>
            <w:webHidden/>
          </w:rPr>
        </w:r>
        <w:r w:rsidR="005538B4">
          <w:rPr>
            <w:noProof/>
            <w:webHidden/>
          </w:rPr>
          <w:fldChar w:fldCharType="separate"/>
        </w:r>
        <w:r w:rsidR="00772CF3">
          <w:rPr>
            <w:noProof/>
            <w:webHidden/>
          </w:rPr>
          <w:t>61</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8" w:history="1">
        <w:r w:rsidR="005538B4" w:rsidRPr="004D3EAA">
          <w:rPr>
            <w:rStyle w:val="Hyperlink"/>
            <w:noProof/>
          </w:rPr>
          <w:t>Department of Environment, Land, Water and Planning</w:t>
        </w:r>
        <w:r w:rsidR="005538B4">
          <w:rPr>
            <w:noProof/>
            <w:webHidden/>
          </w:rPr>
          <w:tab/>
        </w:r>
        <w:r w:rsidR="005538B4">
          <w:rPr>
            <w:noProof/>
            <w:webHidden/>
          </w:rPr>
          <w:fldChar w:fldCharType="begin"/>
        </w:r>
        <w:r w:rsidR="005538B4">
          <w:rPr>
            <w:noProof/>
            <w:webHidden/>
          </w:rPr>
          <w:instrText xml:space="preserve"> PAGEREF _Toc449109428 \h </w:instrText>
        </w:r>
        <w:r w:rsidR="005538B4">
          <w:rPr>
            <w:noProof/>
            <w:webHidden/>
          </w:rPr>
        </w:r>
        <w:r w:rsidR="005538B4">
          <w:rPr>
            <w:noProof/>
            <w:webHidden/>
          </w:rPr>
          <w:fldChar w:fldCharType="separate"/>
        </w:r>
        <w:r w:rsidR="00772CF3">
          <w:rPr>
            <w:noProof/>
            <w:webHidden/>
          </w:rPr>
          <w:t>69</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29" w:history="1">
        <w:r w:rsidR="005538B4" w:rsidRPr="004D3EAA">
          <w:rPr>
            <w:rStyle w:val="Hyperlink"/>
            <w:noProof/>
          </w:rPr>
          <w:t>Department of Health and Human Services</w:t>
        </w:r>
        <w:r w:rsidR="005538B4">
          <w:rPr>
            <w:noProof/>
            <w:webHidden/>
          </w:rPr>
          <w:tab/>
        </w:r>
        <w:r w:rsidR="005538B4">
          <w:rPr>
            <w:noProof/>
            <w:webHidden/>
          </w:rPr>
          <w:fldChar w:fldCharType="begin"/>
        </w:r>
        <w:r w:rsidR="005538B4">
          <w:rPr>
            <w:noProof/>
            <w:webHidden/>
          </w:rPr>
          <w:instrText xml:space="preserve"> PAGEREF _Toc449109429 \h </w:instrText>
        </w:r>
        <w:r w:rsidR="005538B4">
          <w:rPr>
            <w:noProof/>
            <w:webHidden/>
          </w:rPr>
        </w:r>
        <w:r w:rsidR="005538B4">
          <w:rPr>
            <w:noProof/>
            <w:webHidden/>
          </w:rPr>
          <w:fldChar w:fldCharType="separate"/>
        </w:r>
        <w:r w:rsidR="00772CF3">
          <w:rPr>
            <w:noProof/>
            <w:webHidden/>
          </w:rPr>
          <w:t>78</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0" w:history="1">
        <w:r w:rsidR="005538B4" w:rsidRPr="004D3EAA">
          <w:rPr>
            <w:rStyle w:val="Hyperlink"/>
            <w:noProof/>
          </w:rPr>
          <w:t>Department of Justice and Regulation</w:t>
        </w:r>
        <w:r w:rsidR="005538B4">
          <w:rPr>
            <w:noProof/>
            <w:webHidden/>
          </w:rPr>
          <w:tab/>
        </w:r>
        <w:r w:rsidR="005538B4">
          <w:rPr>
            <w:noProof/>
            <w:webHidden/>
          </w:rPr>
          <w:fldChar w:fldCharType="begin"/>
        </w:r>
        <w:r w:rsidR="005538B4">
          <w:rPr>
            <w:noProof/>
            <w:webHidden/>
          </w:rPr>
          <w:instrText xml:space="preserve"> PAGEREF _Toc449109430 \h </w:instrText>
        </w:r>
        <w:r w:rsidR="005538B4">
          <w:rPr>
            <w:noProof/>
            <w:webHidden/>
          </w:rPr>
        </w:r>
        <w:r w:rsidR="005538B4">
          <w:rPr>
            <w:noProof/>
            <w:webHidden/>
          </w:rPr>
          <w:fldChar w:fldCharType="separate"/>
        </w:r>
        <w:r w:rsidR="00772CF3">
          <w:rPr>
            <w:noProof/>
            <w:webHidden/>
          </w:rPr>
          <w:t>97</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1" w:history="1">
        <w:r w:rsidR="005538B4" w:rsidRPr="004D3EAA">
          <w:rPr>
            <w:rStyle w:val="Hyperlink"/>
            <w:noProof/>
          </w:rPr>
          <w:t>Department of Premier and Cabinet</w:t>
        </w:r>
        <w:r w:rsidR="005538B4">
          <w:rPr>
            <w:noProof/>
            <w:webHidden/>
          </w:rPr>
          <w:tab/>
        </w:r>
        <w:r w:rsidR="005538B4">
          <w:rPr>
            <w:noProof/>
            <w:webHidden/>
          </w:rPr>
          <w:fldChar w:fldCharType="begin"/>
        </w:r>
        <w:r w:rsidR="005538B4">
          <w:rPr>
            <w:noProof/>
            <w:webHidden/>
          </w:rPr>
          <w:instrText xml:space="preserve"> PAGEREF _Toc449109431 \h </w:instrText>
        </w:r>
        <w:r w:rsidR="005538B4">
          <w:rPr>
            <w:noProof/>
            <w:webHidden/>
          </w:rPr>
        </w:r>
        <w:r w:rsidR="005538B4">
          <w:rPr>
            <w:noProof/>
            <w:webHidden/>
          </w:rPr>
          <w:fldChar w:fldCharType="separate"/>
        </w:r>
        <w:r w:rsidR="00772CF3">
          <w:rPr>
            <w:noProof/>
            <w:webHidden/>
          </w:rPr>
          <w:t>103</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2" w:history="1">
        <w:r w:rsidR="005538B4" w:rsidRPr="004D3EAA">
          <w:rPr>
            <w:rStyle w:val="Hyperlink"/>
            <w:noProof/>
          </w:rPr>
          <w:t>Department of Treasury and Finance</w:t>
        </w:r>
        <w:r w:rsidR="005538B4">
          <w:rPr>
            <w:noProof/>
            <w:webHidden/>
          </w:rPr>
          <w:tab/>
        </w:r>
        <w:r w:rsidR="005538B4">
          <w:rPr>
            <w:noProof/>
            <w:webHidden/>
          </w:rPr>
          <w:fldChar w:fldCharType="begin"/>
        </w:r>
        <w:r w:rsidR="005538B4">
          <w:rPr>
            <w:noProof/>
            <w:webHidden/>
          </w:rPr>
          <w:instrText xml:space="preserve"> PAGEREF _Toc449109432 \h </w:instrText>
        </w:r>
        <w:r w:rsidR="005538B4">
          <w:rPr>
            <w:noProof/>
            <w:webHidden/>
          </w:rPr>
        </w:r>
        <w:r w:rsidR="005538B4">
          <w:rPr>
            <w:noProof/>
            <w:webHidden/>
          </w:rPr>
          <w:fldChar w:fldCharType="separate"/>
        </w:r>
        <w:r w:rsidR="00772CF3">
          <w:rPr>
            <w:noProof/>
            <w:webHidden/>
          </w:rPr>
          <w:t>108</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3" w:history="1">
        <w:r w:rsidR="005538B4" w:rsidRPr="004D3EAA">
          <w:rPr>
            <w:rStyle w:val="Hyperlink"/>
            <w:noProof/>
          </w:rPr>
          <w:t>Parliament</w:t>
        </w:r>
        <w:r w:rsidR="005538B4">
          <w:rPr>
            <w:noProof/>
            <w:webHidden/>
          </w:rPr>
          <w:tab/>
        </w:r>
        <w:r w:rsidR="005538B4">
          <w:rPr>
            <w:noProof/>
            <w:webHidden/>
          </w:rPr>
          <w:fldChar w:fldCharType="begin"/>
        </w:r>
        <w:r w:rsidR="005538B4">
          <w:rPr>
            <w:noProof/>
            <w:webHidden/>
          </w:rPr>
          <w:instrText xml:space="preserve"> PAGEREF _Toc449109433 \h </w:instrText>
        </w:r>
        <w:r w:rsidR="005538B4">
          <w:rPr>
            <w:noProof/>
            <w:webHidden/>
          </w:rPr>
        </w:r>
        <w:r w:rsidR="005538B4">
          <w:rPr>
            <w:noProof/>
            <w:webHidden/>
          </w:rPr>
          <w:fldChar w:fldCharType="separate"/>
        </w:r>
        <w:r w:rsidR="00772CF3">
          <w:rPr>
            <w:noProof/>
            <w:webHidden/>
          </w:rPr>
          <w:t>111</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4" w:history="1">
        <w:r w:rsidR="005538B4" w:rsidRPr="004D3EAA">
          <w:rPr>
            <w:rStyle w:val="Hyperlink"/>
            <w:noProof/>
          </w:rPr>
          <w:t>Courts</w:t>
        </w:r>
        <w:r w:rsidR="005538B4">
          <w:rPr>
            <w:noProof/>
            <w:webHidden/>
          </w:rPr>
          <w:tab/>
        </w:r>
        <w:r w:rsidR="005538B4">
          <w:rPr>
            <w:noProof/>
            <w:webHidden/>
          </w:rPr>
          <w:fldChar w:fldCharType="begin"/>
        </w:r>
        <w:r w:rsidR="005538B4">
          <w:rPr>
            <w:noProof/>
            <w:webHidden/>
          </w:rPr>
          <w:instrText xml:space="preserve"> PAGEREF _Toc449109434 \h </w:instrText>
        </w:r>
        <w:r w:rsidR="005538B4">
          <w:rPr>
            <w:noProof/>
            <w:webHidden/>
          </w:rPr>
        </w:r>
        <w:r w:rsidR="005538B4">
          <w:rPr>
            <w:noProof/>
            <w:webHidden/>
          </w:rPr>
          <w:fldChar w:fldCharType="separate"/>
        </w:r>
        <w:r w:rsidR="00772CF3">
          <w:rPr>
            <w:noProof/>
            <w:webHidden/>
          </w:rPr>
          <w:t>114</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5" w:history="1">
        <w:r w:rsidR="005538B4" w:rsidRPr="004D3EAA">
          <w:rPr>
            <w:rStyle w:val="Hyperlink"/>
            <w:noProof/>
          </w:rPr>
          <w:t>Revenue Initiatives</w:t>
        </w:r>
        <w:r w:rsidR="005538B4">
          <w:rPr>
            <w:noProof/>
            <w:webHidden/>
          </w:rPr>
          <w:tab/>
        </w:r>
        <w:r w:rsidR="005538B4">
          <w:rPr>
            <w:noProof/>
            <w:webHidden/>
          </w:rPr>
          <w:fldChar w:fldCharType="begin"/>
        </w:r>
        <w:r w:rsidR="005538B4">
          <w:rPr>
            <w:noProof/>
            <w:webHidden/>
          </w:rPr>
          <w:instrText xml:space="preserve"> PAGEREF _Toc449109435 \h </w:instrText>
        </w:r>
        <w:r w:rsidR="005538B4">
          <w:rPr>
            <w:noProof/>
            <w:webHidden/>
          </w:rPr>
        </w:r>
        <w:r w:rsidR="005538B4">
          <w:rPr>
            <w:noProof/>
            <w:webHidden/>
          </w:rPr>
          <w:fldChar w:fldCharType="separate"/>
        </w:r>
        <w:r w:rsidR="00772CF3">
          <w:rPr>
            <w:noProof/>
            <w:webHidden/>
          </w:rPr>
          <w:t>116</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6" w:history="1">
        <w:r w:rsidR="005538B4" w:rsidRPr="004D3EAA">
          <w:rPr>
            <w:rStyle w:val="Hyperlink"/>
            <w:noProof/>
          </w:rPr>
          <w:t>Savings and Efficiencies</w:t>
        </w:r>
        <w:r w:rsidR="005538B4">
          <w:rPr>
            <w:noProof/>
            <w:webHidden/>
          </w:rPr>
          <w:tab/>
        </w:r>
        <w:r w:rsidR="005538B4">
          <w:rPr>
            <w:noProof/>
            <w:webHidden/>
          </w:rPr>
          <w:fldChar w:fldCharType="begin"/>
        </w:r>
        <w:r w:rsidR="005538B4">
          <w:rPr>
            <w:noProof/>
            <w:webHidden/>
          </w:rPr>
          <w:instrText xml:space="preserve"> PAGEREF _Toc449109436 \h </w:instrText>
        </w:r>
        <w:r w:rsidR="005538B4">
          <w:rPr>
            <w:noProof/>
            <w:webHidden/>
          </w:rPr>
        </w:r>
        <w:r w:rsidR="005538B4">
          <w:rPr>
            <w:noProof/>
            <w:webHidden/>
          </w:rPr>
          <w:fldChar w:fldCharType="separate"/>
        </w:r>
        <w:r w:rsidR="00772CF3">
          <w:rPr>
            <w:noProof/>
            <w:webHidden/>
          </w:rPr>
          <w:t>118</w:t>
        </w:r>
        <w:r w:rsidR="005538B4">
          <w:rPr>
            <w:noProof/>
            <w:webHidden/>
          </w:rPr>
          <w:fldChar w:fldCharType="end"/>
        </w:r>
      </w:hyperlink>
    </w:p>
    <w:p w:rsidR="005538B4" w:rsidRDefault="00584E38">
      <w:pPr>
        <w:pStyle w:val="TOC1"/>
        <w:rPr>
          <w:rFonts w:asciiTheme="minorHAnsi" w:eastAsiaTheme="minorEastAsia" w:hAnsiTheme="minorHAnsi" w:cstheme="minorBidi"/>
          <w:b w:val="0"/>
          <w:noProof/>
          <w:sz w:val="22"/>
          <w:szCs w:val="22"/>
          <w:lang w:eastAsia="en-AU"/>
        </w:rPr>
      </w:pPr>
      <w:hyperlink w:anchor="_Toc449109437" w:history="1">
        <w:r w:rsidR="005538B4" w:rsidRPr="004D3EAA">
          <w:rPr>
            <w:rStyle w:val="Hyperlink"/>
            <w:noProof/>
            <w:lang w:eastAsia="en-AU"/>
          </w:rPr>
          <w:t>Chapter 2 – Departmental performance statements</w:t>
        </w:r>
        <w:r w:rsidR="005538B4">
          <w:rPr>
            <w:noProof/>
            <w:webHidden/>
          </w:rPr>
          <w:tab/>
        </w:r>
        <w:r w:rsidR="005538B4">
          <w:rPr>
            <w:noProof/>
            <w:webHidden/>
          </w:rPr>
          <w:fldChar w:fldCharType="begin"/>
        </w:r>
        <w:r w:rsidR="005538B4">
          <w:rPr>
            <w:noProof/>
            <w:webHidden/>
          </w:rPr>
          <w:instrText xml:space="preserve"> PAGEREF _Toc449109437 \h </w:instrText>
        </w:r>
        <w:r w:rsidR="005538B4">
          <w:rPr>
            <w:noProof/>
            <w:webHidden/>
          </w:rPr>
        </w:r>
        <w:r w:rsidR="005538B4">
          <w:rPr>
            <w:noProof/>
            <w:webHidden/>
          </w:rPr>
          <w:fldChar w:fldCharType="separate"/>
        </w:r>
        <w:r w:rsidR="00772CF3">
          <w:rPr>
            <w:noProof/>
            <w:webHidden/>
          </w:rPr>
          <w:t>119</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8" w:history="1">
        <w:r w:rsidR="005538B4" w:rsidRPr="004D3EAA">
          <w:rPr>
            <w:rStyle w:val="Hyperlink"/>
            <w:rFonts w:eastAsiaTheme="minorHAnsi"/>
            <w:noProof/>
          </w:rPr>
          <w:t xml:space="preserve">Department of </w:t>
        </w:r>
        <w:r w:rsidR="005538B4" w:rsidRPr="004D3EAA">
          <w:rPr>
            <w:rStyle w:val="Hyperlink"/>
            <w:noProof/>
          </w:rPr>
          <w:t>Economic Development, Jobs, Transport and Resources</w:t>
        </w:r>
        <w:r w:rsidR="005538B4">
          <w:rPr>
            <w:noProof/>
            <w:webHidden/>
          </w:rPr>
          <w:tab/>
        </w:r>
        <w:r w:rsidR="005538B4">
          <w:rPr>
            <w:noProof/>
            <w:webHidden/>
          </w:rPr>
          <w:fldChar w:fldCharType="begin"/>
        </w:r>
        <w:r w:rsidR="005538B4">
          <w:rPr>
            <w:noProof/>
            <w:webHidden/>
          </w:rPr>
          <w:instrText xml:space="preserve"> PAGEREF _Toc449109438 \h </w:instrText>
        </w:r>
        <w:r w:rsidR="005538B4">
          <w:rPr>
            <w:noProof/>
            <w:webHidden/>
          </w:rPr>
        </w:r>
        <w:r w:rsidR="005538B4">
          <w:rPr>
            <w:noProof/>
            <w:webHidden/>
          </w:rPr>
          <w:fldChar w:fldCharType="separate"/>
        </w:r>
        <w:r w:rsidR="00772CF3">
          <w:rPr>
            <w:noProof/>
            <w:webHidden/>
          </w:rPr>
          <w:t>121</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39" w:history="1">
        <w:r w:rsidR="005538B4" w:rsidRPr="004D3EAA">
          <w:rPr>
            <w:rStyle w:val="Hyperlink"/>
            <w:rFonts w:eastAsiaTheme="minorHAnsi"/>
            <w:noProof/>
          </w:rPr>
          <w:t xml:space="preserve">Department of </w:t>
        </w:r>
        <w:r w:rsidR="005538B4" w:rsidRPr="004D3EAA">
          <w:rPr>
            <w:rStyle w:val="Hyperlink"/>
            <w:noProof/>
          </w:rPr>
          <w:t>Education and Training</w:t>
        </w:r>
        <w:r w:rsidR="005538B4">
          <w:rPr>
            <w:noProof/>
            <w:webHidden/>
          </w:rPr>
          <w:tab/>
        </w:r>
        <w:r w:rsidR="005538B4">
          <w:rPr>
            <w:noProof/>
            <w:webHidden/>
          </w:rPr>
          <w:fldChar w:fldCharType="begin"/>
        </w:r>
        <w:r w:rsidR="005538B4">
          <w:rPr>
            <w:noProof/>
            <w:webHidden/>
          </w:rPr>
          <w:instrText xml:space="preserve"> PAGEREF _Toc449109439 \h </w:instrText>
        </w:r>
        <w:r w:rsidR="005538B4">
          <w:rPr>
            <w:noProof/>
            <w:webHidden/>
          </w:rPr>
        </w:r>
        <w:r w:rsidR="005538B4">
          <w:rPr>
            <w:noProof/>
            <w:webHidden/>
          </w:rPr>
          <w:fldChar w:fldCharType="separate"/>
        </w:r>
        <w:r w:rsidR="00772CF3">
          <w:rPr>
            <w:noProof/>
            <w:webHidden/>
          </w:rPr>
          <w:t>163</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0" w:history="1">
        <w:r w:rsidR="005538B4" w:rsidRPr="004D3EAA">
          <w:rPr>
            <w:rStyle w:val="Hyperlink"/>
            <w:rFonts w:eastAsiaTheme="minorHAnsi"/>
            <w:noProof/>
          </w:rPr>
          <w:t xml:space="preserve">Department of </w:t>
        </w:r>
        <w:r w:rsidR="005538B4" w:rsidRPr="004D3EAA">
          <w:rPr>
            <w:rStyle w:val="Hyperlink"/>
            <w:noProof/>
          </w:rPr>
          <w:t>Environment, Land, Water and Planning</w:t>
        </w:r>
        <w:r w:rsidR="005538B4">
          <w:rPr>
            <w:noProof/>
            <w:webHidden/>
          </w:rPr>
          <w:tab/>
        </w:r>
        <w:r w:rsidR="005538B4">
          <w:rPr>
            <w:noProof/>
            <w:webHidden/>
          </w:rPr>
          <w:fldChar w:fldCharType="begin"/>
        </w:r>
        <w:r w:rsidR="005538B4">
          <w:rPr>
            <w:noProof/>
            <w:webHidden/>
          </w:rPr>
          <w:instrText xml:space="preserve"> PAGEREF _Toc449109440 \h </w:instrText>
        </w:r>
        <w:r w:rsidR="005538B4">
          <w:rPr>
            <w:noProof/>
            <w:webHidden/>
          </w:rPr>
        </w:r>
        <w:r w:rsidR="005538B4">
          <w:rPr>
            <w:noProof/>
            <w:webHidden/>
          </w:rPr>
          <w:fldChar w:fldCharType="separate"/>
        </w:r>
        <w:r w:rsidR="00772CF3">
          <w:rPr>
            <w:noProof/>
            <w:webHidden/>
          </w:rPr>
          <w:t>191</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1" w:history="1">
        <w:r w:rsidR="005538B4" w:rsidRPr="004D3EAA">
          <w:rPr>
            <w:rStyle w:val="Hyperlink"/>
            <w:noProof/>
          </w:rPr>
          <w:t>Department of Health and Human Services</w:t>
        </w:r>
        <w:r w:rsidR="005538B4">
          <w:rPr>
            <w:noProof/>
            <w:webHidden/>
          </w:rPr>
          <w:tab/>
        </w:r>
        <w:r w:rsidR="005538B4">
          <w:rPr>
            <w:noProof/>
            <w:webHidden/>
          </w:rPr>
          <w:fldChar w:fldCharType="begin"/>
        </w:r>
        <w:r w:rsidR="005538B4">
          <w:rPr>
            <w:noProof/>
            <w:webHidden/>
          </w:rPr>
          <w:instrText xml:space="preserve"> PAGEREF _Toc449109441 \h </w:instrText>
        </w:r>
        <w:r w:rsidR="005538B4">
          <w:rPr>
            <w:noProof/>
            <w:webHidden/>
          </w:rPr>
        </w:r>
        <w:r w:rsidR="005538B4">
          <w:rPr>
            <w:noProof/>
            <w:webHidden/>
          </w:rPr>
          <w:fldChar w:fldCharType="separate"/>
        </w:r>
        <w:r w:rsidR="00772CF3">
          <w:rPr>
            <w:noProof/>
            <w:webHidden/>
          </w:rPr>
          <w:t>214</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2" w:history="1">
        <w:r w:rsidR="005538B4" w:rsidRPr="004D3EAA">
          <w:rPr>
            <w:rStyle w:val="Hyperlink"/>
            <w:noProof/>
          </w:rPr>
          <w:t>Department of Justice and Regulation</w:t>
        </w:r>
        <w:r w:rsidR="005538B4">
          <w:rPr>
            <w:noProof/>
            <w:webHidden/>
          </w:rPr>
          <w:tab/>
        </w:r>
        <w:r w:rsidR="005538B4">
          <w:rPr>
            <w:noProof/>
            <w:webHidden/>
          </w:rPr>
          <w:fldChar w:fldCharType="begin"/>
        </w:r>
        <w:r w:rsidR="005538B4">
          <w:rPr>
            <w:noProof/>
            <w:webHidden/>
          </w:rPr>
          <w:instrText xml:space="preserve"> PAGEREF _Toc449109442 \h </w:instrText>
        </w:r>
        <w:r w:rsidR="005538B4">
          <w:rPr>
            <w:noProof/>
            <w:webHidden/>
          </w:rPr>
        </w:r>
        <w:r w:rsidR="005538B4">
          <w:rPr>
            <w:noProof/>
            <w:webHidden/>
          </w:rPr>
          <w:fldChar w:fldCharType="separate"/>
        </w:r>
        <w:r w:rsidR="00772CF3">
          <w:rPr>
            <w:noProof/>
            <w:webHidden/>
          </w:rPr>
          <w:t>261</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3" w:history="1">
        <w:r w:rsidR="005538B4" w:rsidRPr="004D3EAA">
          <w:rPr>
            <w:rStyle w:val="Hyperlink"/>
            <w:noProof/>
          </w:rPr>
          <w:t>Department of Premier and Cabinet</w:t>
        </w:r>
        <w:r w:rsidR="005538B4">
          <w:rPr>
            <w:noProof/>
            <w:webHidden/>
          </w:rPr>
          <w:tab/>
        </w:r>
        <w:r w:rsidR="005538B4">
          <w:rPr>
            <w:noProof/>
            <w:webHidden/>
          </w:rPr>
          <w:fldChar w:fldCharType="begin"/>
        </w:r>
        <w:r w:rsidR="005538B4">
          <w:rPr>
            <w:noProof/>
            <w:webHidden/>
          </w:rPr>
          <w:instrText xml:space="preserve"> PAGEREF _Toc449109443 \h </w:instrText>
        </w:r>
        <w:r w:rsidR="005538B4">
          <w:rPr>
            <w:noProof/>
            <w:webHidden/>
          </w:rPr>
        </w:r>
        <w:r w:rsidR="005538B4">
          <w:rPr>
            <w:noProof/>
            <w:webHidden/>
          </w:rPr>
          <w:fldChar w:fldCharType="separate"/>
        </w:r>
        <w:r w:rsidR="00772CF3">
          <w:rPr>
            <w:noProof/>
            <w:webHidden/>
          </w:rPr>
          <w:t>287</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4" w:history="1">
        <w:r w:rsidR="005538B4" w:rsidRPr="004D3EAA">
          <w:rPr>
            <w:rStyle w:val="Hyperlink"/>
            <w:noProof/>
          </w:rPr>
          <w:t>Department of Treasury and Finance</w:t>
        </w:r>
        <w:r w:rsidR="005538B4">
          <w:rPr>
            <w:noProof/>
            <w:webHidden/>
          </w:rPr>
          <w:tab/>
        </w:r>
        <w:r w:rsidR="005538B4">
          <w:rPr>
            <w:noProof/>
            <w:webHidden/>
          </w:rPr>
          <w:fldChar w:fldCharType="begin"/>
        </w:r>
        <w:r w:rsidR="005538B4">
          <w:rPr>
            <w:noProof/>
            <w:webHidden/>
          </w:rPr>
          <w:instrText xml:space="preserve"> PAGEREF _Toc449109444 \h </w:instrText>
        </w:r>
        <w:r w:rsidR="005538B4">
          <w:rPr>
            <w:noProof/>
            <w:webHidden/>
          </w:rPr>
        </w:r>
        <w:r w:rsidR="005538B4">
          <w:rPr>
            <w:noProof/>
            <w:webHidden/>
          </w:rPr>
          <w:fldChar w:fldCharType="separate"/>
        </w:r>
        <w:r w:rsidR="00772CF3">
          <w:rPr>
            <w:noProof/>
            <w:webHidden/>
          </w:rPr>
          <w:t>306</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5" w:history="1">
        <w:r w:rsidR="005538B4" w:rsidRPr="004D3EAA">
          <w:rPr>
            <w:rStyle w:val="Hyperlink"/>
            <w:noProof/>
          </w:rPr>
          <w:t>Parliament (including Victorian Auditor</w:t>
        </w:r>
        <w:r w:rsidR="005538B4" w:rsidRPr="004D3EAA">
          <w:rPr>
            <w:rStyle w:val="Hyperlink"/>
            <w:noProof/>
          </w:rPr>
          <w:noBreakHyphen/>
          <w:t>General’s office)</w:t>
        </w:r>
        <w:r w:rsidR="005538B4">
          <w:rPr>
            <w:noProof/>
            <w:webHidden/>
          </w:rPr>
          <w:tab/>
        </w:r>
        <w:r w:rsidR="005538B4">
          <w:rPr>
            <w:noProof/>
            <w:webHidden/>
          </w:rPr>
          <w:fldChar w:fldCharType="begin"/>
        </w:r>
        <w:r w:rsidR="005538B4">
          <w:rPr>
            <w:noProof/>
            <w:webHidden/>
          </w:rPr>
          <w:instrText xml:space="preserve"> PAGEREF _Toc449109445 \h </w:instrText>
        </w:r>
        <w:r w:rsidR="005538B4">
          <w:rPr>
            <w:noProof/>
            <w:webHidden/>
          </w:rPr>
        </w:r>
        <w:r w:rsidR="005538B4">
          <w:rPr>
            <w:noProof/>
            <w:webHidden/>
          </w:rPr>
          <w:fldChar w:fldCharType="separate"/>
        </w:r>
        <w:r w:rsidR="00772CF3">
          <w:rPr>
            <w:noProof/>
            <w:webHidden/>
          </w:rPr>
          <w:t>324</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6" w:history="1">
        <w:r w:rsidR="005538B4" w:rsidRPr="004D3EAA">
          <w:rPr>
            <w:rStyle w:val="Hyperlink"/>
            <w:noProof/>
          </w:rPr>
          <w:t>Courts</w:t>
        </w:r>
        <w:r w:rsidR="005538B4">
          <w:rPr>
            <w:noProof/>
            <w:webHidden/>
          </w:rPr>
          <w:tab/>
        </w:r>
        <w:r w:rsidR="005538B4">
          <w:rPr>
            <w:noProof/>
            <w:webHidden/>
          </w:rPr>
          <w:fldChar w:fldCharType="begin"/>
        </w:r>
        <w:r w:rsidR="005538B4">
          <w:rPr>
            <w:noProof/>
            <w:webHidden/>
          </w:rPr>
          <w:instrText xml:space="preserve"> PAGEREF _Toc449109446 \h </w:instrText>
        </w:r>
        <w:r w:rsidR="005538B4">
          <w:rPr>
            <w:noProof/>
            <w:webHidden/>
          </w:rPr>
        </w:r>
        <w:r w:rsidR="005538B4">
          <w:rPr>
            <w:noProof/>
            <w:webHidden/>
          </w:rPr>
          <w:fldChar w:fldCharType="separate"/>
        </w:r>
        <w:r w:rsidR="00772CF3">
          <w:rPr>
            <w:noProof/>
            <w:webHidden/>
          </w:rPr>
          <w:t>335</w:t>
        </w:r>
        <w:r w:rsidR="005538B4">
          <w:rPr>
            <w:noProof/>
            <w:webHidden/>
          </w:rPr>
          <w:fldChar w:fldCharType="end"/>
        </w:r>
      </w:hyperlink>
    </w:p>
    <w:p w:rsidR="005538B4" w:rsidRDefault="005538B4">
      <w:pPr>
        <w:spacing w:after="0"/>
        <w:rPr>
          <w:rStyle w:val="Hyperlink"/>
          <w:rFonts w:ascii="Calibri" w:hAnsi="Calibri"/>
          <w:b/>
          <w:noProof/>
          <w:sz w:val="24"/>
        </w:rPr>
      </w:pPr>
      <w:r>
        <w:rPr>
          <w:rStyle w:val="Hyperlink"/>
          <w:noProof/>
        </w:rPr>
        <w:br w:type="page"/>
      </w:r>
    </w:p>
    <w:p w:rsidR="005538B4" w:rsidRPr="005538B4" w:rsidRDefault="005538B4" w:rsidP="005538B4">
      <w:pPr>
        <w:pStyle w:val="TableofContentscontinued"/>
        <w:rPr>
          <w:rStyle w:val="Hyperlink"/>
          <w:color w:val="auto"/>
          <w:u w:val="none"/>
        </w:rPr>
      </w:pPr>
      <w:r w:rsidRPr="005538B4">
        <w:rPr>
          <w:rStyle w:val="Hyperlink"/>
          <w:color w:val="auto"/>
          <w:u w:val="none"/>
        </w:rPr>
        <w:lastRenderedPageBreak/>
        <w:t xml:space="preserve">Table of contents </w:t>
      </w:r>
      <w:r w:rsidRPr="005538B4">
        <w:rPr>
          <w:rStyle w:val="Hyperlink"/>
          <w:i/>
          <w:color w:val="auto"/>
          <w:u w:val="none"/>
        </w:rPr>
        <w:t>(continued)</w:t>
      </w:r>
    </w:p>
    <w:p w:rsidR="005538B4" w:rsidRDefault="00584E38">
      <w:pPr>
        <w:pStyle w:val="TOC1"/>
        <w:rPr>
          <w:rFonts w:asciiTheme="minorHAnsi" w:eastAsiaTheme="minorEastAsia" w:hAnsiTheme="minorHAnsi" w:cstheme="minorBidi"/>
          <w:b w:val="0"/>
          <w:noProof/>
          <w:sz w:val="22"/>
          <w:szCs w:val="22"/>
          <w:lang w:eastAsia="en-AU"/>
        </w:rPr>
      </w:pPr>
      <w:hyperlink w:anchor="_Toc449109447" w:history="1">
        <w:r w:rsidR="005538B4" w:rsidRPr="004D3EAA">
          <w:rPr>
            <w:rStyle w:val="Hyperlink"/>
            <w:noProof/>
          </w:rPr>
          <w:t>Appendix A – Output performance measures for review by the Public Accounts and Estimates Committee</w:t>
        </w:r>
        <w:r w:rsidR="005538B4">
          <w:rPr>
            <w:noProof/>
            <w:webHidden/>
          </w:rPr>
          <w:tab/>
        </w:r>
        <w:r w:rsidR="005538B4">
          <w:rPr>
            <w:noProof/>
            <w:webHidden/>
          </w:rPr>
          <w:fldChar w:fldCharType="begin"/>
        </w:r>
        <w:r w:rsidR="005538B4">
          <w:rPr>
            <w:noProof/>
            <w:webHidden/>
          </w:rPr>
          <w:instrText xml:space="preserve"> PAGEREF _Toc449109447 \h </w:instrText>
        </w:r>
        <w:r w:rsidR="005538B4">
          <w:rPr>
            <w:noProof/>
            <w:webHidden/>
          </w:rPr>
        </w:r>
        <w:r w:rsidR="005538B4">
          <w:rPr>
            <w:noProof/>
            <w:webHidden/>
          </w:rPr>
          <w:fldChar w:fldCharType="separate"/>
        </w:r>
        <w:r w:rsidR="00772CF3">
          <w:rPr>
            <w:noProof/>
            <w:webHidden/>
          </w:rPr>
          <w:t>345</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8" w:history="1">
        <w:r w:rsidR="005538B4" w:rsidRPr="004D3EAA">
          <w:rPr>
            <w:rStyle w:val="Hyperlink"/>
            <w:rFonts w:eastAsiaTheme="minorHAnsi"/>
            <w:noProof/>
          </w:rPr>
          <w:t>Department of Economic Development, Jobs, Transport and Resources</w:t>
        </w:r>
        <w:r w:rsidR="005538B4">
          <w:rPr>
            <w:noProof/>
            <w:webHidden/>
          </w:rPr>
          <w:tab/>
        </w:r>
        <w:r w:rsidR="005538B4">
          <w:rPr>
            <w:noProof/>
            <w:webHidden/>
          </w:rPr>
          <w:fldChar w:fldCharType="begin"/>
        </w:r>
        <w:r w:rsidR="005538B4">
          <w:rPr>
            <w:noProof/>
            <w:webHidden/>
          </w:rPr>
          <w:instrText xml:space="preserve"> PAGEREF _Toc449109448 \h </w:instrText>
        </w:r>
        <w:r w:rsidR="005538B4">
          <w:rPr>
            <w:noProof/>
            <w:webHidden/>
          </w:rPr>
        </w:r>
        <w:r w:rsidR="005538B4">
          <w:rPr>
            <w:noProof/>
            <w:webHidden/>
          </w:rPr>
          <w:fldChar w:fldCharType="separate"/>
        </w:r>
        <w:r w:rsidR="00772CF3">
          <w:rPr>
            <w:noProof/>
            <w:webHidden/>
          </w:rPr>
          <w:t>346</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49" w:history="1">
        <w:r w:rsidR="005538B4" w:rsidRPr="004D3EAA">
          <w:rPr>
            <w:rStyle w:val="Hyperlink"/>
            <w:rFonts w:eastAsiaTheme="minorHAnsi"/>
            <w:noProof/>
          </w:rPr>
          <w:t>Department of Education and Training</w:t>
        </w:r>
        <w:r w:rsidR="005538B4">
          <w:rPr>
            <w:noProof/>
            <w:webHidden/>
          </w:rPr>
          <w:tab/>
        </w:r>
        <w:r w:rsidR="005538B4">
          <w:rPr>
            <w:noProof/>
            <w:webHidden/>
          </w:rPr>
          <w:fldChar w:fldCharType="begin"/>
        </w:r>
        <w:r w:rsidR="005538B4">
          <w:rPr>
            <w:noProof/>
            <w:webHidden/>
          </w:rPr>
          <w:instrText xml:space="preserve"> PAGEREF _Toc449109449 \h </w:instrText>
        </w:r>
        <w:r w:rsidR="005538B4">
          <w:rPr>
            <w:noProof/>
            <w:webHidden/>
          </w:rPr>
        </w:r>
        <w:r w:rsidR="005538B4">
          <w:rPr>
            <w:noProof/>
            <w:webHidden/>
          </w:rPr>
          <w:fldChar w:fldCharType="separate"/>
        </w:r>
        <w:r w:rsidR="00772CF3">
          <w:rPr>
            <w:noProof/>
            <w:webHidden/>
          </w:rPr>
          <w:t>352</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0" w:history="1">
        <w:r w:rsidR="005538B4" w:rsidRPr="004D3EAA">
          <w:rPr>
            <w:rStyle w:val="Hyperlink"/>
            <w:rFonts w:eastAsiaTheme="minorHAnsi"/>
            <w:noProof/>
          </w:rPr>
          <w:t>Department of Environment, Land, Water and Planning</w:t>
        </w:r>
        <w:r w:rsidR="005538B4">
          <w:rPr>
            <w:noProof/>
            <w:webHidden/>
          </w:rPr>
          <w:tab/>
        </w:r>
        <w:r w:rsidR="005538B4">
          <w:rPr>
            <w:noProof/>
            <w:webHidden/>
          </w:rPr>
          <w:fldChar w:fldCharType="begin"/>
        </w:r>
        <w:r w:rsidR="005538B4">
          <w:rPr>
            <w:noProof/>
            <w:webHidden/>
          </w:rPr>
          <w:instrText xml:space="preserve"> PAGEREF _Toc449109450 \h </w:instrText>
        </w:r>
        <w:r w:rsidR="005538B4">
          <w:rPr>
            <w:noProof/>
            <w:webHidden/>
          </w:rPr>
        </w:r>
        <w:r w:rsidR="005538B4">
          <w:rPr>
            <w:noProof/>
            <w:webHidden/>
          </w:rPr>
          <w:fldChar w:fldCharType="separate"/>
        </w:r>
        <w:r w:rsidR="00772CF3">
          <w:rPr>
            <w:noProof/>
            <w:webHidden/>
          </w:rPr>
          <w:t>353</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1" w:history="1">
        <w:r w:rsidR="005538B4" w:rsidRPr="004D3EAA">
          <w:rPr>
            <w:rStyle w:val="Hyperlink"/>
            <w:rFonts w:eastAsiaTheme="minorHAnsi"/>
            <w:noProof/>
          </w:rPr>
          <w:t>Department of Health and Human Services</w:t>
        </w:r>
        <w:r w:rsidR="005538B4">
          <w:rPr>
            <w:noProof/>
            <w:webHidden/>
          </w:rPr>
          <w:tab/>
        </w:r>
        <w:r w:rsidR="005538B4">
          <w:rPr>
            <w:noProof/>
            <w:webHidden/>
          </w:rPr>
          <w:fldChar w:fldCharType="begin"/>
        </w:r>
        <w:r w:rsidR="005538B4">
          <w:rPr>
            <w:noProof/>
            <w:webHidden/>
          </w:rPr>
          <w:instrText xml:space="preserve"> PAGEREF _Toc449109451 \h </w:instrText>
        </w:r>
        <w:r w:rsidR="005538B4">
          <w:rPr>
            <w:noProof/>
            <w:webHidden/>
          </w:rPr>
        </w:r>
        <w:r w:rsidR="005538B4">
          <w:rPr>
            <w:noProof/>
            <w:webHidden/>
          </w:rPr>
          <w:fldChar w:fldCharType="separate"/>
        </w:r>
        <w:r w:rsidR="00772CF3">
          <w:rPr>
            <w:noProof/>
            <w:webHidden/>
          </w:rPr>
          <w:t>356</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2" w:history="1">
        <w:r w:rsidR="005538B4" w:rsidRPr="004D3EAA">
          <w:rPr>
            <w:rStyle w:val="Hyperlink"/>
            <w:rFonts w:eastAsiaTheme="minorHAnsi"/>
            <w:noProof/>
          </w:rPr>
          <w:t>Department of Justice and Regulation</w:t>
        </w:r>
        <w:r w:rsidR="005538B4">
          <w:rPr>
            <w:noProof/>
            <w:webHidden/>
          </w:rPr>
          <w:tab/>
        </w:r>
        <w:r w:rsidR="005538B4">
          <w:rPr>
            <w:noProof/>
            <w:webHidden/>
          </w:rPr>
          <w:fldChar w:fldCharType="begin"/>
        </w:r>
        <w:r w:rsidR="005538B4">
          <w:rPr>
            <w:noProof/>
            <w:webHidden/>
          </w:rPr>
          <w:instrText xml:space="preserve"> PAGEREF _Toc449109452 \h </w:instrText>
        </w:r>
        <w:r w:rsidR="005538B4">
          <w:rPr>
            <w:noProof/>
            <w:webHidden/>
          </w:rPr>
        </w:r>
        <w:r w:rsidR="005538B4">
          <w:rPr>
            <w:noProof/>
            <w:webHidden/>
          </w:rPr>
          <w:fldChar w:fldCharType="separate"/>
        </w:r>
        <w:r w:rsidR="00772CF3">
          <w:rPr>
            <w:noProof/>
            <w:webHidden/>
          </w:rPr>
          <w:t>358</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3" w:history="1">
        <w:r w:rsidR="005538B4" w:rsidRPr="004D3EAA">
          <w:rPr>
            <w:rStyle w:val="Hyperlink"/>
            <w:rFonts w:eastAsiaTheme="minorHAnsi"/>
            <w:noProof/>
          </w:rPr>
          <w:t>Department of Premier and Cabinet</w:t>
        </w:r>
        <w:r w:rsidR="005538B4">
          <w:rPr>
            <w:noProof/>
            <w:webHidden/>
          </w:rPr>
          <w:tab/>
        </w:r>
        <w:r w:rsidR="005538B4">
          <w:rPr>
            <w:noProof/>
            <w:webHidden/>
          </w:rPr>
          <w:fldChar w:fldCharType="begin"/>
        </w:r>
        <w:r w:rsidR="005538B4">
          <w:rPr>
            <w:noProof/>
            <w:webHidden/>
          </w:rPr>
          <w:instrText xml:space="preserve"> PAGEREF _Toc449109453 \h </w:instrText>
        </w:r>
        <w:r w:rsidR="005538B4">
          <w:rPr>
            <w:noProof/>
            <w:webHidden/>
          </w:rPr>
        </w:r>
        <w:r w:rsidR="005538B4">
          <w:rPr>
            <w:noProof/>
            <w:webHidden/>
          </w:rPr>
          <w:fldChar w:fldCharType="separate"/>
        </w:r>
        <w:r w:rsidR="00772CF3">
          <w:rPr>
            <w:noProof/>
            <w:webHidden/>
          </w:rPr>
          <w:t>359</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4" w:history="1">
        <w:r w:rsidR="005538B4" w:rsidRPr="004D3EAA">
          <w:rPr>
            <w:rStyle w:val="Hyperlink"/>
            <w:rFonts w:eastAsiaTheme="minorHAnsi"/>
            <w:noProof/>
          </w:rPr>
          <w:t>Department of Treasury and Finance</w:t>
        </w:r>
        <w:r w:rsidR="005538B4">
          <w:rPr>
            <w:noProof/>
            <w:webHidden/>
          </w:rPr>
          <w:tab/>
        </w:r>
        <w:r w:rsidR="005538B4">
          <w:rPr>
            <w:noProof/>
            <w:webHidden/>
          </w:rPr>
          <w:fldChar w:fldCharType="begin"/>
        </w:r>
        <w:r w:rsidR="005538B4">
          <w:rPr>
            <w:noProof/>
            <w:webHidden/>
          </w:rPr>
          <w:instrText xml:space="preserve"> PAGEREF _Toc449109454 \h </w:instrText>
        </w:r>
        <w:r w:rsidR="005538B4">
          <w:rPr>
            <w:noProof/>
            <w:webHidden/>
          </w:rPr>
        </w:r>
        <w:r w:rsidR="005538B4">
          <w:rPr>
            <w:noProof/>
            <w:webHidden/>
          </w:rPr>
          <w:fldChar w:fldCharType="separate"/>
        </w:r>
        <w:r w:rsidR="00772CF3">
          <w:rPr>
            <w:noProof/>
            <w:webHidden/>
          </w:rPr>
          <w:t>360</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5" w:history="1">
        <w:r w:rsidR="005538B4" w:rsidRPr="004D3EAA">
          <w:rPr>
            <w:rStyle w:val="Hyperlink"/>
            <w:rFonts w:eastAsiaTheme="minorHAnsi"/>
            <w:noProof/>
          </w:rPr>
          <w:t>Courts</w:t>
        </w:r>
        <w:r w:rsidR="005538B4">
          <w:rPr>
            <w:noProof/>
            <w:webHidden/>
          </w:rPr>
          <w:tab/>
        </w:r>
        <w:r w:rsidR="005538B4">
          <w:rPr>
            <w:noProof/>
            <w:webHidden/>
          </w:rPr>
          <w:fldChar w:fldCharType="begin"/>
        </w:r>
        <w:r w:rsidR="005538B4">
          <w:rPr>
            <w:noProof/>
            <w:webHidden/>
          </w:rPr>
          <w:instrText xml:space="preserve"> PAGEREF _Toc449109455 \h </w:instrText>
        </w:r>
        <w:r w:rsidR="005538B4">
          <w:rPr>
            <w:noProof/>
            <w:webHidden/>
          </w:rPr>
        </w:r>
        <w:r w:rsidR="005538B4">
          <w:rPr>
            <w:noProof/>
            <w:webHidden/>
          </w:rPr>
          <w:fldChar w:fldCharType="separate"/>
        </w:r>
        <w:r w:rsidR="00772CF3">
          <w:rPr>
            <w:noProof/>
            <w:webHidden/>
          </w:rPr>
          <w:t>361</w:t>
        </w:r>
        <w:r w:rsidR="005538B4">
          <w:rPr>
            <w:noProof/>
            <w:webHidden/>
          </w:rPr>
          <w:fldChar w:fldCharType="end"/>
        </w:r>
      </w:hyperlink>
    </w:p>
    <w:p w:rsidR="005538B4" w:rsidRDefault="00584E38">
      <w:pPr>
        <w:pStyle w:val="TOC1"/>
        <w:rPr>
          <w:rFonts w:asciiTheme="minorHAnsi" w:eastAsiaTheme="minorEastAsia" w:hAnsiTheme="minorHAnsi" w:cstheme="minorBidi"/>
          <w:b w:val="0"/>
          <w:noProof/>
          <w:sz w:val="22"/>
          <w:szCs w:val="22"/>
          <w:lang w:eastAsia="en-AU"/>
        </w:rPr>
      </w:pPr>
      <w:hyperlink w:anchor="_Toc449109456" w:history="1">
        <w:r w:rsidR="005538B4" w:rsidRPr="004D3EAA">
          <w:rPr>
            <w:rStyle w:val="Hyperlink"/>
            <w:noProof/>
          </w:rPr>
          <w:t>Appendix B – Local Government financial relations</w:t>
        </w:r>
        <w:r w:rsidR="005538B4">
          <w:rPr>
            <w:noProof/>
            <w:webHidden/>
          </w:rPr>
          <w:tab/>
        </w:r>
        <w:r w:rsidR="005538B4">
          <w:rPr>
            <w:noProof/>
            <w:webHidden/>
          </w:rPr>
          <w:fldChar w:fldCharType="begin"/>
        </w:r>
        <w:r w:rsidR="005538B4">
          <w:rPr>
            <w:noProof/>
            <w:webHidden/>
          </w:rPr>
          <w:instrText xml:space="preserve"> PAGEREF _Toc449109456 \h </w:instrText>
        </w:r>
        <w:r w:rsidR="005538B4">
          <w:rPr>
            <w:noProof/>
            <w:webHidden/>
          </w:rPr>
        </w:r>
        <w:r w:rsidR="005538B4">
          <w:rPr>
            <w:noProof/>
            <w:webHidden/>
          </w:rPr>
          <w:fldChar w:fldCharType="separate"/>
        </w:r>
        <w:r w:rsidR="00772CF3">
          <w:rPr>
            <w:noProof/>
            <w:webHidden/>
          </w:rPr>
          <w:t>363</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7" w:history="1">
        <w:r w:rsidR="005538B4" w:rsidRPr="004D3EAA">
          <w:rPr>
            <w:rStyle w:val="Hyperlink"/>
            <w:rFonts w:eastAsiaTheme="minorHAnsi"/>
            <w:noProof/>
          </w:rPr>
          <w:t>Supporting Local Government in creating liveable communities</w:t>
        </w:r>
        <w:r w:rsidR="005538B4">
          <w:rPr>
            <w:noProof/>
            <w:webHidden/>
          </w:rPr>
          <w:tab/>
        </w:r>
        <w:r w:rsidR="005538B4">
          <w:rPr>
            <w:noProof/>
            <w:webHidden/>
          </w:rPr>
          <w:fldChar w:fldCharType="begin"/>
        </w:r>
        <w:r w:rsidR="005538B4">
          <w:rPr>
            <w:noProof/>
            <w:webHidden/>
          </w:rPr>
          <w:instrText xml:space="preserve"> PAGEREF _Toc449109457 \h </w:instrText>
        </w:r>
        <w:r w:rsidR="005538B4">
          <w:rPr>
            <w:noProof/>
            <w:webHidden/>
          </w:rPr>
        </w:r>
        <w:r w:rsidR="005538B4">
          <w:rPr>
            <w:noProof/>
            <w:webHidden/>
          </w:rPr>
          <w:fldChar w:fldCharType="separate"/>
        </w:r>
        <w:r w:rsidR="00772CF3">
          <w:rPr>
            <w:noProof/>
            <w:webHidden/>
          </w:rPr>
          <w:t>363</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8" w:history="1">
        <w:r w:rsidR="005538B4" w:rsidRPr="004D3EAA">
          <w:rPr>
            <w:rStyle w:val="Hyperlink"/>
            <w:rFonts w:eastAsiaTheme="minorHAnsi"/>
            <w:noProof/>
          </w:rPr>
          <w:t>Funding sources to Local Government in Victoria</w:t>
        </w:r>
        <w:r w:rsidR="005538B4">
          <w:rPr>
            <w:noProof/>
            <w:webHidden/>
          </w:rPr>
          <w:tab/>
        </w:r>
        <w:r w:rsidR="005538B4">
          <w:rPr>
            <w:noProof/>
            <w:webHidden/>
          </w:rPr>
          <w:fldChar w:fldCharType="begin"/>
        </w:r>
        <w:r w:rsidR="005538B4">
          <w:rPr>
            <w:noProof/>
            <w:webHidden/>
          </w:rPr>
          <w:instrText xml:space="preserve"> PAGEREF _Toc449109458 \h </w:instrText>
        </w:r>
        <w:r w:rsidR="005538B4">
          <w:rPr>
            <w:noProof/>
            <w:webHidden/>
          </w:rPr>
        </w:r>
        <w:r w:rsidR="005538B4">
          <w:rPr>
            <w:noProof/>
            <w:webHidden/>
          </w:rPr>
          <w:fldChar w:fldCharType="separate"/>
        </w:r>
        <w:r w:rsidR="00772CF3">
          <w:rPr>
            <w:noProof/>
            <w:webHidden/>
          </w:rPr>
          <w:t>365</w:t>
        </w:r>
        <w:r w:rsidR="005538B4">
          <w:rPr>
            <w:noProof/>
            <w:webHidden/>
          </w:rPr>
          <w:fldChar w:fldCharType="end"/>
        </w:r>
      </w:hyperlink>
    </w:p>
    <w:p w:rsidR="005538B4" w:rsidRDefault="00584E38">
      <w:pPr>
        <w:pStyle w:val="TOC2"/>
        <w:rPr>
          <w:rFonts w:asciiTheme="minorHAnsi" w:eastAsiaTheme="minorEastAsia" w:hAnsiTheme="minorHAnsi" w:cstheme="minorBidi"/>
          <w:noProof/>
          <w:sz w:val="22"/>
          <w:szCs w:val="22"/>
          <w:lang w:eastAsia="en-AU"/>
        </w:rPr>
      </w:pPr>
      <w:hyperlink w:anchor="_Toc449109459" w:history="1">
        <w:r w:rsidR="005538B4" w:rsidRPr="004D3EAA">
          <w:rPr>
            <w:rStyle w:val="Hyperlink"/>
            <w:rFonts w:eastAsiaTheme="minorHAnsi"/>
            <w:i/>
            <w:noProof/>
          </w:rPr>
          <w:t>2016</w:t>
        </w:r>
        <w:r w:rsidR="005538B4" w:rsidRPr="004D3EAA">
          <w:rPr>
            <w:rStyle w:val="Hyperlink"/>
            <w:rFonts w:eastAsiaTheme="minorHAnsi"/>
            <w:i/>
            <w:noProof/>
          </w:rPr>
          <w:noBreakHyphen/>
          <w:t>17 Budget</w:t>
        </w:r>
        <w:r w:rsidR="005538B4" w:rsidRPr="004D3EAA">
          <w:rPr>
            <w:rStyle w:val="Hyperlink"/>
            <w:rFonts w:eastAsiaTheme="minorHAnsi"/>
            <w:noProof/>
          </w:rPr>
          <w:t xml:space="preserve"> initiatives</w:t>
        </w:r>
        <w:r w:rsidR="005538B4">
          <w:rPr>
            <w:noProof/>
            <w:webHidden/>
          </w:rPr>
          <w:tab/>
        </w:r>
        <w:r w:rsidR="005538B4">
          <w:rPr>
            <w:noProof/>
            <w:webHidden/>
          </w:rPr>
          <w:fldChar w:fldCharType="begin"/>
        </w:r>
        <w:r w:rsidR="005538B4">
          <w:rPr>
            <w:noProof/>
            <w:webHidden/>
          </w:rPr>
          <w:instrText xml:space="preserve"> PAGEREF _Toc449109459 \h </w:instrText>
        </w:r>
        <w:r w:rsidR="005538B4">
          <w:rPr>
            <w:noProof/>
            <w:webHidden/>
          </w:rPr>
        </w:r>
        <w:r w:rsidR="005538B4">
          <w:rPr>
            <w:noProof/>
            <w:webHidden/>
          </w:rPr>
          <w:fldChar w:fldCharType="separate"/>
        </w:r>
        <w:r w:rsidR="00772CF3">
          <w:rPr>
            <w:noProof/>
            <w:webHidden/>
          </w:rPr>
          <w:t>368</w:t>
        </w:r>
        <w:r w:rsidR="005538B4">
          <w:rPr>
            <w:noProof/>
            <w:webHidden/>
          </w:rPr>
          <w:fldChar w:fldCharType="end"/>
        </w:r>
      </w:hyperlink>
    </w:p>
    <w:p w:rsidR="005538B4" w:rsidRDefault="00584E38">
      <w:pPr>
        <w:pStyle w:val="TOC1"/>
        <w:rPr>
          <w:rFonts w:asciiTheme="minorHAnsi" w:eastAsiaTheme="minorEastAsia" w:hAnsiTheme="minorHAnsi" w:cstheme="minorBidi"/>
          <w:b w:val="0"/>
          <w:noProof/>
          <w:sz w:val="22"/>
          <w:szCs w:val="22"/>
          <w:lang w:eastAsia="en-AU"/>
        </w:rPr>
      </w:pPr>
      <w:hyperlink w:anchor="_Toc449109460" w:history="1">
        <w:r w:rsidR="005538B4" w:rsidRPr="004D3EAA">
          <w:rPr>
            <w:rStyle w:val="Hyperlink"/>
            <w:rFonts w:eastAsiaTheme="minorHAnsi"/>
            <w:noProof/>
          </w:rPr>
          <w:t>Style conventions</w:t>
        </w:r>
        <w:r w:rsidR="005538B4">
          <w:rPr>
            <w:noProof/>
            <w:webHidden/>
          </w:rPr>
          <w:tab/>
        </w:r>
        <w:r w:rsidR="005538B4">
          <w:rPr>
            <w:noProof/>
            <w:webHidden/>
          </w:rPr>
          <w:fldChar w:fldCharType="begin"/>
        </w:r>
        <w:r w:rsidR="005538B4">
          <w:rPr>
            <w:noProof/>
            <w:webHidden/>
          </w:rPr>
          <w:instrText xml:space="preserve"> PAGEREF _Toc449109460 \h </w:instrText>
        </w:r>
        <w:r w:rsidR="005538B4">
          <w:rPr>
            <w:noProof/>
            <w:webHidden/>
          </w:rPr>
        </w:r>
        <w:r w:rsidR="005538B4">
          <w:rPr>
            <w:noProof/>
            <w:webHidden/>
          </w:rPr>
          <w:fldChar w:fldCharType="separate"/>
        </w:r>
        <w:r w:rsidR="00772CF3">
          <w:rPr>
            <w:noProof/>
            <w:webHidden/>
          </w:rPr>
          <w:t>371</w:t>
        </w:r>
        <w:r w:rsidR="005538B4">
          <w:rPr>
            <w:noProof/>
            <w:webHidden/>
          </w:rPr>
          <w:fldChar w:fldCharType="end"/>
        </w:r>
      </w:hyperlink>
    </w:p>
    <w:p w:rsidR="005538B4" w:rsidRDefault="00584E38">
      <w:pPr>
        <w:pStyle w:val="TOC1"/>
        <w:rPr>
          <w:rFonts w:asciiTheme="minorHAnsi" w:eastAsiaTheme="minorEastAsia" w:hAnsiTheme="minorHAnsi" w:cstheme="minorBidi"/>
          <w:b w:val="0"/>
          <w:noProof/>
          <w:sz w:val="22"/>
          <w:szCs w:val="22"/>
          <w:lang w:eastAsia="en-AU"/>
        </w:rPr>
      </w:pPr>
      <w:hyperlink w:anchor="_Toc449109461" w:history="1">
        <w:r w:rsidR="005538B4" w:rsidRPr="004D3EAA">
          <w:rPr>
            <w:rStyle w:val="Hyperlink"/>
            <w:noProof/>
          </w:rPr>
          <w:t>Index</w:t>
        </w:r>
        <w:r w:rsidR="005538B4">
          <w:rPr>
            <w:noProof/>
            <w:webHidden/>
          </w:rPr>
          <w:tab/>
        </w:r>
        <w:r w:rsidR="005538B4">
          <w:rPr>
            <w:noProof/>
            <w:webHidden/>
          </w:rPr>
          <w:fldChar w:fldCharType="begin"/>
        </w:r>
        <w:r w:rsidR="005538B4">
          <w:rPr>
            <w:noProof/>
            <w:webHidden/>
          </w:rPr>
          <w:instrText xml:space="preserve"> PAGEREF _Toc449109461 \h </w:instrText>
        </w:r>
        <w:r w:rsidR="005538B4">
          <w:rPr>
            <w:noProof/>
            <w:webHidden/>
          </w:rPr>
        </w:r>
        <w:r w:rsidR="005538B4">
          <w:rPr>
            <w:noProof/>
            <w:webHidden/>
          </w:rPr>
          <w:fldChar w:fldCharType="separate"/>
        </w:r>
        <w:r w:rsidR="00772CF3">
          <w:rPr>
            <w:noProof/>
            <w:webHidden/>
          </w:rPr>
          <w:t>373</w:t>
        </w:r>
        <w:r w:rsidR="005538B4">
          <w:rPr>
            <w:noProof/>
            <w:webHidden/>
          </w:rPr>
          <w:fldChar w:fldCharType="end"/>
        </w:r>
      </w:hyperlink>
    </w:p>
    <w:p w:rsidR="00E25CC6" w:rsidRDefault="00E25CC6" w:rsidP="0020223B">
      <w:pPr>
        <w:pStyle w:val="Heading1"/>
      </w:pPr>
      <w:r>
        <w:fldChar w:fldCharType="end"/>
      </w:r>
    </w:p>
    <w:p w:rsidR="00E25CC6" w:rsidRPr="00243370" w:rsidRDefault="00E25CC6" w:rsidP="00243370"/>
    <w:p w:rsidR="00E25CC6" w:rsidRDefault="00E25CC6" w:rsidP="00243370">
      <w:pPr>
        <w:rPr>
          <w:rFonts w:eastAsiaTheme="minorHAnsi"/>
        </w:rPr>
        <w:sectPr w:rsidR="00E25CC6" w:rsidSect="007A3BD7">
          <w:footerReference w:type="even" r:id="rId19"/>
          <w:footerReference w:type="default" r:id="rId20"/>
          <w:pgSz w:w="9979" w:h="14181" w:code="138"/>
          <w:pgMar w:top="1138" w:right="1138" w:bottom="1138" w:left="1138" w:header="720" w:footer="432" w:gutter="0"/>
          <w:pgNumType w:start="1"/>
          <w:cols w:space="708"/>
          <w:docGrid w:linePitch="360"/>
        </w:sectPr>
      </w:pPr>
    </w:p>
    <w:p w:rsidR="00E25CC6" w:rsidRDefault="00E25CC6" w:rsidP="00062624">
      <w:pPr>
        <w:pStyle w:val="ChapterHeading"/>
      </w:pPr>
      <w:bookmarkStart w:id="5" w:name="_Toc449109420"/>
      <w:r>
        <w:lastRenderedPageBreak/>
        <w:t xml:space="preserve">Chapter 1 – </w:t>
      </w:r>
      <w:r w:rsidRPr="00C631FB">
        <w:t>Output, asset investment</w:t>
      </w:r>
      <w:r>
        <w:t>,</w:t>
      </w:r>
      <w:r w:rsidRPr="00C631FB">
        <w:t xml:space="preserve"> savings and revenue initiatives</w:t>
      </w:r>
      <w:bookmarkEnd w:id="5"/>
    </w:p>
    <w:p w:rsidR="00E25CC6" w:rsidRDefault="00E25CC6" w:rsidP="00E970FB">
      <w:r>
        <w:t xml:space="preserve">Budget Paper No. 3 </w:t>
      </w:r>
      <w:r>
        <w:rPr>
          <w:i/>
          <w:iCs/>
        </w:rPr>
        <w:t>Service Delivery</w:t>
      </w:r>
      <w:r>
        <w:t xml:space="preserve"> outlines the Government’s priorities for the goods and services it provides to Victorians, and details the budget decisions the Government has taken to implement its agenda. </w:t>
      </w:r>
    </w:p>
    <w:p w:rsidR="00E25CC6" w:rsidRPr="00492004" w:rsidRDefault="00E25CC6" w:rsidP="00E970FB">
      <w:pPr>
        <w:rPr>
          <w:i/>
        </w:rPr>
      </w:pPr>
      <w:r>
        <w:t xml:space="preserve">The </w:t>
      </w:r>
      <w:r>
        <w:rPr>
          <w:i/>
          <w:iCs/>
        </w:rPr>
        <w:t>2016</w:t>
      </w:r>
      <w:r>
        <w:rPr>
          <w:i/>
          <w:iCs/>
        </w:rPr>
        <w:noBreakHyphen/>
        <w:t xml:space="preserve">17 </w:t>
      </w:r>
      <w:r w:rsidRPr="002029F5">
        <w:rPr>
          <w:i/>
          <w:iCs/>
        </w:rPr>
        <w:t>Budget</w:t>
      </w:r>
      <w:r w:rsidRPr="002029F5">
        <w:t xml:space="preserve"> funds $</w:t>
      </w:r>
      <w:r>
        <w:t>6.8 billion</w:t>
      </w:r>
      <w:r w:rsidRPr="002029F5">
        <w:t xml:space="preserve"> in output initiatives and up to $12.4</w:t>
      </w:r>
      <w:r>
        <w:t> billion in new capital investment. This builds on the Government’s $9.17 billion investment in output initiatives and up to $22 billion in capital projects in 2015</w:t>
      </w:r>
      <w:r>
        <w:noBreakHyphen/>
        <w:t xml:space="preserve">16. The funding allocated in this budget will improve service delivery for all Victorians and provide the infrastructure needed to improve productivity and drive future economic growth. </w:t>
      </w:r>
    </w:p>
    <w:p w:rsidR="00E25CC6" w:rsidRPr="00263A76" w:rsidRDefault="00E25CC6" w:rsidP="00E970FB">
      <w:r>
        <w:t xml:space="preserve">Budget Paper No. 3 </w:t>
      </w:r>
      <w:r>
        <w:rPr>
          <w:i/>
        </w:rPr>
        <w:t>Service Delivery</w:t>
      </w:r>
      <w:r>
        <w:t xml:space="preserve"> provides information on how the Government is meeting its performance targets for delivering outputs to the community, and how these outputs contribute to key objectives.</w:t>
      </w:r>
    </w:p>
    <w:p w:rsidR="00E25CC6" w:rsidRDefault="00E25CC6" w:rsidP="00E970FB">
      <w:pPr>
        <w:pStyle w:val="Heading5"/>
      </w:pPr>
      <w:r>
        <w:t>Strong growth</w:t>
      </w:r>
    </w:p>
    <w:p w:rsidR="00E25CC6" w:rsidRDefault="00E25CC6" w:rsidP="00E970FB">
      <w:r>
        <w:t xml:space="preserve">Victoria has Australia’s strongest growth in state final demand. </w:t>
      </w:r>
      <w:r w:rsidRPr="00B94F6A">
        <w:t xml:space="preserve">Real gross state product growth is forecast to </w:t>
      </w:r>
      <w:r>
        <w:t>stay above trend at 3 per cent in 2016</w:t>
      </w:r>
      <w:r>
        <w:noBreakHyphen/>
        <w:t>17, and Victoria’s diverse economy provides a key competitive advantage and opportunity to facilitate future growth.</w:t>
      </w:r>
    </w:p>
    <w:p w:rsidR="00E25CC6" w:rsidRDefault="00E25CC6" w:rsidP="00E970FB">
      <w:r>
        <w:t xml:space="preserve">The </w:t>
      </w:r>
      <w:r>
        <w:rPr>
          <w:i/>
        </w:rPr>
        <w:t>2016</w:t>
      </w:r>
      <w:r>
        <w:rPr>
          <w:i/>
        </w:rPr>
        <w:noBreakHyphen/>
        <w:t>17 Budget</w:t>
      </w:r>
      <w:r>
        <w:t xml:space="preserve"> provides a range of initiatives to build on the strong increase in Victorian employment and enhance Victoria’s position as a centre of economic growth. This includes:</w:t>
      </w:r>
    </w:p>
    <w:p w:rsidR="00E25CC6" w:rsidRPr="00F52C59" w:rsidRDefault="00E25CC6" w:rsidP="00F52C59">
      <w:pPr>
        <w:pStyle w:val="BulletText"/>
      </w:pPr>
      <w:r w:rsidRPr="00F52C59">
        <w:t>$236.9</w:t>
      </w:r>
      <w:r>
        <w:t> million</w:t>
      </w:r>
      <w:r w:rsidRPr="00F52C59">
        <w:t xml:space="preserve"> to </w:t>
      </w:r>
      <w:r>
        <w:t>Make Victoria number one</w:t>
      </w:r>
      <w:r w:rsidRPr="00F52C59">
        <w:t>.</w:t>
      </w:r>
      <w:r>
        <w:t xml:space="preserve"> </w:t>
      </w:r>
      <w:r w:rsidRPr="00F52C59">
        <w:t>Funding is provided for a range of initiatives including: continuation of the international Victorian Government Business Office network; establishment of an investment and attraction assistance program; support for investor migration and global talent</w:t>
      </w:r>
      <w:r>
        <w:t xml:space="preserve"> program</w:t>
      </w:r>
      <w:r w:rsidRPr="00F52C59">
        <w:t>; support for Globally Connecting Business;</w:t>
      </w:r>
      <w:r>
        <w:t xml:space="preserve"> and </w:t>
      </w:r>
      <w:r w:rsidRPr="00F52C59">
        <w:t>creation of a business events fund.</w:t>
      </w:r>
    </w:p>
    <w:p w:rsidR="00E25CC6" w:rsidRDefault="00E25CC6" w:rsidP="00E970FB">
      <w:pPr>
        <w:pStyle w:val="BulletText"/>
      </w:pPr>
      <w:r w:rsidRPr="00341D65">
        <w:t>$111.4</w:t>
      </w:r>
      <w:r>
        <w:t> million</w:t>
      </w:r>
      <w:r w:rsidRPr="00341D65">
        <w:t xml:space="preserve"> </w:t>
      </w:r>
      <w:r>
        <w:t>for</w:t>
      </w:r>
      <w:r w:rsidRPr="00341D65">
        <w:t xml:space="preserve"> the Future Industries Fund to grow priority sectors where Victoria can </w:t>
      </w:r>
      <w:r>
        <w:t>gain</w:t>
      </w:r>
      <w:r w:rsidRPr="00341D65">
        <w:t xml:space="preserve"> a </w:t>
      </w:r>
      <w:r>
        <w:t xml:space="preserve">future </w:t>
      </w:r>
      <w:r w:rsidRPr="00341D65">
        <w:t>competitive advantage</w:t>
      </w:r>
      <w:r>
        <w:t>, namely medical technology and pharmaceuticals, new energy technology, food and fibre processing, transport, defence and construction technology, international education and professional services;</w:t>
      </w:r>
    </w:p>
    <w:p w:rsidR="00E25CC6" w:rsidRDefault="00E25CC6">
      <w:pPr>
        <w:spacing w:after="0"/>
      </w:pPr>
      <w:r>
        <w:br w:type="page"/>
      </w:r>
    </w:p>
    <w:p w:rsidR="00E25CC6" w:rsidRDefault="00E25CC6" w:rsidP="00E970FB">
      <w:pPr>
        <w:pStyle w:val="BulletText"/>
      </w:pPr>
      <w:r>
        <w:lastRenderedPageBreak/>
        <w:t xml:space="preserve">$64 million to support </w:t>
      </w:r>
      <w:r w:rsidRPr="00BC588F">
        <w:t>Victoria</w:t>
      </w:r>
      <w:r>
        <w:t>’</w:t>
      </w:r>
      <w:r w:rsidRPr="00BC588F">
        <w:t>s most disadvantaged and marginalise</w:t>
      </w:r>
      <w:r>
        <w:t>d job seekers, and expand</w:t>
      </w:r>
      <w:r w:rsidRPr="00BC588F">
        <w:t xml:space="preserve"> current support the State provides to unemployed job seekers</w:t>
      </w:r>
      <w:r>
        <w:t>; and</w:t>
      </w:r>
    </w:p>
    <w:p w:rsidR="00E25CC6" w:rsidRDefault="00E25CC6" w:rsidP="00E970FB">
      <w:pPr>
        <w:pStyle w:val="BulletText"/>
      </w:pPr>
      <w:r>
        <w:t>$50 million to expand the Premier’s Jobs and Investment Fund which will bring the total investment in this Fund to $558 million.</w:t>
      </w:r>
    </w:p>
    <w:p w:rsidR="00E25CC6" w:rsidRDefault="00E25CC6" w:rsidP="00E970FB">
      <w:r>
        <w:t xml:space="preserve">Victoria’s regions are home to approximately a quarter of all Victorians, and are expected to grow by 70 per cent by 2031. The </w:t>
      </w:r>
      <w:r w:rsidRPr="00D73BD4">
        <w:rPr>
          <w:i/>
        </w:rPr>
        <w:t>2016</w:t>
      </w:r>
      <w:r>
        <w:rPr>
          <w:i/>
        </w:rPr>
        <w:noBreakHyphen/>
      </w:r>
      <w:r w:rsidRPr="00D73BD4">
        <w:rPr>
          <w:i/>
        </w:rPr>
        <w:t>17 Budget</w:t>
      </w:r>
      <w:r>
        <w:t xml:space="preserve"> addresses the growth of regional and rural communities by investing:</w:t>
      </w:r>
    </w:p>
    <w:p w:rsidR="00E25CC6" w:rsidRDefault="00E25CC6" w:rsidP="00E970FB">
      <w:pPr>
        <w:pStyle w:val="BulletText"/>
      </w:pPr>
      <w:r>
        <w:t>$1.3 billion in upgrades to regional public transport which respond to the needs identified by regional Victorians to deliver a better public transport network, deliver local transport solutions and improve passenger experience;</w:t>
      </w:r>
    </w:p>
    <w:p w:rsidR="00E25CC6" w:rsidRDefault="00E25CC6" w:rsidP="00E970FB">
      <w:pPr>
        <w:pStyle w:val="BulletText"/>
      </w:pPr>
      <w:r w:rsidRPr="00C85576">
        <w:t>$200</w:t>
      </w:r>
      <w:r>
        <w:t> million</w:t>
      </w:r>
      <w:r w:rsidRPr="00C85576">
        <w:t xml:space="preserve"> to improve the health and management of Victoria</w:t>
      </w:r>
      <w:r>
        <w:t>’</w:t>
      </w:r>
      <w:r w:rsidRPr="00C85576">
        <w:t>s regional waterways</w:t>
      </w:r>
      <w:r>
        <w:t>;</w:t>
      </w:r>
      <w:r w:rsidRPr="00C85576">
        <w:t xml:space="preserve"> </w:t>
      </w:r>
    </w:p>
    <w:p w:rsidR="00E25CC6" w:rsidRDefault="00E25CC6" w:rsidP="00E970FB">
      <w:pPr>
        <w:pStyle w:val="BulletText"/>
      </w:pPr>
      <w:r>
        <w:t>$123.3 million</w:t>
      </w:r>
      <w:r w:rsidRPr="00FB224D">
        <w:t xml:space="preserve"> for upgrades to the regional irrigation infrastructure, connecting towns in South Gippsland, protecting Bendigo</w:t>
      </w:r>
      <w:r>
        <w:t>’</w:t>
      </w:r>
      <w:r w:rsidRPr="00FB224D">
        <w:t xml:space="preserve">s farming industries, </w:t>
      </w:r>
      <w:r>
        <w:t>and</w:t>
      </w:r>
      <w:r w:rsidRPr="00FB224D">
        <w:t xml:space="preserve"> the future of the tourist mine</w:t>
      </w:r>
      <w:r>
        <w:t>; and</w:t>
      </w:r>
    </w:p>
    <w:p w:rsidR="00E25CC6" w:rsidRDefault="00E25CC6" w:rsidP="00E970FB">
      <w:pPr>
        <w:pStyle w:val="BulletText"/>
      </w:pPr>
      <w:r w:rsidRPr="00C85576">
        <w:t>$</w:t>
      </w:r>
      <w:r>
        <w:t>101 million</w:t>
      </w:r>
      <w:r w:rsidRPr="00C85576">
        <w:t xml:space="preserve"> towards the </w:t>
      </w:r>
      <w:r>
        <w:t xml:space="preserve">Regional </w:t>
      </w:r>
      <w:r w:rsidRPr="00C85576">
        <w:t xml:space="preserve">Tourism Infrastructure Fund, </w:t>
      </w:r>
      <w:r>
        <w:t>to promote the attractions of regional Victoria and deliver tourism events throughout those regions.</w:t>
      </w:r>
      <w:r>
        <w:fldChar w:fldCharType="begin"/>
      </w:r>
      <w:r>
        <w:instrText xml:space="preserve"> XE "</w:instrText>
      </w:r>
      <w:r w:rsidRPr="00873D1A">
        <w:instrText>Regional and Rural Victoria Services</w:instrText>
      </w:r>
      <w:r>
        <w:instrText xml:space="preserve">" </w:instrText>
      </w:r>
      <w:r>
        <w:fldChar w:fldCharType="end"/>
      </w:r>
    </w:p>
    <w:p w:rsidR="00E25CC6" w:rsidRDefault="00E25CC6" w:rsidP="00E970FB">
      <w:pPr>
        <w:pStyle w:val="Heading5"/>
      </w:pPr>
      <w:r>
        <w:t>Building a stronger Victoria</w:t>
      </w:r>
    </w:p>
    <w:p w:rsidR="00E25CC6" w:rsidRPr="00134D14" w:rsidRDefault="00E25CC6" w:rsidP="00E970FB">
      <w:r w:rsidRPr="00134D14">
        <w:t xml:space="preserve">The </w:t>
      </w:r>
      <w:r>
        <w:rPr>
          <w:i/>
        </w:rPr>
        <w:t>2016</w:t>
      </w:r>
      <w:r>
        <w:rPr>
          <w:i/>
        </w:rPr>
        <w:noBreakHyphen/>
        <w:t>17 Budget</w:t>
      </w:r>
      <w:r>
        <w:t xml:space="preserve"> continues the strong investment </w:t>
      </w:r>
      <w:r w:rsidRPr="00134D14">
        <w:t>in infrastructure to meet the needs of a growing population</w:t>
      </w:r>
      <w:r>
        <w:t xml:space="preserve"> and to support continued economic growth</w:t>
      </w:r>
      <w:r w:rsidRPr="00134D14">
        <w:t>.</w:t>
      </w:r>
    </w:p>
    <w:p w:rsidR="00E25CC6" w:rsidRDefault="00E25CC6" w:rsidP="00E970FB">
      <w:r w:rsidRPr="00134D14">
        <w:t xml:space="preserve">Investments in social and community infrastructure, such as </w:t>
      </w:r>
      <w:r w:rsidRPr="005121D0">
        <w:t>the $</w:t>
      </w:r>
      <w:r>
        <w:t>982 million</w:t>
      </w:r>
      <w:r w:rsidRPr="005121D0">
        <w:t xml:space="preserve"> investment</w:t>
      </w:r>
      <w:r>
        <w:t xml:space="preserve"> in the health system, and the </w:t>
      </w:r>
      <w:r w:rsidRPr="0022074B">
        <w:t>$</w:t>
      </w:r>
      <w:r>
        <w:t>924.1 million for school facilities</w:t>
      </w:r>
      <w:r w:rsidRPr="00134D14">
        <w:t>, ensure all Victorians access the quality services they need and deserve.</w:t>
      </w:r>
      <w:r>
        <w:t xml:space="preserve"> </w:t>
      </w:r>
    </w:p>
    <w:p w:rsidR="00E25CC6" w:rsidRDefault="00E25CC6" w:rsidP="00E970FB">
      <w:r w:rsidRPr="00134D14">
        <w:t>Under an extensive and revitalised school building program, scores of Victorian schools will be renovated, refurbished, maintained and rebuilt. New schoo</w:t>
      </w:r>
      <w:r>
        <w:t xml:space="preserve">ls will be constructed and </w:t>
      </w:r>
      <w:r w:rsidRPr="00134D14">
        <w:t>new relocatable classrooms will be delivered to meet demand at growing schools.</w:t>
      </w:r>
      <w:r w:rsidRPr="00095168">
        <w:t xml:space="preserve"> </w:t>
      </w:r>
      <w:r>
        <w:t>Key initiatives include:</w:t>
      </w:r>
    </w:p>
    <w:p w:rsidR="00E25CC6" w:rsidRPr="007A68D0" w:rsidRDefault="00E25CC6" w:rsidP="00E970FB">
      <w:pPr>
        <w:pStyle w:val="BulletText"/>
      </w:pPr>
      <w:r>
        <w:t>$385 million</w:t>
      </w:r>
      <w:r w:rsidRPr="007A68D0">
        <w:t xml:space="preserve"> to upgrade 86 schools across metropolitan, rural and regional Victoria;</w:t>
      </w:r>
    </w:p>
    <w:p w:rsidR="00E25CC6" w:rsidRPr="007A68D0" w:rsidRDefault="00E25CC6" w:rsidP="00E970FB">
      <w:pPr>
        <w:pStyle w:val="BulletText"/>
      </w:pPr>
      <w:r w:rsidRPr="007A68D0">
        <w:t>$185.4</w:t>
      </w:r>
      <w:r>
        <w:t> million</w:t>
      </w:r>
      <w:r w:rsidRPr="007A68D0">
        <w:t xml:space="preserve"> to construct new schools and address current overcrowd</w:t>
      </w:r>
      <w:r>
        <w:t>ing;</w:t>
      </w:r>
    </w:p>
    <w:p w:rsidR="00E25CC6" w:rsidRDefault="00E25CC6" w:rsidP="00E970FB">
      <w:pPr>
        <w:pStyle w:val="BulletText"/>
      </w:pPr>
      <w:r w:rsidRPr="007A68D0">
        <w:t>$102</w:t>
      </w:r>
      <w:r>
        <w:t> million</w:t>
      </w:r>
      <w:r w:rsidRPr="007A68D0">
        <w:t xml:space="preserve"> to acquire land for the future construction of 12 new schools in the Cities of Hume, Yarra, Greater Geelong, Melton, Casey, Wyndham, Melton, W</w:t>
      </w:r>
      <w:r>
        <w:t>hittlesea and Greater Dandenong; and</w:t>
      </w:r>
    </w:p>
    <w:p w:rsidR="00E25CC6" w:rsidRPr="00341D65" w:rsidRDefault="00E25CC6" w:rsidP="008E4FC1">
      <w:pPr>
        <w:pStyle w:val="BulletText"/>
      </w:pPr>
      <w:r>
        <w:t>$50 million for a new Shared Facilities Fund for building new jointly funded and managed community assets like sports facilities, performing arts centres, libraries and community centres to create community hubs at major schools in growth corridors and elsewhere across the State.</w:t>
      </w:r>
    </w:p>
    <w:p w:rsidR="00E25CC6" w:rsidRDefault="00E25CC6">
      <w:pPr>
        <w:spacing w:after="0"/>
      </w:pPr>
      <w:r>
        <w:br w:type="page"/>
      </w:r>
    </w:p>
    <w:p w:rsidR="00E25CC6" w:rsidRPr="00504D28" w:rsidRDefault="00E25CC6" w:rsidP="00E970FB">
      <w:r w:rsidRPr="00504D28">
        <w:t>Infrastructure investment in Victoria</w:t>
      </w:r>
      <w:r>
        <w:t>’</w:t>
      </w:r>
      <w:r w:rsidRPr="00504D28">
        <w:t>s health system continues to grow and respond to the needs of Victorians</w:t>
      </w:r>
      <w:r>
        <w:t xml:space="preserve"> to ensure all people get the appropriate care they need. This investment targets all </w:t>
      </w:r>
      <w:r w:rsidRPr="00504D28">
        <w:t xml:space="preserve">aspects </w:t>
      </w:r>
      <w:r>
        <w:t>of the health system, including:</w:t>
      </w:r>
    </w:p>
    <w:p w:rsidR="00E25CC6" w:rsidRPr="007A68D0" w:rsidRDefault="00E25CC6" w:rsidP="00E970FB">
      <w:pPr>
        <w:pStyle w:val="BulletText"/>
      </w:pPr>
      <w:r w:rsidRPr="007A68D0">
        <w:t>$168.5</w:t>
      </w:r>
      <w:r>
        <w:t> million</w:t>
      </w:r>
      <w:r w:rsidRPr="007A68D0">
        <w:t xml:space="preserve"> to continue the redevelopment of the Goulburn Valley </w:t>
      </w:r>
      <w:r>
        <w:t>Health</w:t>
      </w:r>
      <w:r w:rsidRPr="007A68D0">
        <w:t xml:space="preserve"> in Shepparton, providing a new four</w:t>
      </w:r>
      <w:r>
        <w:noBreakHyphen/>
      </w:r>
      <w:r w:rsidRPr="007A68D0">
        <w:t>storey tower, delivering new and refurbished theatres, as well as expanding the emergency department and other key areas;</w:t>
      </w:r>
    </w:p>
    <w:p w:rsidR="00E25CC6" w:rsidRPr="007A68D0" w:rsidRDefault="00E25CC6" w:rsidP="00E970FB">
      <w:pPr>
        <w:pStyle w:val="BulletText"/>
      </w:pPr>
      <w:r w:rsidRPr="007A68D0">
        <w:t>$200</w:t>
      </w:r>
      <w:r>
        <w:t> million</w:t>
      </w:r>
      <w:r w:rsidRPr="007A68D0">
        <w:t xml:space="preserve"> to</w:t>
      </w:r>
      <w:r>
        <w:t xml:space="preserve"> establish a Regional Health Infrastructure Fund to</w:t>
      </w:r>
      <w:r w:rsidRPr="007A68D0">
        <w:t xml:space="preserve"> undertake minor capital works to enhance the quality and amenity of rural and regional health services and enhance service delivery capabilities;</w:t>
      </w:r>
    </w:p>
    <w:p w:rsidR="00E25CC6" w:rsidRDefault="00E25CC6" w:rsidP="00E970FB">
      <w:pPr>
        <w:pStyle w:val="BulletText"/>
      </w:pPr>
      <w:r w:rsidRPr="007A68D0">
        <w:t>$59</w:t>
      </w:r>
      <w:r>
        <w:t> million</w:t>
      </w:r>
      <w:r w:rsidRPr="007A68D0">
        <w:t xml:space="preserve"> to rebuild Orygen Youth Mental Health, </w:t>
      </w:r>
      <w:r>
        <w:t>with a new facility to provide</w:t>
      </w:r>
      <w:r w:rsidRPr="007A68D0">
        <w:t xml:space="preserve"> major clinical and research for young people across Victoria with serious mental illness</w:t>
      </w:r>
      <w:r>
        <w:t>; and</w:t>
      </w:r>
    </w:p>
    <w:p w:rsidR="00E25CC6" w:rsidRPr="007A68D0" w:rsidRDefault="00E25CC6" w:rsidP="00E970FB">
      <w:pPr>
        <w:pStyle w:val="BulletText"/>
      </w:pPr>
      <w:r w:rsidRPr="007A68D0">
        <w:t>$</w:t>
      </w:r>
      <w:r>
        <w:t xml:space="preserve">40.8 million to upgrade infrastructure across the Austin Hospital campus in Heidelberg. </w:t>
      </w:r>
    </w:p>
    <w:p w:rsidR="00E25CC6" w:rsidRDefault="00E25CC6" w:rsidP="00E970FB">
      <w:r>
        <w:t xml:space="preserve">The </w:t>
      </w:r>
      <w:r>
        <w:rPr>
          <w:i/>
        </w:rPr>
        <w:t>2016</w:t>
      </w:r>
      <w:r>
        <w:rPr>
          <w:i/>
        </w:rPr>
        <w:noBreakHyphen/>
        <w:t>17 Budget</w:t>
      </w:r>
      <w:r>
        <w:t xml:space="preserve"> initiates a number of significant</w:t>
      </w:r>
      <w:r w:rsidRPr="00134D14">
        <w:t xml:space="preserve"> </w:t>
      </w:r>
      <w:r>
        <w:t xml:space="preserve">transport </w:t>
      </w:r>
      <w:r w:rsidRPr="00134D14">
        <w:t xml:space="preserve">projects that will shape </w:t>
      </w:r>
      <w:r>
        <w:t>Victoria</w:t>
      </w:r>
      <w:r w:rsidRPr="00134D14">
        <w:t xml:space="preserve">, enhance productivity and provide benefits for decades to come. Projects </w:t>
      </w:r>
      <w:r>
        <w:t>include:</w:t>
      </w:r>
    </w:p>
    <w:p w:rsidR="00E25CC6" w:rsidRDefault="00E25CC6" w:rsidP="00FD5EDB">
      <w:pPr>
        <w:pStyle w:val="BulletText"/>
        <w:rPr>
          <w:lang w:eastAsia="en-AU"/>
        </w:rPr>
      </w:pPr>
      <w:r>
        <w:rPr>
          <w:lang w:eastAsia="en-AU"/>
        </w:rPr>
        <w:t>$6.2 billion to improve and upgrade Victoria’s metropolitan road and freeway networks including the Western Distributor which will provide a much needed alternative to the West Gate Bridge as well as the duplication of Yan Yean and Thompsons Road, streamlining Hoddle Street and Monash Freeway upgrade – Eastlink to Clyde Road;</w:t>
      </w:r>
    </w:p>
    <w:p w:rsidR="00E25CC6" w:rsidRDefault="00E25CC6" w:rsidP="00E970FB">
      <w:pPr>
        <w:pStyle w:val="BulletText"/>
      </w:pPr>
      <w:r>
        <w:t>$587.7 million</w:t>
      </w:r>
      <w:r w:rsidRPr="007A68D0">
        <w:t xml:space="preserve"> to extend metropolitan rail services from South Morang to Mernda, including construction of a new track section and additional stations to improve connections to employment and education precincts alon</w:t>
      </w:r>
      <w:r>
        <w:t>g Melbourne’s northern corridor;</w:t>
      </w:r>
    </w:p>
    <w:p w:rsidR="00E25CC6" w:rsidRDefault="00E25CC6" w:rsidP="00E970FB">
      <w:pPr>
        <w:pStyle w:val="BulletText"/>
      </w:pPr>
      <w:r>
        <w:t xml:space="preserve">$140.2 million to plan and </w:t>
      </w:r>
      <w:r w:rsidRPr="00027012">
        <w:t>increase the service capacity of the Hurstbridge line and the Clifton Hill group corridor as a wh</w:t>
      </w:r>
      <w:r>
        <w:t xml:space="preserve">ole in the medium to long term; and </w:t>
      </w:r>
    </w:p>
    <w:p w:rsidR="00E25CC6" w:rsidRDefault="00E25CC6" w:rsidP="00E970FB">
      <w:pPr>
        <w:pStyle w:val="BulletText"/>
      </w:pPr>
      <w:r>
        <w:t xml:space="preserve">$827 million to undertake a range of regional road initiatives including a 6 kilometre bypass road in Drysdale, and for Road Safety. </w:t>
      </w:r>
    </w:p>
    <w:p w:rsidR="00E25CC6" w:rsidRDefault="00E25CC6" w:rsidP="00A35595">
      <w:r w:rsidRPr="00A35595">
        <w:t>In this budget the Government is fully funding its expected contribution to the Western Distributor project. This comes in addition to the Government</w:t>
      </w:r>
      <w:r>
        <w:t>’</w:t>
      </w:r>
      <w:r w:rsidRPr="00A35595">
        <w:t xml:space="preserve">s commitment in the </w:t>
      </w:r>
      <w:r>
        <w:rPr>
          <w:i/>
        </w:rPr>
        <w:t>2015</w:t>
      </w:r>
      <w:r>
        <w:rPr>
          <w:i/>
        </w:rPr>
        <w:noBreakHyphen/>
        <w:t>16 B</w:t>
      </w:r>
      <w:r w:rsidRPr="00A35595">
        <w:rPr>
          <w:i/>
        </w:rPr>
        <w:t>udget</w:t>
      </w:r>
      <w:r w:rsidRPr="00A35595">
        <w:t xml:space="preserve"> to fully fund </w:t>
      </w:r>
      <w:r>
        <w:t>Melbourne’s new Metro Tunnel project</w:t>
      </w:r>
      <w:r w:rsidRPr="00A35595">
        <w:t>. Together, these transformation</w:t>
      </w:r>
      <w:r>
        <w:t>al</w:t>
      </w:r>
      <w:r w:rsidRPr="00A35595">
        <w:t xml:space="preserve"> projects will change the future shape of Melbourne.</w:t>
      </w:r>
    </w:p>
    <w:p w:rsidR="00E25CC6" w:rsidRDefault="00E25CC6">
      <w:pPr>
        <w:spacing w:after="0"/>
        <w:rPr>
          <w:rFonts w:ascii="Calibri" w:hAnsi="Calibri"/>
          <w:b/>
        </w:rPr>
      </w:pPr>
      <w:r>
        <w:br w:type="page"/>
      </w:r>
    </w:p>
    <w:p w:rsidR="00E25CC6" w:rsidRDefault="00E25CC6" w:rsidP="00E970FB">
      <w:pPr>
        <w:pStyle w:val="Heading5"/>
      </w:pPr>
      <w:r>
        <w:t>Looking out for everyone</w:t>
      </w:r>
    </w:p>
    <w:p w:rsidR="00E25CC6" w:rsidRDefault="00E25CC6" w:rsidP="00E970FB">
      <w:r>
        <w:t>Victoria is at its strongest when society’s challenges are addressed and the most vulnerable are supported in times of need. The health and disability services that people rely on will be strengthened and improved, including:</w:t>
      </w:r>
    </w:p>
    <w:p w:rsidR="00E25CC6" w:rsidRDefault="00E25CC6" w:rsidP="00E970FB">
      <w:pPr>
        <w:pStyle w:val="BulletText"/>
      </w:pPr>
      <w:r w:rsidRPr="00D9139E">
        <w:t>$572</w:t>
      </w:r>
      <w:r>
        <w:t> million</w:t>
      </w:r>
      <w:r w:rsidRPr="00D9139E">
        <w:t xml:space="preserve"> over </w:t>
      </w:r>
      <w:r>
        <w:t>three</w:t>
      </w:r>
      <w:r w:rsidRPr="00D9139E">
        <w:t xml:space="preserve"> years to begin delivering </w:t>
      </w:r>
      <w:r>
        <w:t xml:space="preserve">the 65 most urgent </w:t>
      </w:r>
      <w:r w:rsidRPr="00D9139E">
        <w:t xml:space="preserve">recommendations from the </w:t>
      </w:r>
      <w:r w:rsidRPr="001C31D2">
        <w:t>Royal Commission into Family Violence</w:t>
      </w:r>
      <w:r w:rsidRPr="00D9139E">
        <w:t xml:space="preserve"> and provide the initial steps to implement all 227 recommendations made by the Royal Commission; </w:t>
      </w:r>
      <w:r>
        <w:fldChar w:fldCharType="begin"/>
      </w:r>
      <w:r>
        <w:instrText xml:space="preserve"> XE "</w:instrText>
      </w:r>
      <w:r w:rsidRPr="00414B74">
        <w:instrText>Family Violence:Royal Commission into Family Violence</w:instrText>
      </w:r>
      <w:r>
        <w:instrText xml:space="preserve">" </w:instrText>
      </w:r>
      <w:r>
        <w:fldChar w:fldCharType="end"/>
      </w:r>
    </w:p>
    <w:p w:rsidR="00E25CC6" w:rsidRPr="00D9139E" w:rsidRDefault="00E25CC6" w:rsidP="00E970FB">
      <w:pPr>
        <w:pStyle w:val="BulletText"/>
      </w:pPr>
      <w:r>
        <w:t>$247 million</w:t>
      </w:r>
      <w:r w:rsidRPr="00D9139E">
        <w:t xml:space="preserve"> to support mental health services </w:t>
      </w:r>
      <w:r>
        <w:t xml:space="preserve">including </w:t>
      </w:r>
      <w:r w:rsidRPr="00D9139E">
        <w:t xml:space="preserve">by providing additional mental health beds, expanding specialist services for children and the gender </w:t>
      </w:r>
      <w:r>
        <w:t>dysphoria</w:t>
      </w:r>
      <w:r w:rsidRPr="00D9139E">
        <w:t xml:space="preserve"> program</w:t>
      </w:r>
      <w:r>
        <w:t>, strengthening mental health support for marginalised Victorians, establishing</w:t>
      </w:r>
      <w:r w:rsidRPr="00D9139E">
        <w:t xml:space="preserve"> new treatment models</w:t>
      </w:r>
      <w:r>
        <w:t>, and funding programs for suicide prevention</w:t>
      </w:r>
      <w:r w:rsidRPr="00D9139E">
        <w:t>;</w:t>
      </w:r>
      <w:r>
        <w:t xml:space="preserve"> and</w:t>
      </w:r>
    </w:p>
    <w:p w:rsidR="00E25CC6" w:rsidRPr="002C474D" w:rsidRDefault="00E25CC6" w:rsidP="00E970FB">
      <w:pPr>
        <w:pStyle w:val="BulletText"/>
      </w:pPr>
      <w:r>
        <w:t xml:space="preserve">$41.8 million to plan and prepare for the State’s transition to the National Disability Insurance Scheme, ensuring that Victorians with disability will receive the support they need to live full and active lives. </w:t>
      </w:r>
    </w:p>
    <w:p w:rsidR="00E25CC6" w:rsidRDefault="00E25CC6" w:rsidP="00E970FB">
      <w:r>
        <w:t xml:space="preserve">The </w:t>
      </w:r>
      <w:r w:rsidRPr="00072C76">
        <w:rPr>
          <w:i/>
        </w:rPr>
        <w:t>2016</w:t>
      </w:r>
      <w:r>
        <w:rPr>
          <w:i/>
        </w:rPr>
        <w:noBreakHyphen/>
      </w:r>
      <w:r w:rsidRPr="00072C76">
        <w:rPr>
          <w:i/>
        </w:rPr>
        <w:t>17 Budget</w:t>
      </w:r>
      <w:r>
        <w:t xml:space="preserve"> also includes $23.4 million to </w:t>
      </w:r>
      <w:r w:rsidRPr="00283E93">
        <w:t>deliver a package of initiatives</w:t>
      </w:r>
      <w:r>
        <w:t>, enabling</w:t>
      </w:r>
      <w:r w:rsidRPr="00283E93">
        <w:t xml:space="preserve"> the Government to</w:t>
      </w:r>
      <w:r w:rsidRPr="000559CD">
        <w:t xml:space="preserve"> </w:t>
      </w:r>
      <w:r w:rsidRPr="00283E93">
        <w:t>work in partnership with Victoria</w:t>
      </w:r>
      <w:r>
        <w:t>’</w:t>
      </w:r>
      <w:r w:rsidRPr="00283E93">
        <w:t>s Aboriginal community</w:t>
      </w:r>
      <w:r>
        <w:t xml:space="preserve"> to</w:t>
      </w:r>
      <w:r w:rsidRPr="00283E93">
        <w:t xml:space="preserve"> clos</w:t>
      </w:r>
      <w:r>
        <w:t>e</w:t>
      </w:r>
      <w:r w:rsidRPr="00283E93">
        <w:t xml:space="preserve"> the</w:t>
      </w:r>
      <w:r>
        <w:t xml:space="preserve"> gap between Aboriginal and non</w:t>
      </w:r>
      <w:r>
        <w:noBreakHyphen/>
      </w:r>
      <w:r w:rsidRPr="00283E93">
        <w:t>Aboriginal Victorians</w:t>
      </w:r>
      <w:r>
        <w:t>. This will assist to</w:t>
      </w:r>
      <w:r w:rsidRPr="00283E93">
        <w:t xml:space="preserve"> build the economic, social and cultural foundations for Aboriginal self</w:t>
      </w:r>
      <w:r>
        <w:noBreakHyphen/>
      </w:r>
      <w:r w:rsidRPr="00283E93">
        <w:t>determination.</w:t>
      </w:r>
    </w:p>
    <w:p w:rsidR="00E25CC6" w:rsidRDefault="00E25CC6" w:rsidP="00E970FB">
      <w:pPr>
        <w:pStyle w:val="Heading5"/>
      </w:pPr>
      <w:r>
        <w:t>Delivering in priority areas</w:t>
      </w:r>
    </w:p>
    <w:p w:rsidR="00E25CC6" w:rsidRPr="005F6BD9" w:rsidRDefault="00E25CC6" w:rsidP="00E970FB">
      <w:r>
        <w:t xml:space="preserve">The </w:t>
      </w:r>
      <w:r>
        <w:rPr>
          <w:i/>
        </w:rPr>
        <w:t>2016</w:t>
      </w:r>
      <w:r>
        <w:rPr>
          <w:i/>
        </w:rPr>
        <w:noBreakHyphen/>
        <w:t xml:space="preserve">17 Budget </w:t>
      </w:r>
      <w:r>
        <w:t>will also support the delivery of essential services to meet Victoria’s health, education, and community safety needs including:</w:t>
      </w:r>
    </w:p>
    <w:p w:rsidR="00E25CC6" w:rsidRDefault="00E25CC6" w:rsidP="00E970FB">
      <w:pPr>
        <w:pStyle w:val="BulletText"/>
      </w:pPr>
      <w:r>
        <w:t>$1 billion</w:t>
      </w:r>
      <w:r w:rsidRPr="007A68D0">
        <w:t xml:space="preserve"> to enable health services to respond to growing patient demand in all areas of patie</w:t>
      </w:r>
      <w:r>
        <w:t>nt care, as well as a further $335 million</w:t>
      </w:r>
      <w:r w:rsidRPr="007A68D0">
        <w:t xml:space="preserve"> for </w:t>
      </w:r>
      <w:r>
        <w:t>health services to invest in elective surgery and ensure Victorians get the care they need;</w:t>
      </w:r>
    </w:p>
    <w:p w:rsidR="00E25CC6" w:rsidRPr="007A68D0" w:rsidRDefault="00E25CC6" w:rsidP="00E970FB">
      <w:pPr>
        <w:pStyle w:val="BulletText"/>
      </w:pPr>
      <w:r>
        <w:t>$143.5 million</w:t>
      </w:r>
      <w:r w:rsidRPr="007A68D0">
        <w:t xml:space="preserve"> to improve ambulance services and provide paramedics the resources they need to improve response times;</w:t>
      </w:r>
    </w:p>
    <w:p w:rsidR="00E25CC6" w:rsidRPr="007A68D0" w:rsidRDefault="00E25CC6" w:rsidP="00E970FB">
      <w:pPr>
        <w:pStyle w:val="BulletText"/>
      </w:pPr>
      <w:r>
        <w:t>$596 million</w:t>
      </w:r>
      <w:r w:rsidRPr="007A68D0">
        <w:t xml:space="preserve"> to provide Victoria Police with an additional 40</w:t>
      </w:r>
      <w:r>
        <w:t>6 sworn police officers and 52</w:t>
      </w:r>
      <w:r w:rsidRPr="007A68D0">
        <w:t xml:space="preserve"> specialist staff, as well as equipment upgrades</w:t>
      </w:r>
      <w:r>
        <w:t>,</w:t>
      </w:r>
      <w:r w:rsidRPr="007A68D0">
        <w:t xml:space="preserve"> to protect the sa</w:t>
      </w:r>
      <w:r>
        <w:t>fety of the Victorian community, upgrade regional stations and prevent crime in the community.</w:t>
      </w:r>
    </w:p>
    <w:p w:rsidR="00E25CC6" w:rsidRDefault="00E25CC6" w:rsidP="00E970FB">
      <w:pPr>
        <w:pStyle w:val="BulletText"/>
      </w:pPr>
      <w:r>
        <w:t>$233 million</w:t>
      </w:r>
      <w:r w:rsidRPr="007A68D0">
        <w:t xml:space="preserve"> to strengthen Community Correctional Services and improve the </w:t>
      </w:r>
      <w:r>
        <w:t>supervision</w:t>
      </w:r>
      <w:r w:rsidRPr="007A68D0">
        <w:t xml:space="preserve"> of offenders</w:t>
      </w:r>
      <w:r>
        <w:t>;</w:t>
      </w:r>
      <w:r w:rsidRPr="007A68D0">
        <w:t xml:space="preserve"> </w:t>
      </w:r>
    </w:p>
    <w:p w:rsidR="00E25CC6" w:rsidRPr="007A68D0" w:rsidRDefault="00E25CC6" w:rsidP="00E970FB">
      <w:pPr>
        <w:pStyle w:val="BulletText"/>
      </w:pPr>
      <w:r w:rsidRPr="007A68D0">
        <w:t>$133</w:t>
      </w:r>
      <w:r>
        <w:t> million</w:t>
      </w:r>
      <w:r w:rsidRPr="007A68D0">
        <w:t xml:space="preserve"> </w:t>
      </w:r>
      <w:r>
        <w:t>for</w:t>
      </w:r>
      <w:r w:rsidRPr="007A68D0">
        <w:t xml:space="preserve"> the Maternal and Child Health </w:t>
      </w:r>
      <w:r>
        <w:t>program</w:t>
      </w:r>
      <w:r w:rsidRPr="007A68D0">
        <w:t xml:space="preserve"> which </w:t>
      </w:r>
      <w:r>
        <w:t>deliver</w:t>
      </w:r>
      <w:r w:rsidRPr="007A68D0">
        <w:t xml:space="preserve"> a range of parenting, child and family health, development and early learning </w:t>
      </w:r>
      <w:r>
        <w:t>services</w:t>
      </w:r>
      <w:r w:rsidRPr="007A68D0">
        <w:t>;</w:t>
      </w:r>
    </w:p>
    <w:p w:rsidR="00E25CC6" w:rsidRPr="007A68D0" w:rsidRDefault="00E25CC6" w:rsidP="00E970FB">
      <w:pPr>
        <w:pStyle w:val="BulletText"/>
      </w:pPr>
      <w:r w:rsidRPr="007A68D0">
        <w:t>$74</w:t>
      </w:r>
      <w:r>
        <w:t> million</w:t>
      </w:r>
      <w:r w:rsidRPr="007A68D0">
        <w:t xml:space="preserve"> for bushfire preparedness and response activities;</w:t>
      </w:r>
      <w:r>
        <w:t xml:space="preserve"> and</w:t>
      </w:r>
    </w:p>
    <w:p w:rsidR="00E25CC6" w:rsidRPr="007A68D0" w:rsidRDefault="00E25CC6" w:rsidP="00E970FB">
      <w:pPr>
        <w:pStyle w:val="BulletText"/>
      </w:pPr>
      <w:r w:rsidRPr="007A68D0">
        <w:t>$10</w:t>
      </w:r>
      <w:r>
        <w:t> million</w:t>
      </w:r>
      <w:r w:rsidRPr="007A68D0">
        <w:t xml:space="preserve"> in grants to local councils to construct new early learning facilities programs in growth areas.</w:t>
      </w:r>
    </w:p>
    <w:p w:rsidR="00E25CC6" w:rsidRDefault="00E25CC6">
      <w:pPr>
        <w:spacing w:after="0"/>
        <w:rPr>
          <w:rFonts w:ascii="Calibri" w:hAnsi="Calibri"/>
          <w:b/>
        </w:rPr>
      </w:pPr>
      <w:r>
        <w:br w:type="page"/>
      </w:r>
    </w:p>
    <w:p w:rsidR="00E25CC6" w:rsidRPr="007A68D0" w:rsidRDefault="00E25CC6" w:rsidP="00365ACB">
      <w:pPr>
        <w:pStyle w:val="Tableheading"/>
      </w:pPr>
      <w:r w:rsidRPr="00662F97">
        <w:t>Table 1.1:</w:t>
      </w:r>
      <w:r w:rsidRPr="00662F97">
        <w:tab/>
        <w:t>Output summary</w:t>
      </w:r>
    </w:p>
    <w:p w:rsidR="00E25CC6" w:rsidRPr="00C61A27" w:rsidRDefault="00E25CC6" w:rsidP="00E5775D">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3515"/>
        <w:gridCol w:w="850"/>
        <w:gridCol w:w="850"/>
        <w:gridCol w:w="850"/>
        <w:gridCol w:w="850"/>
        <w:gridCol w:w="850"/>
      </w:tblGrid>
      <w:tr w:rsidR="00E25CC6" w:rsidRPr="00575714" w:rsidTr="00575714">
        <w:tc>
          <w:tcPr>
            <w:tcW w:w="3515" w:type="dxa"/>
            <w:tcBorders>
              <w:bottom w:val="single" w:sz="6" w:space="0" w:color="auto"/>
              <w:right w:val="nil"/>
            </w:tcBorders>
            <w:shd w:val="solid" w:color="000000" w:fill="auto"/>
          </w:tcPr>
          <w:p w:rsidR="00E25CC6" w:rsidRPr="00575714" w:rsidRDefault="00E25CC6">
            <w:pPr>
              <w:autoSpaceDE w:val="0"/>
              <w:autoSpaceDN w:val="0"/>
              <w:adjustRightInd w:val="0"/>
              <w:spacing w:after="0"/>
              <w:jc w:val="right"/>
              <w:rPr>
                <w:rFonts w:ascii="Calibri" w:eastAsiaTheme="minorEastAsia" w:hAnsi="Calibri" w:cs="Calibri"/>
                <w:color w:val="FFFFFF"/>
                <w:sz w:val="19"/>
                <w:lang w:eastAsia="en-AU"/>
              </w:rPr>
            </w:pPr>
          </w:p>
        </w:tc>
        <w:tc>
          <w:tcPr>
            <w:tcW w:w="850" w:type="dxa"/>
            <w:tcBorders>
              <w:left w:val="nil"/>
              <w:bottom w:val="single" w:sz="6" w:space="0" w:color="auto"/>
              <w:right w:val="nil"/>
            </w:tcBorders>
            <w:shd w:val="solid" w:color="000000" w:fill="auto"/>
          </w:tcPr>
          <w:p w:rsidR="00E25CC6" w:rsidRPr="00575714" w:rsidRDefault="00E25CC6" w:rsidP="00575714">
            <w:pPr>
              <w:autoSpaceDE w:val="0"/>
              <w:autoSpaceDN w:val="0"/>
              <w:adjustRightInd w:val="0"/>
              <w:spacing w:after="0"/>
              <w:jc w:val="right"/>
              <w:rPr>
                <w:rFonts w:ascii="Calibri" w:eastAsiaTheme="minorEastAsia" w:hAnsi="Calibri" w:cs="Calibri"/>
                <w:i/>
                <w:iCs/>
                <w:color w:val="FFFFFF"/>
                <w:sz w:val="19"/>
                <w:lang w:eastAsia="en-AU"/>
              </w:rPr>
            </w:pPr>
            <w:r w:rsidRPr="00575714">
              <w:rPr>
                <w:rFonts w:ascii="Calibri" w:eastAsiaTheme="minorEastAsia" w:hAnsi="Calibri" w:cs="Calibri"/>
                <w:i/>
                <w:iCs/>
                <w:color w:val="FFFFFF"/>
                <w:sz w:val="19"/>
                <w:lang w:eastAsia="en-AU"/>
              </w:rPr>
              <w:t>2015-16</w:t>
            </w:r>
          </w:p>
        </w:tc>
        <w:tc>
          <w:tcPr>
            <w:tcW w:w="850" w:type="dxa"/>
            <w:tcBorders>
              <w:left w:val="nil"/>
              <w:bottom w:val="single" w:sz="6" w:space="0" w:color="auto"/>
              <w:right w:val="nil"/>
            </w:tcBorders>
            <w:shd w:val="solid" w:color="000000" w:fill="auto"/>
          </w:tcPr>
          <w:p w:rsidR="00E25CC6" w:rsidRPr="00575714" w:rsidRDefault="00E25CC6" w:rsidP="00575714">
            <w:pPr>
              <w:autoSpaceDE w:val="0"/>
              <w:autoSpaceDN w:val="0"/>
              <w:adjustRightInd w:val="0"/>
              <w:spacing w:after="0"/>
              <w:jc w:val="right"/>
              <w:rPr>
                <w:rFonts w:ascii="Calibri" w:eastAsiaTheme="minorEastAsia" w:hAnsi="Calibri" w:cs="Calibri"/>
                <w:i/>
                <w:iCs/>
                <w:color w:val="FFFFFF"/>
                <w:sz w:val="19"/>
                <w:lang w:eastAsia="en-AU"/>
              </w:rPr>
            </w:pPr>
            <w:r w:rsidRPr="00575714">
              <w:rPr>
                <w:rFonts w:ascii="Calibri" w:eastAsiaTheme="minorEastAsia" w:hAnsi="Calibri" w:cs="Calibri"/>
                <w:i/>
                <w:iCs/>
                <w:color w:val="FFFFFF"/>
                <w:sz w:val="19"/>
                <w:lang w:eastAsia="en-AU"/>
              </w:rPr>
              <w:t>2016-17</w:t>
            </w:r>
          </w:p>
        </w:tc>
        <w:tc>
          <w:tcPr>
            <w:tcW w:w="850" w:type="dxa"/>
            <w:tcBorders>
              <w:left w:val="nil"/>
              <w:bottom w:val="single" w:sz="6" w:space="0" w:color="auto"/>
              <w:right w:val="nil"/>
            </w:tcBorders>
            <w:shd w:val="solid" w:color="000000" w:fill="auto"/>
          </w:tcPr>
          <w:p w:rsidR="00E25CC6" w:rsidRPr="00575714" w:rsidRDefault="00E25CC6" w:rsidP="00575714">
            <w:pPr>
              <w:autoSpaceDE w:val="0"/>
              <w:autoSpaceDN w:val="0"/>
              <w:adjustRightInd w:val="0"/>
              <w:spacing w:after="0"/>
              <w:jc w:val="right"/>
              <w:rPr>
                <w:rFonts w:ascii="Calibri" w:eastAsiaTheme="minorEastAsia" w:hAnsi="Calibri" w:cs="Calibri"/>
                <w:i/>
                <w:iCs/>
                <w:color w:val="FFFFFF"/>
                <w:sz w:val="19"/>
                <w:lang w:eastAsia="en-AU"/>
              </w:rPr>
            </w:pPr>
            <w:r w:rsidRPr="00575714">
              <w:rPr>
                <w:rFonts w:ascii="Calibri" w:eastAsiaTheme="minorEastAsia" w:hAnsi="Calibri" w:cs="Calibri"/>
                <w:i/>
                <w:iCs/>
                <w:color w:val="FFFFFF"/>
                <w:sz w:val="19"/>
                <w:lang w:eastAsia="en-AU"/>
              </w:rPr>
              <w:t>2017-18</w:t>
            </w:r>
          </w:p>
        </w:tc>
        <w:tc>
          <w:tcPr>
            <w:tcW w:w="850" w:type="dxa"/>
            <w:tcBorders>
              <w:left w:val="nil"/>
              <w:bottom w:val="single" w:sz="6" w:space="0" w:color="auto"/>
              <w:right w:val="nil"/>
            </w:tcBorders>
            <w:shd w:val="solid" w:color="000000" w:fill="auto"/>
          </w:tcPr>
          <w:p w:rsidR="00E25CC6" w:rsidRPr="00575714" w:rsidRDefault="00E25CC6" w:rsidP="00575714">
            <w:pPr>
              <w:autoSpaceDE w:val="0"/>
              <w:autoSpaceDN w:val="0"/>
              <w:adjustRightInd w:val="0"/>
              <w:spacing w:after="0"/>
              <w:jc w:val="right"/>
              <w:rPr>
                <w:rFonts w:ascii="Calibri" w:eastAsiaTheme="minorEastAsia" w:hAnsi="Calibri" w:cs="Calibri"/>
                <w:i/>
                <w:iCs/>
                <w:color w:val="FFFFFF"/>
                <w:sz w:val="19"/>
                <w:lang w:eastAsia="en-AU"/>
              </w:rPr>
            </w:pPr>
            <w:r w:rsidRPr="00575714">
              <w:rPr>
                <w:rFonts w:ascii="Calibri" w:eastAsiaTheme="minorEastAsia" w:hAnsi="Calibri" w:cs="Calibri"/>
                <w:i/>
                <w:iCs/>
                <w:color w:val="FFFFFF"/>
                <w:sz w:val="19"/>
                <w:lang w:eastAsia="en-AU"/>
              </w:rPr>
              <w:t>2018-19</w:t>
            </w:r>
          </w:p>
        </w:tc>
        <w:tc>
          <w:tcPr>
            <w:tcW w:w="850" w:type="dxa"/>
            <w:tcBorders>
              <w:left w:val="nil"/>
              <w:bottom w:val="single" w:sz="6" w:space="0" w:color="auto"/>
              <w:right w:val="nil"/>
            </w:tcBorders>
            <w:shd w:val="solid" w:color="000000" w:fill="auto"/>
          </w:tcPr>
          <w:p w:rsidR="00E25CC6" w:rsidRPr="00575714" w:rsidRDefault="00E25CC6" w:rsidP="00575714">
            <w:pPr>
              <w:autoSpaceDE w:val="0"/>
              <w:autoSpaceDN w:val="0"/>
              <w:adjustRightInd w:val="0"/>
              <w:spacing w:after="0"/>
              <w:jc w:val="right"/>
              <w:rPr>
                <w:rFonts w:ascii="Calibri" w:eastAsiaTheme="minorEastAsia" w:hAnsi="Calibri" w:cs="Calibri"/>
                <w:i/>
                <w:iCs/>
                <w:color w:val="FFFFFF"/>
                <w:sz w:val="19"/>
                <w:lang w:eastAsia="en-AU"/>
              </w:rPr>
            </w:pPr>
            <w:r w:rsidRPr="00575714">
              <w:rPr>
                <w:rFonts w:ascii="Calibri" w:eastAsiaTheme="minorEastAsia" w:hAnsi="Calibri" w:cs="Calibri"/>
                <w:i/>
                <w:iCs/>
                <w:color w:val="FFFFFF"/>
                <w:sz w:val="19"/>
                <w:lang w:eastAsia="en-AU"/>
              </w:rPr>
              <w:t>2019-20</w:t>
            </w:r>
          </w:p>
        </w:tc>
      </w:tr>
      <w:tr w:rsidR="00E25CC6" w:rsidRPr="00575714" w:rsidTr="00575714">
        <w:tc>
          <w:tcPr>
            <w:tcW w:w="3515" w:type="dxa"/>
            <w:tcBorders>
              <w:top w:val="single" w:sz="6" w:space="0" w:color="auto"/>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Aboriginal Affairs</w:t>
            </w:r>
          </w:p>
        </w:tc>
        <w:tc>
          <w:tcPr>
            <w:tcW w:w="850" w:type="dxa"/>
            <w:tcBorders>
              <w:top w:val="single" w:sz="6" w:space="0" w:color="auto"/>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w:t>
            </w:r>
          </w:p>
        </w:tc>
        <w:tc>
          <w:tcPr>
            <w:tcW w:w="850" w:type="dxa"/>
            <w:tcBorders>
              <w:top w:val="single" w:sz="6" w:space="0" w:color="auto"/>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11.4</w:t>
            </w:r>
          </w:p>
        </w:tc>
        <w:tc>
          <w:tcPr>
            <w:tcW w:w="850" w:type="dxa"/>
            <w:tcBorders>
              <w:top w:val="single" w:sz="6" w:space="0" w:color="auto"/>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6.6</w:t>
            </w:r>
          </w:p>
        </w:tc>
        <w:tc>
          <w:tcPr>
            <w:tcW w:w="850" w:type="dxa"/>
            <w:tcBorders>
              <w:top w:val="single" w:sz="6" w:space="0" w:color="auto"/>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3.6</w:t>
            </w:r>
          </w:p>
        </w:tc>
        <w:tc>
          <w:tcPr>
            <w:tcW w:w="850" w:type="dxa"/>
            <w:tcBorders>
              <w:top w:val="single" w:sz="6" w:space="0" w:color="auto"/>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1.7</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Family Violence</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8.5</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272.8</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190.6</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Hazelwood</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1.9</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12.6</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12.4</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12.1</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10.9</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Ice Action Plan - Stage 2</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6.1</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11.2</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11.4</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11.7</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Jobs</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43.0</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274.5</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263.2</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150.4</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125.9</w:t>
            </w:r>
          </w:p>
        </w:tc>
      </w:tr>
      <w:tr w:rsidR="00E25CC6" w:rsidRPr="00575714" w:rsidTr="00575714">
        <w:tc>
          <w:tcPr>
            <w:tcW w:w="3515" w:type="dxa"/>
            <w:tcBorders>
              <w:top w:val="nil"/>
              <w:left w:val="nil"/>
              <w:right w:val="nil"/>
            </w:tcBorders>
            <w:shd w:val="clear" w:color="auto"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Economic Development, Jobs, Transport and Resources</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64.5</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299.5</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224.2</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219.4</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174.5</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Education and Training</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14.1</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122.4</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103.7</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78.3</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84.1</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Environment, Land, Water and Planning</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2.4</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229.1</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149.6</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129.2</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121.6</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Health and Human Services</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58.7</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712.4</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460.9</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431.4</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402.1</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Justice and Regulation</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35.3</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195.8</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229.7</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215.1</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229.7</w:t>
            </w:r>
          </w:p>
        </w:tc>
      </w:tr>
      <w:tr w:rsidR="00E25CC6" w:rsidRPr="00575714" w:rsidTr="00575714">
        <w:tc>
          <w:tcPr>
            <w:tcW w:w="3515" w:type="dxa"/>
            <w:tcBorders>
              <w:top w:val="nil"/>
              <w:left w:val="nil"/>
              <w:right w:val="nil"/>
            </w:tcBorders>
            <w:shd w:val="clear" w:color="auto"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Premier and Cabinet</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10.2</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126.4</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30.8</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24.6</w:t>
            </w:r>
          </w:p>
        </w:tc>
        <w:tc>
          <w:tcPr>
            <w:tcW w:w="850" w:type="dxa"/>
            <w:tcBorders>
              <w:top w:val="nil"/>
              <w:left w:val="nil"/>
              <w:right w:val="nil"/>
            </w:tcBorders>
            <w:shd w:val="clear" w:color="auto"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24.4</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Treasury and Finance</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5.6</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32.7</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22.3</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19.9</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19.9</w:t>
            </w:r>
          </w:p>
        </w:tc>
      </w:tr>
      <w:tr w:rsidR="00E25CC6" w:rsidRPr="00575714" w:rsidTr="00575714">
        <w:tc>
          <w:tcPr>
            <w:tcW w:w="3515" w:type="dxa"/>
            <w:tcBorders>
              <w:top w:val="nil"/>
              <w:left w:val="nil"/>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Parliament</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7.1</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5.8</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5.9</w:t>
            </w:r>
          </w:p>
        </w:tc>
        <w:tc>
          <w:tcPr>
            <w:tcW w:w="850" w:type="dxa"/>
            <w:tcBorders>
              <w:top w:val="nil"/>
              <w:left w:val="nil"/>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5.9</w:t>
            </w:r>
          </w:p>
        </w:tc>
      </w:tr>
      <w:tr w:rsidR="00E25CC6" w:rsidRPr="00575714" w:rsidTr="00575714">
        <w:tc>
          <w:tcPr>
            <w:tcW w:w="3515" w:type="dxa"/>
            <w:tcBorders>
              <w:top w:val="nil"/>
              <w:left w:val="nil"/>
              <w:bottom w:val="single" w:sz="6" w:space="0" w:color="auto"/>
              <w:right w:val="nil"/>
            </w:tcBorders>
            <w:shd w:val="clear" w:color="000000" w:fill="FFFFFF"/>
          </w:tcPr>
          <w:p w:rsidR="00E25CC6" w:rsidRPr="00575714" w:rsidRDefault="00E25CC6" w:rsidP="00575714">
            <w:pPr>
              <w:autoSpaceDE w:val="0"/>
              <w:autoSpaceDN w:val="0"/>
              <w:adjustRightInd w:val="0"/>
              <w:spacing w:after="0"/>
              <w:ind w:left="227" w:hanging="227"/>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Courts</w:t>
            </w:r>
          </w:p>
        </w:tc>
        <w:tc>
          <w:tcPr>
            <w:tcW w:w="850" w:type="dxa"/>
            <w:tcBorders>
              <w:top w:val="nil"/>
              <w:left w:val="nil"/>
              <w:bottom w:val="single" w:sz="6" w:space="0" w:color="auto"/>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19"/>
                <w:lang w:eastAsia="en-AU"/>
              </w:rPr>
            </w:pPr>
            <w:r w:rsidRPr="00575714">
              <w:rPr>
                <w:rFonts w:ascii="Calibri" w:eastAsiaTheme="minorEastAsia" w:hAnsi="Calibri" w:cs="Calibri"/>
                <w:color w:val="000000"/>
                <w:sz w:val="19"/>
                <w:lang w:eastAsia="en-AU"/>
              </w:rPr>
              <w:t>..</w:t>
            </w:r>
          </w:p>
        </w:tc>
        <w:tc>
          <w:tcPr>
            <w:tcW w:w="850" w:type="dxa"/>
            <w:tcBorders>
              <w:top w:val="nil"/>
              <w:left w:val="nil"/>
              <w:bottom w:val="single" w:sz="6" w:space="0" w:color="auto"/>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14.9</w:t>
            </w:r>
          </w:p>
        </w:tc>
        <w:tc>
          <w:tcPr>
            <w:tcW w:w="850" w:type="dxa"/>
            <w:tcBorders>
              <w:top w:val="nil"/>
              <w:left w:val="nil"/>
              <w:bottom w:val="single" w:sz="6" w:space="0" w:color="auto"/>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17.6</w:t>
            </w:r>
          </w:p>
        </w:tc>
        <w:tc>
          <w:tcPr>
            <w:tcW w:w="850" w:type="dxa"/>
            <w:tcBorders>
              <w:top w:val="nil"/>
              <w:left w:val="nil"/>
              <w:bottom w:val="single" w:sz="6" w:space="0" w:color="auto"/>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18.2</w:t>
            </w:r>
          </w:p>
        </w:tc>
        <w:tc>
          <w:tcPr>
            <w:tcW w:w="850" w:type="dxa"/>
            <w:tcBorders>
              <w:top w:val="nil"/>
              <w:left w:val="nil"/>
              <w:bottom w:val="single" w:sz="6" w:space="0" w:color="auto"/>
              <w:right w:val="nil"/>
            </w:tcBorders>
            <w:shd w:val="clear" w:color="000000" w:fill="FFFFFF"/>
          </w:tcPr>
          <w:p w:rsidR="00E25CC6" w:rsidRPr="00575714" w:rsidRDefault="00E25CC6" w:rsidP="00575714">
            <w:pPr>
              <w:autoSpaceDE w:val="0"/>
              <w:autoSpaceDN w:val="0"/>
              <w:adjustRightInd w:val="0"/>
              <w:spacing w:after="0"/>
              <w:jc w:val="right"/>
              <w:rPr>
                <w:rFonts w:ascii="Calibri" w:eastAsiaTheme="minorEastAsia" w:hAnsi="Calibri" w:cs="Calibri"/>
                <w:color w:val="000000"/>
                <w:sz w:val="20"/>
                <w:lang w:eastAsia="en-AU"/>
              </w:rPr>
            </w:pPr>
            <w:r w:rsidRPr="00575714">
              <w:rPr>
                <w:rFonts w:ascii="Calibri" w:eastAsiaTheme="minorEastAsia" w:hAnsi="Calibri" w:cs="Calibri"/>
                <w:color w:val="000000"/>
                <w:sz w:val="19"/>
                <w:lang w:eastAsia="en-AU"/>
              </w:rPr>
              <w:t xml:space="preserve"> 15.0</w:t>
            </w:r>
          </w:p>
        </w:tc>
      </w:tr>
      <w:tr w:rsidR="00E25CC6" w:rsidRPr="00575714" w:rsidTr="00575714">
        <w:tc>
          <w:tcPr>
            <w:tcW w:w="3515" w:type="dxa"/>
            <w:tcBorders>
              <w:top w:val="single" w:sz="6" w:space="0" w:color="auto"/>
              <w:left w:val="nil"/>
              <w:bottom w:val="single" w:sz="12" w:space="0" w:color="auto"/>
              <w:right w:val="nil"/>
            </w:tcBorders>
            <w:shd w:val="solid" w:color="FFFFFF" w:fill="FFFFFF"/>
          </w:tcPr>
          <w:p w:rsidR="00E25CC6" w:rsidRPr="00575714" w:rsidRDefault="00E25CC6" w:rsidP="00B60EA8">
            <w:pPr>
              <w:autoSpaceDE w:val="0"/>
              <w:autoSpaceDN w:val="0"/>
              <w:adjustRightInd w:val="0"/>
              <w:spacing w:after="0"/>
              <w:ind w:left="227" w:hanging="227"/>
              <w:rPr>
                <w:rFonts w:ascii="Calibri" w:eastAsiaTheme="minorEastAsia" w:hAnsi="Calibri" w:cs="Calibri"/>
                <w:b/>
                <w:bCs/>
                <w:color w:val="000000"/>
                <w:sz w:val="19"/>
                <w:vertAlign w:val="superscript"/>
                <w:lang w:eastAsia="en-AU"/>
              </w:rPr>
            </w:pPr>
            <w:r w:rsidRPr="00575714">
              <w:rPr>
                <w:rFonts w:ascii="Calibri" w:eastAsiaTheme="minorEastAsia" w:hAnsi="Calibri" w:cs="Calibri"/>
                <w:b/>
                <w:bCs/>
                <w:color w:val="000000"/>
                <w:sz w:val="19"/>
                <w:lang w:eastAsia="en-AU"/>
              </w:rPr>
              <w:t xml:space="preserve">Total output initiatives </w:t>
            </w:r>
            <w:r w:rsidRPr="00575714">
              <w:rPr>
                <w:rFonts w:ascii="Calibri" w:eastAsiaTheme="minorEastAsia" w:hAnsi="Calibri" w:cs="Calibri"/>
                <w:b/>
                <w:bCs/>
                <w:color w:val="000000"/>
                <w:sz w:val="19"/>
                <w:vertAlign w:val="superscript"/>
                <w:lang w:eastAsia="en-AU"/>
              </w:rPr>
              <w:t xml:space="preserve"> (</w:t>
            </w:r>
            <w:r>
              <w:rPr>
                <w:rFonts w:ascii="Calibri" w:eastAsiaTheme="minorEastAsia" w:hAnsi="Calibri" w:cs="Calibri"/>
                <w:b/>
                <w:bCs/>
                <w:color w:val="000000"/>
                <w:sz w:val="19"/>
                <w:vertAlign w:val="superscript"/>
                <w:lang w:eastAsia="en-AU"/>
              </w:rPr>
              <w:t>a</w:t>
            </w:r>
            <w:r w:rsidRPr="00575714">
              <w:rPr>
                <w:rFonts w:ascii="Calibri" w:eastAsiaTheme="minorEastAsia" w:hAnsi="Calibri" w:cs="Calibri"/>
                <w:b/>
                <w:bCs/>
                <w:color w:val="000000"/>
                <w:sz w:val="19"/>
                <w:vertAlign w:val="superscript"/>
                <w:lang w:eastAsia="en-AU"/>
              </w:rPr>
              <w:t>)</w:t>
            </w:r>
          </w:p>
        </w:tc>
        <w:tc>
          <w:tcPr>
            <w:tcW w:w="850" w:type="dxa"/>
            <w:tcBorders>
              <w:top w:val="single" w:sz="6" w:space="0" w:color="auto"/>
              <w:left w:val="nil"/>
              <w:bottom w:val="single" w:sz="12" w:space="0" w:color="auto"/>
              <w:right w:val="nil"/>
            </w:tcBorders>
            <w:shd w:val="solid" w:color="FFFFFF" w:fill="FFFFFF"/>
          </w:tcPr>
          <w:p w:rsidR="00E25CC6" w:rsidRPr="00575714" w:rsidRDefault="00E25CC6" w:rsidP="00575714">
            <w:pPr>
              <w:autoSpaceDE w:val="0"/>
              <w:autoSpaceDN w:val="0"/>
              <w:adjustRightInd w:val="0"/>
              <w:spacing w:after="0"/>
              <w:jc w:val="right"/>
              <w:rPr>
                <w:rFonts w:ascii="Calibri" w:eastAsiaTheme="minorEastAsia" w:hAnsi="Calibri" w:cs="Calibri"/>
                <w:b/>
                <w:bCs/>
                <w:color w:val="000000"/>
                <w:sz w:val="20"/>
                <w:lang w:eastAsia="en-AU"/>
              </w:rPr>
            </w:pPr>
            <w:r w:rsidRPr="00575714">
              <w:rPr>
                <w:rFonts w:ascii="Calibri" w:eastAsiaTheme="minorEastAsia" w:hAnsi="Calibri" w:cs="Calibri"/>
                <w:b/>
                <w:bCs/>
                <w:color w:val="000000"/>
                <w:sz w:val="19"/>
                <w:lang w:eastAsia="en-AU"/>
              </w:rPr>
              <w:t xml:space="preserve"> 244.2</w:t>
            </w:r>
          </w:p>
        </w:tc>
        <w:tc>
          <w:tcPr>
            <w:tcW w:w="850" w:type="dxa"/>
            <w:tcBorders>
              <w:top w:val="single" w:sz="6" w:space="0" w:color="auto"/>
              <w:left w:val="nil"/>
              <w:bottom w:val="single" w:sz="12" w:space="0" w:color="auto"/>
              <w:right w:val="nil"/>
            </w:tcBorders>
            <w:shd w:val="solid" w:color="FFFFFF" w:fill="FFFFFF"/>
          </w:tcPr>
          <w:p w:rsidR="00E25CC6" w:rsidRPr="00575714" w:rsidRDefault="00E25CC6" w:rsidP="00575714">
            <w:pPr>
              <w:autoSpaceDE w:val="0"/>
              <w:autoSpaceDN w:val="0"/>
              <w:adjustRightInd w:val="0"/>
              <w:spacing w:after="0"/>
              <w:jc w:val="right"/>
              <w:rPr>
                <w:rFonts w:ascii="Calibri" w:eastAsiaTheme="minorEastAsia" w:hAnsi="Calibri" w:cs="Calibri"/>
                <w:b/>
                <w:bCs/>
                <w:color w:val="000000"/>
                <w:sz w:val="19"/>
                <w:lang w:eastAsia="en-AU"/>
              </w:rPr>
            </w:pPr>
            <w:r w:rsidRPr="00575714">
              <w:rPr>
                <w:rFonts w:ascii="Calibri" w:eastAsiaTheme="minorEastAsia" w:hAnsi="Calibri" w:cs="Calibri"/>
                <w:b/>
                <w:bCs/>
                <w:color w:val="000000"/>
                <w:sz w:val="19"/>
                <w:lang w:eastAsia="en-AU"/>
              </w:rPr>
              <w:t>2 317.7</w:t>
            </w:r>
          </w:p>
        </w:tc>
        <w:tc>
          <w:tcPr>
            <w:tcW w:w="850" w:type="dxa"/>
            <w:tcBorders>
              <w:top w:val="single" w:sz="6" w:space="0" w:color="auto"/>
              <w:left w:val="nil"/>
              <w:bottom w:val="single" w:sz="12" w:space="0" w:color="auto"/>
              <w:right w:val="nil"/>
            </w:tcBorders>
            <w:shd w:val="solid" w:color="FFFFFF" w:fill="FFFFFF"/>
          </w:tcPr>
          <w:p w:rsidR="00E25CC6" w:rsidRPr="00575714" w:rsidRDefault="00E25CC6" w:rsidP="00575714">
            <w:pPr>
              <w:autoSpaceDE w:val="0"/>
              <w:autoSpaceDN w:val="0"/>
              <w:adjustRightInd w:val="0"/>
              <w:spacing w:after="0"/>
              <w:jc w:val="right"/>
              <w:rPr>
                <w:rFonts w:ascii="Calibri" w:eastAsiaTheme="minorEastAsia" w:hAnsi="Calibri" w:cs="Calibri"/>
                <w:b/>
                <w:bCs/>
                <w:color w:val="000000"/>
                <w:sz w:val="19"/>
                <w:lang w:eastAsia="en-AU"/>
              </w:rPr>
            </w:pPr>
            <w:r w:rsidRPr="00575714">
              <w:rPr>
                <w:rFonts w:ascii="Calibri" w:eastAsiaTheme="minorEastAsia" w:hAnsi="Calibri" w:cs="Calibri"/>
                <w:b/>
                <w:bCs/>
                <w:color w:val="000000"/>
                <w:sz w:val="19"/>
                <w:lang w:eastAsia="en-AU"/>
              </w:rPr>
              <w:t>1 728.6</w:t>
            </w:r>
          </w:p>
        </w:tc>
        <w:tc>
          <w:tcPr>
            <w:tcW w:w="850" w:type="dxa"/>
            <w:tcBorders>
              <w:top w:val="single" w:sz="6" w:space="0" w:color="auto"/>
              <w:left w:val="nil"/>
              <w:bottom w:val="single" w:sz="12" w:space="0" w:color="auto"/>
              <w:right w:val="nil"/>
            </w:tcBorders>
            <w:shd w:val="solid" w:color="FFFFFF" w:fill="FFFFFF"/>
          </w:tcPr>
          <w:p w:rsidR="00E25CC6" w:rsidRPr="00575714" w:rsidRDefault="00E25CC6" w:rsidP="00575714">
            <w:pPr>
              <w:autoSpaceDE w:val="0"/>
              <w:autoSpaceDN w:val="0"/>
              <w:adjustRightInd w:val="0"/>
              <w:spacing w:after="0"/>
              <w:jc w:val="right"/>
              <w:rPr>
                <w:rFonts w:ascii="Calibri" w:eastAsiaTheme="minorEastAsia" w:hAnsi="Calibri" w:cs="Calibri"/>
                <w:b/>
                <w:bCs/>
                <w:color w:val="000000"/>
                <w:sz w:val="19"/>
                <w:lang w:eastAsia="en-AU"/>
              </w:rPr>
            </w:pPr>
            <w:r w:rsidRPr="00575714">
              <w:rPr>
                <w:rFonts w:ascii="Calibri" w:eastAsiaTheme="minorEastAsia" w:hAnsi="Calibri" w:cs="Calibri"/>
                <w:b/>
                <w:bCs/>
                <w:color w:val="000000"/>
                <w:sz w:val="19"/>
                <w:lang w:eastAsia="en-AU"/>
              </w:rPr>
              <w:t>1 319.7</w:t>
            </w:r>
          </w:p>
        </w:tc>
        <w:tc>
          <w:tcPr>
            <w:tcW w:w="850" w:type="dxa"/>
            <w:tcBorders>
              <w:top w:val="single" w:sz="6" w:space="0" w:color="auto"/>
              <w:left w:val="nil"/>
              <w:bottom w:val="single" w:sz="12" w:space="0" w:color="auto"/>
              <w:right w:val="nil"/>
            </w:tcBorders>
            <w:shd w:val="solid" w:color="FFFFFF" w:fill="FFFFFF"/>
          </w:tcPr>
          <w:p w:rsidR="00E25CC6" w:rsidRPr="00575714" w:rsidRDefault="00E25CC6" w:rsidP="00575714">
            <w:pPr>
              <w:autoSpaceDE w:val="0"/>
              <w:autoSpaceDN w:val="0"/>
              <w:adjustRightInd w:val="0"/>
              <w:spacing w:after="0"/>
              <w:jc w:val="right"/>
              <w:rPr>
                <w:rFonts w:ascii="Calibri" w:eastAsiaTheme="minorEastAsia" w:hAnsi="Calibri" w:cs="Calibri"/>
                <w:b/>
                <w:bCs/>
                <w:color w:val="000000"/>
                <w:sz w:val="19"/>
                <w:lang w:eastAsia="en-AU"/>
              </w:rPr>
            </w:pPr>
            <w:r w:rsidRPr="00575714">
              <w:rPr>
                <w:rFonts w:ascii="Calibri" w:eastAsiaTheme="minorEastAsia" w:hAnsi="Calibri" w:cs="Calibri"/>
                <w:b/>
                <w:bCs/>
                <w:color w:val="000000"/>
                <w:sz w:val="19"/>
                <w:lang w:eastAsia="en-AU"/>
              </w:rPr>
              <w:t>1 227.4</w:t>
            </w:r>
          </w:p>
        </w:tc>
      </w:tr>
    </w:tbl>
    <w:p w:rsidR="00E25CC6" w:rsidRDefault="00E25CC6" w:rsidP="00C61A27">
      <w:pPr>
        <w:pStyle w:val="Source"/>
      </w:pPr>
      <w:r>
        <w:t>Source: Department of Treasury and Finance</w:t>
      </w:r>
    </w:p>
    <w:p w:rsidR="00E25CC6" w:rsidRDefault="00E25CC6" w:rsidP="00327097">
      <w:pPr>
        <w:pStyle w:val="Notes"/>
      </w:pPr>
      <w:r>
        <w:t>Note:</w:t>
      </w:r>
    </w:p>
    <w:p w:rsidR="00E25CC6" w:rsidRDefault="00E25CC6" w:rsidP="00327097">
      <w:pPr>
        <w:pStyle w:val="Notes"/>
      </w:pPr>
      <w:r>
        <w:t>(a)</w:t>
      </w:r>
      <w:r>
        <w:tab/>
        <w:t>Tables may not add due to rounding.</w:t>
      </w:r>
    </w:p>
    <w:p w:rsidR="00E25CC6" w:rsidRDefault="00E25CC6">
      <w:pPr>
        <w:spacing w:after="0"/>
        <w:rPr>
          <w:rFonts w:ascii="Calibri" w:hAnsi="Calibri"/>
          <w:b/>
        </w:rPr>
      </w:pPr>
    </w:p>
    <w:p w:rsidR="00E25CC6" w:rsidRDefault="00E25CC6" w:rsidP="00365ACB">
      <w:pPr>
        <w:pStyle w:val="Tableheading"/>
      </w:pPr>
      <w:r w:rsidRPr="00662F97">
        <w:t>Table 1.2:</w:t>
      </w:r>
      <w:r w:rsidRPr="00662F97">
        <w:tab/>
        <w:t>Asset summary</w:t>
      </w:r>
    </w:p>
    <w:p w:rsidR="00E25CC6" w:rsidRPr="00C61A27" w:rsidRDefault="00E25CC6" w:rsidP="00E5775D">
      <w:pPr>
        <w:pStyle w:val="million"/>
      </w:pPr>
      <w:r>
        <w:t>($ million)</w:t>
      </w:r>
    </w:p>
    <w:tbl>
      <w:tblPr>
        <w:tblW w:w="7765" w:type="dxa"/>
        <w:tblInd w:w="45" w:type="dxa"/>
        <w:tblLayout w:type="fixed"/>
        <w:tblCellMar>
          <w:left w:w="45" w:type="dxa"/>
          <w:right w:w="45" w:type="dxa"/>
        </w:tblCellMar>
        <w:tblLook w:val="0000" w:firstRow="0" w:lastRow="0" w:firstColumn="0" w:lastColumn="0" w:noHBand="0" w:noVBand="0"/>
      </w:tblPr>
      <w:tblGrid>
        <w:gridCol w:w="2604"/>
        <w:gridCol w:w="860"/>
        <w:gridCol w:w="860"/>
        <w:gridCol w:w="860"/>
        <w:gridCol w:w="860"/>
        <w:gridCol w:w="860"/>
        <w:gridCol w:w="861"/>
      </w:tblGrid>
      <w:tr w:rsidR="00E25CC6" w:rsidRPr="00C61A27" w:rsidTr="00C61A27">
        <w:tc>
          <w:tcPr>
            <w:tcW w:w="2604" w:type="dxa"/>
            <w:tcBorders>
              <w:bottom w:val="single" w:sz="6" w:space="0" w:color="auto"/>
              <w:right w:val="nil"/>
            </w:tcBorders>
            <w:shd w:val="solid" w:color="000000" w:fill="auto"/>
          </w:tcPr>
          <w:p w:rsidR="00E25CC6" w:rsidRPr="00C61A27" w:rsidRDefault="00E25CC6">
            <w:pPr>
              <w:autoSpaceDE w:val="0"/>
              <w:autoSpaceDN w:val="0"/>
              <w:adjustRightInd w:val="0"/>
              <w:spacing w:after="0"/>
              <w:jc w:val="right"/>
              <w:rPr>
                <w:rFonts w:ascii="Calibri" w:eastAsiaTheme="minorEastAsia" w:hAnsi="Calibri" w:cs="Calibri"/>
                <w:color w:val="FFFFFF"/>
                <w:sz w:val="19"/>
                <w:lang w:eastAsia="en-AU"/>
              </w:rPr>
            </w:pPr>
          </w:p>
        </w:tc>
        <w:tc>
          <w:tcPr>
            <w:tcW w:w="860" w:type="dxa"/>
            <w:tcBorders>
              <w:left w:val="nil"/>
              <w:bottom w:val="single" w:sz="6" w:space="0" w:color="auto"/>
              <w:right w:val="nil"/>
            </w:tcBorders>
            <w:shd w:val="solid" w:color="000000" w:fill="auto"/>
          </w:tcPr>
          <w:p w:rsidR="00E25CC6" w:rsidRPr="00C61A27" w:rsidRDefault="00E25CC6" w:rsidP="00C61A27">
            <w:pPr>
              <w:autoSpaceDE w:val="0"/>
              <w:autoSpaceDN w:val="0"/>
              <w:adjustRightInd w:val="0"/>
              <w:spacing w:after="0"/>
              <w:jc w:val="right"/>
              <w:rPr>
                <w:rFonts w:ascii="Calibri" w:eastAsiaTheme="minorEastAsia" w:hAnsi="Calibri" w:cs="Calibri"/>
                <w:i/>
                <w:iCs/>
                <w:color w:val="FFFFFF"/>
                <w:sz w:val="19"/>
                <w:lang w:eastAsia="en-AU"/>
              </w:rPr>
            </w:pPr>
            <w:r w:rsidRPr="00C61A27">
              <w:rPr>
                <w:rFonts w:ascii="Calibri" w:eastAsiaTheme="minorEastAsia" w:hAnsi="Calibri" w:cs="Calibri"/>
                <w:i/>
                <w:iCs/>
                <w:color w:val="FFFFFF"/>
                <w:sz w:val="19"/>
                <w:lang w:eastAsia="en-AU"/>
              </w:rPr>
              <w:t>2015-16</w:t>
            </w:r>
          </w:p>
        </w:tc>
        <w:tc>
          <w:tcPr>
            <w:tcW w:w="860" w:type="dxa"/>
            <w:tcBorders>
              <w:left w:val="nil"/>
              <w:bottom w:val="single" w:sz="6" w:space="0" w:color="auto"/>
              <w:right w:val="nil"/>
            </w:tcBorders>
            <w:shd w:val="solid" w:color="000000" w:fill="auto"/>
          </w:tcPr>
          <w:p w:rsidR="00E25CC6" w:rsidRPr="00C61A27" w:rsidRDefault="00E25CC6" w:rsidP="00C61A27">
            <w:pPr>
              <w:autoSpaceDE w:val="0"/>
              <w:autoSpaceDN w:val="0"/>
              <w:adjustRightInd w:val="0"/>
              <w:spacing w:after="0"/>
              <w:jc w:val="right"/>
              <w:rPr>
                <w:rFonts w:ascii="Calibri" w:eastAsiaTheme="minorEastAsia" w:hAnsi="Calibri" w:cs="Calibri"/>
                <w:i/>
                <w:iCs/>
                <w:color w:val="FFFFFF"/>
                <w:sz w:val="19"/>
                <w:lang w:eastAsia="en-AU"/>
              </w:rPr>
            </w:pPr>
            <w:r w:rsidRPr="00C61A27">
              <w:rPr>
                <w:rFonts w:ascii="Calibri" w:eastAsiaTheme="minorEastAsia" w:hAnsi="Calibri" w:cs="Calibri"/>
                <w:i/>
                <w:iCs/>
                <w:color w:val="FFFFFF"/>
                <w:sz w:val="19"/>
                <w:lang w:eastAsia="en-AU"/>
              </w:rPr>
              <w:t>2016-17</w:t>
            </w:r>
          </w:p>
        </w:tc>
        <w:tc>
          <w:tcPr>
            <w:tcW w:w="860" w:type="dxa"/>
            <w:tcBorders>
              <w:left w:val="nil"/>
              <w:bottom w:val="single" w:sz="6" w:space="0" w:color="auto"/>
              <w:right w:val="nil"/>
            </w:tcBorders>
            <w:shd w:val="solid" w:color="000000" w:fill="auto"/>
          </w:tcPr>
          <w:p w:rsidR="00E25CC6" w:rsidRPr="00C61A27" w:rsidRDefault="00E25CC6" w:rsidP="00C61A27">
            <w:pPr>
              <w:autoSpaceDE w:val="0"/>
              <w:autoSpaceDN w:val="0"/>
              <w:adjustRightInd w:val="0"/>
              <w:spacing w:after="0"/>
              <w:jc w:val="right"/>
              <w:rPr>
                <w:rFonts w:ascii="Calibri" w:eastAsiaTheme="minorEastAsia" w:hAnsi="Calibri" w:cs="Calibri"/>
                <w:i/>
                <w:iCs/>
                <w:color w:val="FFFFFF"/>
                <w:sz w:val="19"/>
                <w:lang w:eastAsia="en-AU"/>
              </w:rPr>
            </w:pPr>
            <w:r w:rsidRPr="00C61A27">
              <w:rPr>
                <w:rFonts w:ascii="Calibri" w:eastAsiaTheme="minorEastAsia" w:hAnsi="Calibri" w:cs="Calibri"/>
                <w:i/>
                <w:iCs/>
                <w:color w:val="FFFFFF"/>
                <w:sz w:val="19"/>
                <w:lang w:eastAsia="en-AU"/>
              </w:rPr>
              <w:t>2017-18</w:t>
            </w:r>
          </w:p>
        </w:tc>
        <w:tc>
          <w:tcPr>
            <w:tcW w:w="860" w:type="dxa"/>
            <w:tcBorders>
              <w:left w:val="nil"/>
              <w:bottom w:val="single" w:sz="6" w:space="0" w:color="auto"/>
              <w:right w:val="nil"/>
            </w:tcBorders>
            <w:shd w:val="solid" w:color="000000" w:fill="auto"/>
          </w:tcPr>
          <w:p w:rsidR="00E25CC6" w:rsidRPr="00C61A27" w:rsidRDefault="00E25CC6" w:rsidP="00C61A27">
            <w:pPr>
              <w:autoSpaceDE w:val="0"/>
              <w:autoSpaceDN w:val="0"/>
              <w:adjustRightInd w:val="0"/>
              <w:spacing w:after="0"/>
              <w:jc w:val="right"/>
              <w:rPr>
                <w:rFonts w:ascii="Calibri" w:eastAsiaTheme="minorEastAsia" w:hAnsi="Calibri" w:cs="Calibri"/>
                <w:i/>
                <w:iCs/>
                <w:color w:val="FFFFFF"/>
                <w:sz w:val="19"/>
                <w:lang w:eastAsia="en-AU"/>
              </w:rPr>
            </w:pPr>
            <w:r w:rsidRPr="00C61A27">
              <w:rPr>
                <w:rFonts w:ascii="Calibri" w:eastAsiaTheme="minorEastAsia" w:hAnsi="Calibri" w:cs="Calibri"/>
                <w:i/>
                <w:iCs/>
                <w:color w:val="FFFFFF"/>
                <w:sz w:val="19"/>
                <w:lang w:eastAsia="en-AU"/>
              </w:rPr>
              <w:t>2018-19</w:t>
            </w:r>
          </w:p>
        </w:tc>
        <w:tc>
          <w:tcPr>
            <w:tcW w:w="860" w:type="dxa"/>
            <w:tcBorders>
              <w:left w:val="nil"/>
              <w:bottom w:val="single" w:sz="6" w:space="0" w:color="auto"/>
              <w:right w:val="nil"/>
            </w:tcBorders>
            <w:shd w:val="solid" w:color="000000" w:fill="auto"/>
          </w:tcPr>
          <w:p w:rsidR="00E25CC6" w:rsidRPr="00C61A27" w:rsidRDefault="00E25CC6" w:rsidP="00C61A27">
            <w:pPr>
              <w:autoSpaceDE w:val="0"/>
              <w:autoSpaceDN w:val="0"/>
              <w:adjustRightInd w:val="0"/>
              <w:spacing w:after="0"/>
              <w:jc w:val="right"/>
              <w:rPr>
                <w:rFonts w:ascii="Calibri" w:eastAsiaTheme="minorEastAsia" w:hAnsi="Calibri" w:cs="Calibri"/>
                <w:i/>
                <w:iCs/>
                <w:color w:val="FFFFFF"/>
                <w:sz w:val="19"/>
                <w:lang w:eastAsia="en-AU"/>
              </w:rPr>
            </w:pPr>
            <w:r w:rsidRPr="00C61A27">
              <w:rPr>
                <w:rFonts w:ascii="Calibri" w:eastAsiaTheme="minorEastAsia" w:hAnsi="Calibri" w:cs="Calibri"/>
                <w:i/>
                <w:iCs/>
                <w:color w:val="FFFFFF"/>
                <w:sz w:val="19"/>
                <w:lang w:eastAsia="en-AU"/>
              </w:rPr>
              <w:t>2019-20</w:t>
            </w:r>
          </w:p>
        </w:tc>
        <w:tc>
          <w:tcPr>
            <w:tcW w:w="861" w:type="dxa"/>
            <w:tcBorders>
              <w:left w:val="nil"/>
              <w:bottom w:val="single" w:sz="6" w:space="0" w:color="auto"/>
              <w:right w:val="nil"/>
            </w:tcBorders>
            <w:shd w:val="solid" w:color="000000" w:fill="auto"/>
          </w:tcPr>
          <w:p w:rsidR="00E25CC6" w:rsidRPr="00C61A27" w:rsidRDefault="00E25CC6" w:rsidP="00C61A27">
            <w:pPr>
              <w:autoSpaceDE w:val="0"/>
              <w:autoSpaceDN w:val="0"/>
              <w:adjustRightInd w:val="0"/>
              <w:spacing w:after="0"/>
              <w:jc w:val="right"/>
              <w:rPr>
                <w:rFonts w:ascii="Calibri" w:eastAsiaTheme="minorEastAsia" w:hAnsi="Calibri" w:cs="Calibri"/>
                <w:i/>
                <w:iCs/>
                <w:color w:val="FFFFFF"/>
                <w:sz w:val="19"/>
                <w:lang w:eastAsia="en-AU"/>
              </w:rPr>
            </w:pPr>
            <w:r w:rsidRPr="00C61A27">
              <w:rPr>
                <w:rFonts w:ascii="Calibri" w:eastAsiaTheme="minorEastAsia" w:hAnsi="Calibri" w:cs="Calibri"/>
                <w:i/>
                <w:iCs/>
                <w:color w:val="FFFFFF"/>
                <w:sz w:val="19"/>
                <w:lang w:eastAsia="en-AU"/>
              </w:rPr>
              <w:t>TEI</w:t>
            </w:r>
          </w:p>
        </w:tc>
      </w:tr>
      <w:tr w:rsidR="00E25CC6" w:rsidRPr="00C61A27" w:rsidTr="00C61A27">
        <w:tc>
          <w:tcPr>
            <w:tcW w:w="2604" w:type="dxa"/>
            <w:tcBorders>
              <w:top w:val="single" w:sz="6" w:space="0" w:color="auto"/>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Aboriginal Affairs</w:t>
            </w:r>
          </w:p>
        </w:tc>
        <w:tc>
          <w:tcPr>
            <w:tcW w:w="860" w:type="dxa"/>
            <w:tcBorders>
              <w:top w:val="single" w:sz="6" w:space="0" w:color="auto"/>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single" w:sz="6" w:space="0" w:color="auto"/>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single" w:sz="6" w:space="0" w:color="auto"/>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single" w:sz="6" w:space="0" w:color="auto"/>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single" w:sz="6" w:space="0" w:color="auto"/>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1" w:type="dxa"/>
            <w:tcBorders>
              <w:top w:val="single" w:sz="6" w:space="0" w:color="auto"/>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Family Violence</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48.8</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28.0</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23.4</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100.1</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Hazelwood</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0.2</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0.6</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0.5</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1.3</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 xml:space="preserve">Ice Action Plan </w:t>
            </w:r>
            <w:r>
              <w:rPr>
                <w:rFonts w:ascii="Calibri" w:eastAsiaTheme="minorEastAsia" w:hAnsi="Calibri" w:cs="Calibri"/>
                <w:color w:val="000000"/>
                <w:sz w:val="19"/>
                <w:lang w:eastAsia="en-AU"/>
              </w:rPr>
              <w:t>–</w:t>
            </w:r>
            <w:r w:rsidRPr="00C61A27">
              <w:rPr>
                <w:rFonts w:ascii="Calibri" w:eastAsiaTheme="minorEastAsia" w:hAnsi="Calibri" w:cs="Calibri"/>
                <w:color w:val="000000"/>
                <w:sz w:val="19"/>
                <w:lang w:eastAsia="en-AU"/>
              </w:rPr>
              <w:t xml:space="preserve"> Stage 2</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11.3</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3.5</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2.4</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17.1</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Jobs</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38.1</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75.9</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54.6</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8.8</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177.4</w:t>
            </w:r>
          </w:p>
        </w:tc>
      </w:tr>
      <w:tr w:rsidR="00E25CC6" w:rsidRPr="00C61A27" w:rsidTr="00C61A27">
        <w:tc>
          <w:tcPr>
            <w:tcW w:w="2604" w:type="dxa"/>
            <w:tcBorders>
              <w:top w:val="nil"/>
              <w:left w:val="nil"/>
              <w:right w:val="nil"/>
            </w:tcBorders>
            <w:shd w:val="clear" w:color="auto"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Economic Development, Jobs, Transport and Resources</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61.3</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986.7</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1 194.7</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1 504.1</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717.4</w:t>
            </w:r>
          </w:p>
        </w:tc>
        <w:tc>
          <w:tcPr>
            <w:tcW w:w="861"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9 601.6</w:t>
            </w:r>
            <w:r>
              <w:rPr>
                <w:rFonts w:ascii="Calibri" w:eastAsiaTheme="minorEastAsia" w:hAnsi="Calibri" w:cs="Calibri"/>
                <w:color w:val="000000"/>
                <w:sz w:val="19"/>
                <w:lang w:eastAsia="en-AU"/>
              </w:rPr>
              <w:t>–</w:t>
            </w:r>
            <w:r w:rsidRPr="00C61A27">
              <w:rPr>
                <w:rFonts w:ascii="Calibri" w:eastAsiaTheme="minorEastAsia" w:hAnsi="Calibri" w:cs="Calibri"/>
                <w:color w:val="000000"/>
                <w:sz w:val="19"/>
                <w:lang w:eastAsia="en-AU"/>
              </w:rPr>
              <w:t xml:space="preserve"> 9 640.0</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Education and Training</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33.7</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337.3</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380.6</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139.6</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3.8</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895.0</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Environment, Land, Water and Planning</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3.9</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24.6</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17.3</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19.1</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16.3</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90.7</w:t>
            </w:r>
          </w:p>
        </w:tc>
      </w:tr>
      <w:tr w:rsidR="00E25CC6" w:rsidRPr="00C61A27" w:rsidTr="00C61A27">
        <w:tc>
          <w:tcPr>
            <w:tcW w:w="2604" w:type="dxa"/>
            <w:tcBorders>
              <w:top w:val="nil"/>
              <w:left w:val="nil"/>
              <w:right w:val="nil"/>
            </w:tcBorders>
            <w:shd w:val="clear" w:color="auto"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Health and Human Services</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0.4</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215.6</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219.7</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231.3</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113.6</w:t>
            </w:r>
          </w:p>
        </w:tc>
        <w:tc>
          <w:tcPr>
            <w:tcW w:w="861"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1 004.8</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Justice and Regulation</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10.0</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165.2</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137.0</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56.1</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9.7</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378.0</w:t>
            </w:r>
          </w:p>
        </w:tc>
      </w:tr>
      <w:tr w:rsidR="00E25CC6" w:rsidRPr="00C61A27" w:rsidTr="00C61A27">
        <w:tc>
          <w:tcPr>
            <w:tcW w:w="2604" w:type="dxa"/>
            <w:tcBorders>
              <w:top w:val="nil"/>
              <w:left w:val="nil"/>
              <w:right w:val="nil"/>
            </w:tcBorders>
            <w:shd w:val="clear" w:color="auto"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Premier and Cabinet</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15.0</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1" w:type="dxa"/>
            <w:tcBorders>
              <w:top w:val="nil"/>
              <w:left w:val="nil"/>
              <w:right w:val="nil"/>
            </w:tcBorders>
            <w:shd w:val="clear" w:color="auto"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15.0</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Treasury and Finance</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3.2</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3.8</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3.6</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3.1</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13.7</w:t>
            </w:r>
          </w:p>
        </w:tc>
      </w:tr>
      <w:tr w:rsidR="00E25CC6" w:rsidRPr="00C61A27" w:rsidTr="00C61A27">
        <w:tc>
          <w:tcPr>
            <w:tcW w:w="2604" w:type="dxa"/>
            <w:tcBorders>
              <w:top w:val="nil"/>
              <w:left w:val="nil"/>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Parliament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28.7</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16.8</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1" w:type="dxa"/>
            <w:tcBorders>
              <w:top w:val="nil"/>
              <w:left w:val="nil"/>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45.5</w:t>
            </w:r>
          </w:p>
        </w:tc>
      </w:tr>
      <w:tr w:rsidR="00E25CC6" w:rsidRPr="00C61A27" w:rsidTr="00C61A27">
        <w:tc>
          <w:tcPr>
            <w:tcW w:w="2604" w:type="dxa"/>
            <w:tcBorders>
              <w:top w:val="nil"/>
              <w:left w:val="nil"/>
              <w:bottom w:val="single" w:sz="6" w:space="0" w:color="auto"/>
              <w:right w:val="nil"/>
            </w:tcBorders>
            <w:shd w:val="clear" w:color="000000"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Courts</w:t>
            </w:r>
          </w:p>
        </w:tc>
        <w:tc>
          <w:tcPr>
            <w:tcW w:w="860" w:type="dxa"/>
            <w:tcBorders>
              <w:top w:val="nil"/>
              <w:left w:val="nil"/>
              <w:bottom w:val="single" w:sz="6" w:space="0" w:color="auto"/>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bottom w:val="single" w:sz="6" w:space="0" w:color="auto"/>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3.7</w:t>
            </w:r>
          </w:p>
        </w:tc>
        <w:tc>
          <w:tcPr>
            <w:tcW w:w="860" w:type="dxa"/>
            <w:tcBorders>
              <w:top w:val="nil"/>
              <w:left w:val="nil"/>
              <w:bottom w:val="single" w:sz="6" w:space="0" w:color="auto"/>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3.5</w:t>
            </w:r>
          </w:p>
        </w:tc>
        <w:tc>
          <w:tcPr>
            <w:tcW w:w="860" w:type="dxa"/>
            <w:tcBorders>
              <w:top w:val="nil"/>
              <w:left w:val="nil"/>
              <w:bottom w:val="single" w:sz="6" w:space="0" w:color="auto"/>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0" w:type="dxa"/>
            <w:tcBorders>
              <w:top w:val="nil"/>
              <w:left w:val="nil"/>
              <w:bottom w:val="single" w:sz="6" w:space="0" w:color="auto"/>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19"/>
                <w:lang w:eastAsia="en-AU"/>
              </w:rPr>
            </w:pPr>
            <w:r w:rsidRPr="00C61A27">
              <w:rPr>
                <w:rFonts w:ascii="Calibri" w:eastAsiaTheme="minorEastAsia" w:hAnsi="Calibri" w:cs="Calibri"/>
                <w:color w:val="000000"/>
                <w:sz w:val="19"/>
                <w:lang w:eastAsia="en-AU"/>
              </w:rPr>
              <w:t>..</w:t>
            </w:r>
          </w:p>
        </w:tc>
        <w:tc>
          <w:tcPr>
            <w:tcW w:w="861" w:type="dxa"/>
            <w:tcBorders>
              <w:top w:val="nil"/>
              <w:left w:val="nil"/>
              <w:bottom w:val="single" w:sz="6" w:space="0" w:color="auto"/>
              <w:right w:val="nil"/>
            </w:tcBorders>
            <w:shd w:val="clear" w:color="000000" w:fill="FFFFFF"/>
          </w:tcPr>
          <w:p w:rsidR="00E25CC6" w:rsidRPr="00C61A27" w:rsidRDefault="00E25CC6" w:rsidP="00C61A27">
            <w:pPr>
              <w:autoSpaceDE w:val="0"/>
              <w:autoSpaceDN w:val="0"/>
              <w:adjustRightInd w:val="0"/>
              <w:spacing w:after="0"/>
              <w:jc w:val="right"/>
              <w:rPr>
                <w:rFonts w:ascii="Calibri" w:eastAsiaTheme="minorEastAsia" w:hAnsi="Calibri" w:cs="Calibri"/>
                <w:color w:val="000000"/>
                <w:sz w:val="20"/>
                <w:lang w:eastAsia="en-AU"/>
              </w:rPr>
            </w:pPr>
            <w:r w:rsidRPr="00C61A27">
              <w:rPr>
                <w:rFonts w:ascii="Calibri" w:eastAsiaTheme="minorEastAsia" w:hAnsi="Calibri" w:cs="Calibri"/>
                <w:color w:val="000000"/>
                <w:sz w:val="19"/>
                <w:lang w:eastAsia="en-AU"/>
              </w:rPr>
              <w:t xml:space="preserve"> 7.3</w:t>
            </w:r>
          </w:p>
        </w:tc>
      </w:tr>
      <w:tr w:rsidR="00E25CC6" w:rsidRPr="00C61A27" w:rsidTr="00C61A27">
        <w:tc>
          <w:tcPr>
            <w:tcW w:w="2604" w:type="dxa"/>
            <w:tcBorders>
              <w:top w:val="single" w:sz="6" w:space="0" w:color="auto"/>
              <w:left w:val="nil"/>
              <w:bottom w:val="single" w:sz="12" w:space="0" w:color="auto"/>
              <w:right w:val="nil"/>
            </w:tcBorders>
            <w:shd w:val="solid" w:color="FFFFFF" w:fill="FFFFFF"/>
          </w:tcPr>
          <w:p w:rsidR="00E25CC6" w:rsidRPr="00C61A27" w:rsidRDefault="00E25CC6" w:rsidP="00C61A27">
            <w:pPr>
              <w:autoSpaceDE w:val="0"/>
              <w:autoSpaceDN w:val="0"/>
              <w:adjustRightInd w:val="0"/>
              <w:spacing w:after="0"/>
              <w:ind w:left="227" w:hanging="227"/>
              <w:rPr>
                <w:rFonts w:ascii="Calibri" w:eastAsiaTheme="minorEastAsia" w:hAnsi="Calibri" w:cs="Calibri"/>
                <w:b/>
                <w:bCs/>
                <w:color w:val="000000"/>
                <w:sz w:val="19"/>
                <w:vertAlign w:val="superscript"/>
                <w:lang w:eastAsia="en-AU"/>
              </w:rPr>
            </w:pPr>
            <w:r w:rsidRPr="00C61A27">
              <w:rPr>
                <w:rFonts w:ascii="Calibri" w:eastAsiaTheme="minorEastAsia" w:hAnsi="Calibri" w:cs="Calibri"/>
                <w:b/>
                <w:bCs/>
                <w:color w:val="000000"/>
                <w:sz w:val="19"/>
                <w:lang w:eastAsia="en-AU"/>
              </w:rPr>
              <w:t xml:space="preserve">Total asset initiatives </w:t>
            </w:r>
            <w:r w:rsidRPr="00C61A27">
              <w:rPr>
                <w:rFonts w:ascii="Calibri" w:eastAsiaTheme="minorEastAsia" w:hAnsi="Calibri" w:cs="Calibri"/>
                <w:b/>
                <w:bCs/>
                <w:color w:val="000000"/>
                <w:sz w:val="19"/>
                <w:vertAlign w:val="superscript"/>
                <w:lang w:eastAsia="en-AU"/>
              </w:rPr>
              <w:t>(a)</w:t>
            </w:r>
          </w:p>
        </w:tc>
        <w:tc>
          <w:tcPr>
            <w:tcW w:w="860" w:type="dxa"/>
            <w:tcBorders>
              <w:top w:val="single" w:sz="6" w:space="0" w:color="auto"/>
              <w:left w:val="nil"/>
              <w:bottom w:val="single" w:sz="12" w:space="0" w:color="auto"/>
              <w:right w:val="nil"/>
            </w:tcBorders>
            <w:shd w:val="solid" w:color="FFFFFF" w:fill="FFFFFF"/>
          </w:tcPr>
          <w:p w:rsidR="00E25CC6" w:rsidRPr="00C61A27" w:rsidRDefault="00E25CC6" w:rsidP="00C61A27">
            <w:pPr>
              <w:autoSpaceDE w:val="0"/>
              <w:autoSpaceDN w:val="0"/>
              <w:adjustRightInd w:val="0"/>
              <w:spacing w:after="0"/>
              <w:jc w:val="right"/>
              <w:rPr>
                <w:rFonts w:ascii="Calibri" w:eastAsiaTheme="minorEastAsia" w:hAnsi="Calibri" w:cs="Calibri"/>
                <w:b/>
                <w:bCs/>
                <w:color w:val="000000"/>
                <w:sz w:val="20"/>
                <w:lang w:eastAsia="en-AU"/>
              </w:rPr>
            </w:pPr>
            <w:r w:rsidRPr="00C61A27">
              <w:rPr>
                <w:rFonts w:ascii="Calibri" w:eastAsiaTheme="minorEastAsia" w:hAnsi="Calibri" w:cs="Calibri"/>
                <w:b/>
                <w:bCs/>
                <w:color w:val="000000"/>
                <w:sz w:val="19"/>
                <w:lang w:eastAsia="en-AU"/>
              </w:rPr>
              <w:t xml:space="preserve"> 158.2</w:t>
            </w:r>
          </w:p>
        </w:tc>
        <w:tc>
          <w:tcPr>
            <w:tcW w:w="860" w:type="dxa"/>
            <w:tcBorders>
              <w:top w:val="single" w:sz="6" w:space="0" w:color="auto"/>
              <w:left w:val="nil"/>
              <w:bottom w:val="single" w:sz="12" w:space="0" w:color="auto"/>
              <w:right w:val="nil"/>
            </w:tcBorders>
            <w:shd w:val="solid" w:color="FFFFFF" w:fill="FFFFFF"/>
          </w:tcPr>
          <w:p w:rsidR="00E25CC6" w:rsidRPr="00C61A27" w:rsidRDefault="00E25CC6" w:rsidP="00C61A27">
            <w:pPr>
              <w:autoSpaceDE w:val="0"/>
              <w:autoSpaceDN w:val="0"/>
              <w:adjustRightInd w:val="0"/>
              <w:spacing w:after="0"/>
              <w:jc w:val="right"/>
              <w:rPr>
                <w:rFonts w:ascii="Calibri" w:eastAsiaTheme="minorEastAsia" w:hAnsi="Calibri" w:cs="Calibri"/>
                <w:b/>
                <w:bCs/>
                <w:color w:val="000000"/>
                <w:sz w:val="19"/>
                <w:lang w:eastAsia="en-AU"/>
              </w:rPr>
            </w:pPr>
            <w:r w:rsidRPr="00C61A27">
              <w:rPr>
                <w:rFonts w:ascii="Calibri" w:eastAsiaTheme="minorEastAsia" w:hAnsi="Calibri" w:cs="Calibri"/>
                <w:b/>
                <w:bCs/>
                <w:color w:val="000000"/>
                <w:sz w:val="19"/>
                <w:lang w:eastAsia="en-AU"/>
              </w:rPr>
              <w:t>1 858.0</w:t>
            </w:r>
          </w:p>
        </w:tc>
        <w:tc>
          <w:tcPr>
            <w:tcW w:w="860" w:type="dxa"/>
            <w:tcBorders>
              <w:top w:val="single" w:sz="6" w:space="0" w:color="auto"/>
              <w:left w:val="nil"/>
              <w:bottom w:val="single" w:sz="12" w:space="0" w:color="auto"/>
              <w:right w:val="nil"/>
            </w:tcBorders>
            <w:shd w:val="solid" w:color="FFFFFF" w:fill="FFFFFF"/>
          </w:tcPr>
          <w:p w:rsidR="00E25CC6" w:rsidRPr="00C61A27" w:rsidRDefault="00E25CC6" w:rsidP="00C61A27">
            <w:pPr>
              <w:autoSpaceDE w:val="0"/>
              <w:autoSpaceDN w:val="0"/>
              <w:adjustRightInd w:val="0"/>
              <w:spacing w:after="0"/>
              <w:jc w:val="right"/>
              <w:rPr>
                <w:rFonts w:ascii="Calibri" w:eastAsiaTheme="minorEastAsia" w:hAnsi="Calibri" w:cs="Calibri"/>
                <w:b/>
                <w:bCs/>
                <w:color w:val="000000"/>
                <w:sz w:val="19"/>
                <w:lang w:eastAsia="en-AU"/>
              </w:rPr>
            </w:pPr>
            <w:r w:rsidRPr="00C61A27">
              <w:rPr>
                <w:rFonts w:ascii="Calibri" w:eastAsiaTheme="minorEastAsia" w:hAnsi="Calibri" w:cs="Calibri"/>
                <w:b/>
                <w:bCs/>
                <w:color w:val="000000"/>
                <w:sz w:val="19"/>
                <w:lang w:eastAsia="en-AU"/>
              </w:rPr>
              <w:t>2 076.7</w:t>
            </w:r>
          </w:p>
        </w:tc>
        <w:tc>
          <w:tcPr>
            <w:tcW w:w="860" w:type="dxa"/>
            <w:tcBorders>
              <w:top w:val="single" w:sz="6" w:space="0" w:color="auto"/>
              <w:left w:val="nil"/>
              <w:bottom w:val="single" w:sz="12" w:space="0" w:color="auto"/>
              <w:right w:val="nil"/>
            </w:tcBorders>
            <w:shd w:val="solid" w:color="FFFFFF" w:fill="FFFFFF"/>
          </w:tcPr>
          <w:p w:rsidR="00E25CC6" w:rsidRPr="00C61A27" w:rsidRDefault="00E25CC6" w:rsidP="00C61A27">
            <w:pPr>
              <w:autoSpaceDE w:val="0"/>
              <w:autoSpaceDN w:val="0"/>
              <w:adjustRightInd w:val="0"/>
              <w:spacing w:after="0"/>
              <w:jc w:val="right"/>
              <w:rPr>
                <w:rFonts w:ascii="Calibri" w:eastAsiaTheme="minorEastAsia" w:hAnsi="Calibri" w:cs="Calibri"/>
                <w:b/>
                <w:bCs/>
                <w:color w:val="000000"/>
                <w:sz w:val="19"/>
                <w:lang w:eastAsia="en-AU"/>
              </w:rPr>
            </w:pPr>
            <w:r w:rsidRPr="00C61A27">
              <w:rPr>
                <w:rFonts w:ascii="Calibri" w:eastAsiaTheme="minorEastAsia" w:hAnsi="Calibri" w:cs="Calibri"/>
                <w:b/>
                <w:bCs/>
                <w:color w:val="000000"/>
                <w:sz w:val="19"/>
                <w:lang w:eastAsia="en-AU"/>
              </w:rPr>
              <w:t>2 010.6</w:t>
            </w:r>
          </w:p>
        </w:tc>
        <w:tc>
          <w:tcPr>
            <w:tcW w:w="860" w:type="dxa"/>
            <w:tcBorders>
              <w:top w:val="single" w:sz="6" w:space="0" w:color="auto"/>
              <w:left w:val="nil"/>
              <w:bottom w:val="single" w:sz="12" w:space="0" w:color="auto"/>
              <w:right w:val="nil"/>
            </w:tcBorders>
            <w:shd w:val="solid" w:color="FFFFFF" w:fill="FFFFFF"/>
          </w:tcPr>
          <w:p w:rsidR="00E25CC6" w:rsidRPr="00C61A27" w:rsidRDefault="00E25CC6" w:rsidP="00C61A27">
            <w:pPr>
              <w:autoSpaceDE w:val="0"/>
              <w:autoSpaceDN w:val="0"/>
              <w:adjustRightInd w:val="0"/>
              <w:spacing w:after="0"/>
              <w:jc w:val="right"/>
              <w:rPr>
                <w:rFonts w:ascii="Calibri" w:eastAsiaTheme="minorEastAsia" w:hAnsi="Calibri" w:cs="Calibri"/>
                <w:b/>
                <w:bCs/>
                <w:color w:val="000000"/>
                <w:sz w:val="20"/>
                <w:lang w:eastAsia="en-AU"/>
              </w:rPr>
            </w:pPr>
            <w:r w:rsidRPr="00C61A27">
              <w:rPr>
                <w:rFonts w:ascii="Calibri" w:eastAsiaTheme="minorEastAsia" w:hAnsi="Calibri" w:cs="Calibri"/>
                <w:b/>
                <w:bCs/>
                <w:color w:val="000000"/>
                <w:sz w:val="19"/>
                <w:lang w:eastAsia="en-AU"/>
              </w:rPr>
              <w:t xml:space="preserve"> 872.7</w:t>
            </w:r>
          </w:p>
        </w:tc>
        <w:tc>
          <w:tcPr>
            <w:tcW w:w="861" w:type="dxa"/>
            <w:tcBorders>
              <w:top w:val="single" w:sz="6" w:space="0" w:color="auto"/>
              <w:left w:val="nil"/>
              <w:bottom w:val="single" w:sz="12" w:space="0" w:color="auto"/>
              <w:right w:val="nil"/>
            </w:tcBorders>
            <w:shd w:val="solid" w:color="FFFFFF" w:fill="FFFFFF"/>
          </w:tcPr>
          <w:p w:rsidR="00E25CC6" w:rsidRPr="00C61A27" w:rsidRDefault="00E25CC6" w:rsidP="00C61A27">
            <w:pPr>
              <w:autoSpaceDE w:val="0"/>
              <w:autoSpaceDN w:val="0"/>
              <w:adjustRightInd w:val="0"/>
              <w:spacing w:after="0"/>
              <w:jc w:val="right"/>
              <w:rPr>
                <w:rFonts w:ascii="Calibri" w:eastAsiaTheme="minorEastAsia" w:hAnsi="Calibri" w:cs="Calibri"/>
                <w:b/>
                <w:bCs/>
                <w:color w:val="000000"/>
                <w:sz w:val="19"/>
                <w:lang w:eastAsia="en-AU"/>
              </w:rPr>
            </w:pPr>
            <w:r w:rsidRPr="00C61A27">
              <w:rPr>
                <w:rFonts w:ascii="Calibri" w:eastAsiaTheme="minorEastAsia" w:hAnsi="Calibri" w:cs="Calibri"/>
                <w:b/>
                <w:bCs/>
                <w:color w:val="000000"/>
                <w:sz w:val="19"/>
                <w:lang w:eastAsia="en-AU"/>
              </w:rPr>
              <w:t>12</w:t>
            </w:r>
            <w:r>
              <w:rPr>
                <w:rFonts w:ascii="Calibri" w:eastAsiaTheme="minorEastAsia" w:hAnsi="Calibri" w:cs="Calibri"/>
                <w:b/>
                <w:bCs/>
                <w:color w:val="000000"/>
                <w:sz w:val="19"/>
                <w:lang w:eastAsia="en-AU"/>
              </w:rPr>
              <w:t> </w:t>
            </w:r>
            <w:r w:rsidRPr="00C61A27">
              <w:rPr>
                <w:rFonts w:ascii="Calibri" w:eastAsiaTheme="minorEastAsia" w:hAnsi="Calibri" w:cs="Calibri"/>
                <w:b/>
                <w:bCs/>
                <w:color w:val="000000"/>
                <w:sz w:val="19"/>
                <w:lang w:eastAsia="en-AU"/>
              </w:rPr>
              <w:t>347.5</w:t>
            </w:r>
            <w:r>
              <w:rPr>
                <w:rFonts w:ascii="Calibri" w:eastAsiaTheme="minorEastAsia" w:hAnsi="Calibri" w:cs="Calibri"/>
                <w:b/>
                <w:bCs/>
                <w:color w:val="000000"/>
                <w:sz w:val="19"/>
                <w:lang w:eastAsia="en-AU"/>
              </w:rPr>
              <w:t>–</w:t>
            </w:r>
            <w:r w:rsidRPr="00C61A27">
              <w:rPr>
                <w:rFonts w:ascii="Calibri" w:eastAsiaTheme="minorEastAsia" w:hAnsi="Calibri" w:cs="Calibri"/>
                <w:b/>
                <w:bCs/>
                <w:color w:val="000000"/>
                <w:sz w:val="19"/>
                <w:lang w:eastAsia="en-AU"/>
              </w:rPr>
              <w:t xml:space="preserve"> 12 385.9</w:t>
            </w:r>
          </w:p>
        </w:tc>
      </w:tr>
    </w:tbl>
    <w:p w:rsidR="00E25CC6" w:rsidRDefault="00E25CC6" w:rsidP="00C61A27">
      <w:pPr>
        <w:pStyle w:val="Source"/>
      </w:pPr>
      <w:r>
        <w:t>Source: Department of Treasury and Finance</w:t>
      </w:r>
    </w:p>
    <w:p w:rsidR="00E25CC6" w:rsidRDefault="00E25CC6" w:rsidP="00365ACB">
      <w:pPr>
        <w:pStyle w:val="Notes"/>
      </w:pPr>
      <w:r>
        <w:t>Note:</w:t>
      </w:r>
    </w:p>
    <w:p w:rsidR="00E25CC6" w:rsidRDefault="00E25CC6" w:rsidP="00365ACB">
      <w:pPr>
        <w:pStyle w:val="Notes"/>
      </w:pPr>
      <w:r>
        <w:t>(a)</w:t>
      </w:r>
      <w:r>
        <w:tab/>
        <w:t>Tables may not add due to rounding.</w:t>
      </w:r>
    </w:p>
    <w:p w:rsidR="00E25CC6" w:rsidRPr="00F16216" w:rsidRDefault="00E25CC6" w:rsidP="00F16216">
      <w:pPr>
        <w:pStyle w:val="Heading1"/>
      </w:pPr>
      <w:bookmarkStart w:id="6" w:name="_Toc449109421"/>
      <w:r w:rsidRPr="00F16216">
        <w:t>Whole of Government – Aboriginal Affairs</w:t>
      </w:r>
      <w:bookmarkEnd w:id="6"/>
      <w:r w:rsidRPr="00F16216">
        <w:t xml:space="preserve"> </w:t>
      </w:r>
    </w:p>
    <w:p w:rsidR="00E25CC6" w:rsidRDefault="00E25CC6" w:rsidP="00F2364E">
      <w:pPr>
        <w:pStyle w:val="Heading3"/>
      </w:pPr>
      <w:bookmarkStart w:id="7" w:name="AborAffWOG"/>
      <w:r>
        <w:t>Output initiatives</w:t>
      </w:r>
    </w:p>
    <w:p w:rsidR="00E25CC6" w:rsidRDefault="00E25CC6" w:rsidP="00341B58">
      <w:pPr>
        <w:pStyle w:val="Tableheading"/>
        <w:rPr>
          <w:lang w:eastAsia="en-AU"/>
        </w:rPr>
      </w:pPr>
      <w:r>
        <w:t>Table 1.3:</w:t>
      </w:r>
      <w:r>
        <w:tab/>
        <w:t>Output initiatives –</w:t>
      </w:r>
      <w:r w:rsidRPr="00FA2145">
        <w:rPr>
          <w:rFonts w:eastAsiaTheme="minorHAnsi"/>
        </w:rPr>
        <w:t xml:space="preserve"> </w:t>
      </w:r>
      <w:r>
        <w:rPr>
          <w:lang w:eastAsia="en-AU"/>
        </w:rPr>
        <w:t>Aboriginal Affairs</w:t>
      </w:r>
    </w:p>
    <w:p w:rsidR="00E25CC6" w:rsidRDefault="00E25CC6" w:rsidP="00AB17EC">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484"/>
        <w:gridCol w:w="858"/>
        <w:gridCol w:w="858"/>
        <w:gridCol w:w="859"/>
        <w:gridCol w:w="858"/>
        <w:gridCol w:w="859"/>
      </w:tblGrid>
      <w:tr w:rsidR="00E25CC6" w:rsidRPr="00AB17EC" w:rsidTr="00AB17EC">
        <w:trPr>
          <w:cantSplit/>
        </w:trPr>
        <w:tc>
          <w:tcPr>
            <w:tcW w:w="3484"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AB17EC">
            <w:pPr>
              <w:pStyle w:val="Tabletext"/>
              <w:rPr>
                <w:rFonts w:eastAsiaTheme="minorEastAsia"/>
                <w:lang w:eastAsia="en-AU"/>
              </w:rPr>
            </w:pPr>
          </w:p>
        </w:tc>
        <w:tc>
          <w:tcPr>
            <w:tcW w:w="858"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58"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59"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58"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59" w:type="dxa"/>
            <w:tcBorders>
              <w:top w:val="single" w:sz="4" w:space="0" w:color="auto"/>
              <w:left w:val="nil"/>
              <w:bottom w:val="single" w:sz="4" w:space="0" w:color="auto"/>
              <w:right w:val="single" w:sz="4" w:space="0" w:color="auto"/>
            </w:tcBorders>
            <w:shd w:val="clear" w:color="auto" w:fill="000000"/>
          </w:tcPr>
          <w:p w:rsidR="00E25CC6" w:rsidRPr="00AB17EC" w:rsidRDefault="00E25CC6" w:rsidP="00AB17EC">
            <w:pPr>
              <w:pStyle w:val="Tabletextheading"/>
              <w:rPr>
                <w:rFonts w:eastAsiaTheme="minorEastAsia" w:cs="Calibri"/>
                <w:iCs/>
                <w:lang w:eastAsia="en-AU"/>
              </w:rPr>
            </w:pPr>
            <w:r w:rsidRPr="00AB17EC">
              <w:rPr>
                <w:rFonts w:eastAsiaTheme="minorEastAsia" w:cs="Calibri"/>
                <w:iCs/>
                <w:lang w:eastAsia="en-AU"/>
              </w:rPr>
              <w:t>2019</w:t>
            </w:r>
            <w:r>
              <w:rPr>
                <w:rFonts w:eastAsiaTheme="minorEastAsia" w:cs="Calibri"/>
                <w:iCs/>
                <w:lang w:eastAsia="en-AU"/>
              </w:rPr>
              <w:noBreakHyphen/>
            </w:r>
            <w:r w:rsidRPr="00AB17EC">
              <w:rPr>
                <w:rFonts w:eastAsiaTheme="minorEastAsia" w:cs="Calibri"/>
                <w:iCs/>
                <w:lang w:eastAsia="en-AU"/>
              </w:rPr>
              <w:t>20</w:t>
            </w:r>
          </w:p>
        </w:tc>
      </w:tr>
      <w:tr w:rsidR="00E25CC6" w:rsidRPr="00AB17EC" w:rsidTr="00AB17EC">
        <w:trPr>
          <w:cantSplit/>
        </w:trPr>
        <w:tc>
          <w:tcPr>
            <w:tcW w:w="3484" w:type="dxa"/>
            <w:tcBorders>
              <w:top w:val="single" w:sz="4" w:space="0" w:color="auto"/>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Aboriginal cultural heritage management and protection</w:t>
            </w:r>
          </w:p>
        </w:tc>
        <w:tc>
          <w:tcPr>
            <w:tcW w:w="858" w:type="dxa"/>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59" w:type="dxa"/>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9" w:type="dxa"/>
            <w:tcBorders>
              <w:top w:val="single" w:sz="4" w:space="0" w:color="auto"/>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B17EC">
        <w:trPr>
          <w:cantSplit/>
        </w:trPr>
        <w:tc>
          <w:tcPr>
            <w:tcW w:w="3484"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Aboriginal self</w:t>
            </w:r>
            <w:r>
              <w:rPr>
                <w:rFonts w:eastAsiaTheme="minorEastAsia"/>
                <w:lang w:eastAsia="en-AU"/>
              </w:rPr>
              <w:noBreakHyphen/>
            </w:r>
            <w:r w:rsidRPr="00AB17EC">
              <w:rPr>
                <w:rFonts w:eastAsiaTheme="minorEastAsia"/>
                <w:lang w:eastAsia="en-AU"/>
              </w:rPr>
              <w:t>determination and strong Aboriginal culture</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3.8</w:t>
            </w:r>
          </w:p>
        </w:tc>
        <w:tc>
          <w:tcPr>
            <w:tcW w:w="859"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9"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B17EC">
        <w:trPr>
          <w:cantSplit/>
        </w:trPr>
        <w:tc>
          <w:tcPr>
            <w:tcW w:w="3484"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Budj Bim Masterplan and World Heritage nomination</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59"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w:t>
            </w:r>
          </w:p>
        </w:tc>
        <w:tc>
          <w:tcPr>
            <w:tcW w:w="859"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B17EC">
        <w:trPr>
          <w:cantSplit/>
        </w:trPr>
        <w:tc>
          <w:tcPr>
            <w:tcW w:w="3484"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Community Infrastructure Program</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3.0</w:t>
            </w:r>
          </w:p>
        </w:tc>
        <w:tc>
          <w:tcPr>
            <w:tcW w:w="859"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9"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B17EC">
        <w:trPr>
          <w:cantSplit/>
        </w:trPr>
        <w:tc>
          <w:tcPr>
            <w:tcW w:w="3484"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Koori Business Strategy</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59"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59"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1.7</w:t>
            </w:r>
          </w:p>
        </w:tc>
      </w:tr>
      <w:tr w:rsidR="00E25CC6" w:rsidRPr="00AB17EC" w:rsidTr="00AB17EC">
        <w:trPr>
          <w:cantSplit/>
        </w:trPr>
        <w:tc>
          <w:tcPr>
            <w:tcW w:w="3484" w:type="dxa"/>
            <w:tcBorders>
              <w:top w:val="nil"/>
              <w:left w:val="nil"/>
              <w:bottom w:val="nil"/>
              <w:right w:val="nil"/>
            </w:tcBorders>
            <w:shd w:val="solid" w:color="FFFFFF" w:fill="auto"/>
          </w:tcPr>
          <w:p w:rsidR="00E25CC6" w:rsidRPr="00AB17EC" w:rsidRDefault="00E25CC6" w:rsidP="00477F53">
            <w:pPr>
              <w:pStyle w:val="Tabletext"/>
              <w:rPr>
                <w:rFonts w:eastAsiaTheme="minorEastAsia"/>
                <w:lang w:eastAsia="en-AU"/>
              </w:rPr>
            </w:pPr>
            <w:r w:rsidRPr="00AB17EC">
              <w:rPr>
                <w:rFonts w:eastAsiaTheme="minorEastAsia"/>
                <w:lang w:eastAsia="en-AU"/>
              </w:rPr>
              <w:t>Young Aboriginal people</w:t>
            </w:r>
            <w:r>
              <w:rPr>
                <w:rFonts w:eastAsiaTheme="minorEastAsia"/>
                <w:lang w:eastAsia="en-AU"/>
              </w:rPr>
              <w:t>’</w:t>
            </w:r>
            <w:r w:rsidRPr="00AB17EC">
              <w:rPr>
                <w:rFonts w:eastAsiaTheme="minorEastAsia"/>
                <w:lang w:eastAsia="en-AU"/>
              </w:rPr>
              <w:t>s health and wellbeing</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0.9</w:t>
            </w:r>
          </w:p>
        </w:tc>
        <w:tc>
          <w:tcPr>
            <w:tcW w:w="859"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8"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59"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B17EC">
        <w:trPr>
          <w:cantSplit/>
        </w:trPr>
        <w:tc>
          <w:tcPr>
            <w:tcW w:w="3484"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text"/>
              <w:rPr>
                <w:rFonts w:eastAsiaTheme="minorEastAsia"/>
                <w:b/>
                <w:bCs/>
                <w:vertAlign w:val="superscript"/>
                <w:lang w:eastAsia="en-AU"/>
              </w:rPr>
            </w:pPr>
            <w:r w:rsidRPr="00AB17EC">
              <w:rPr>
                <w:rFonts w:eastAsiaTheme="minorEastAsia"/>
                <w:b/>
                <w:bCs/>
                <w:lang w:eastAsia="en-AU"/>
              </w:rPr>
              <w:t xml:space="preserve">Total output initiatives </w:t>
            </w:r>
            <w:r w:rsidRPr="00AB17EC">
              <w:rPr>
                <w:rFonts w:eastAsiaTheme="minorEastAsia"/>
                <w:b/>
                <w:bCs/>
                <w:vertAlign w:val="superscript"/>
                <w:lang w:eastAsia="en-AU"/>
              </w:rPr>
              <w:t>(a)</w:t>
            </w:r>
          </w:p>
        </w:tc>
        <w:tc>
          <w:tcPr>
            <w:tcW w:w="858"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w:t>
            </w:r>
          </w:p>
        </w:tc>
        <w:tc>
          <w:tcPr>
            <w:tcW w:w="858"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11.4</w:t>
            </w:r>
          </w:p>
        </w:tc>
        <w:tc>
          <w:tcPr>
            <w:tcW w:w="859"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6.6</w:t>
            </w:r>
          </w:p>
        </w:tc>
        <w:tc>
          <w:tcPr>
            <w:tcW w:w="858"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3.6</w:t>
            </w:r>
          </w:p>
        </w:tc>
        <w:tc>
          <w:tcPr>
            <w:tcW w:w="859" w:type="dxa"/>
            <w:tcBorders>
              <w:top w:val="single" w:sz="6" w:space="0" w:color="auto"/>
              <w:left w:val="nil"/>
              <w:bottom w:val="single" w:sz="12" w:space="0" w:color="auto"/>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 xml:space="preserve"> 1.7</w:t>
            </w:r>
          </w:p>
        </w:tc>
      </w:tr>
    </w:tbl>
    <w:p w:rsidR="00E25CC6" w:rsidRDefault="00E25CC6" w:rsidP="00566998">
      <w:pPr>
        <w:pStyle w:val="Source"/>
      </w:pPr>
      <w:r>
        <w:t>Source: Department of Treasury and Finance</w:t>
      </w:r>
    </w:p>
    <w:p w:rsidR="00E25CC6" w:rsidRDefault="00E25CC6" w:rsidP="00C61FEE">
      <w:pPr>
        <w:pStyle w:val="Notes"/>
      </w:pPr>
      <w:r w:rsidRPr="00C61FEE">
        <w:t>Note:</w:t>
      </w:r>
    </w:p>
    <w:p w:rsidR="00E25CC6" w:rsidRDefault="00E25CC6" w:rsidP="00C61FEE">
      <w:pPr>
        <w:pStyle w:val="Notes"/>
      </w:pPr>
      <w:r>
        <w:t>(a)</w:t>
      </w:r>
      <w:r>
        <w:tab/>
        <w:t>Tables may not add due to rounding.</w:t>
      </w:r>
    </w:p>
    <w:p w:rsidR="00E25CC6" w:rsidRPr="00C61FEE" w:rsidRDefault="00E25CC6" w:rsidP="00C61FEE">
      <w:pPr>
        <w:pStyle w:val="Notes"/>
      </w:pPr>
    </w:p>
    <w:p w:rsidR="00E25CC6" w:rsidRDefault="00E25CC6" w:rsidP="00BE4A90">
      <w:pPr>
        <w:pStyle w:val="Heading5"/>
      </w:pPr>
      <w:r>
        <w:t xml:space="preserve">Aboriginal cultural heritage management and protection </w:t>
      </w:r>
    </w:p>
    <w:p w:rsidR="00E25CC6" w:rsidRDefault="00E25CC6" w:rsidP="00BE4A90">
      <w:pPr>
        <w:rPr>
          <w:bCs/>
          <w:szCs w:val="24"/>
        </w:rPr>
      </w:pPr>
      <w:r>
        <w:rPr>
          <w:bCs/>
          <w:szCs w:val="24"/>
        </w:rPr>
        <w:t xml:space="preserve">Support will continue for </w:t>
      </w:r>
      <w:r w:rsidRPr="00127A0E">
        <w:rPr>
          <w:bCs/>
          <w:szCs w:val="24"/>
        </w:rPr>
        <w:t>Victoria</w:t>
      </w:r>
      <w:r>
        <w:rPr>
          <w:bCs/>
          <w:szCs w:val="24"/>
        </w:rPr>
        <w:t>’</w:t>
      </w:r>
      <w:r w:rsidRPr="00127A0E">
        <w:rPr>
          <w:bCs/>
          <w:szCs w:val="24"/>
        </w:rPr>
        <w:t>s Aboriginal cultural heritage m</w:t>
      </w:r>
      <w:r>
        <w:rPr>
          <w:bCs/>
          <w:szCs w:val="24"/>
        </w:rPr>
        <w:t>anagement and protection</w:t>
      </w:r>
      <w:r>
        <w:rPr>
          <w:bCs/>
          <w:szCs w:val="24"/>
        </w:rPr>
        <w:fldChar w:fldCharType="begin"/>
      </w:r>
      <w:r>
        <w:instrText xml:space="preserve"> XE "</w:instrText>
      </w:r>
      <w:r w:rsidRPr="004A4B32">
        <w:instrText>Aboriginal Affairs:Aboriginal cultural heritage management and protection</w:instrText>
      </w:r>
      <w:r>
        <w:instrText xml:space="preserve">" </w:instrText>
      </w:r>
      <w:r>
        <w:rPr>
          <w:bCs/>
          <w:szCs w:val="24"/>
        </w:rPr>
        <w:fldChar w:fldCharType="end"/>
      </w:r>
      <w:r>
        <w:rPr>
          <w:bCs/>
          <w:szCs w:val="24"/>
        </w:rPr>
        <w:t xml:space="preserve"> system, including the implementation of reforms to the </w:t>
      </w:r>
      <w:r>
        <w:rPr>
          <w:bCs/>
          <w:i/>
          <w:szCs w:val="24"/>
        </w:rPr>
        <w:t xml:space="preserve">Aboriginal Heritage Act 2006. </w:t>
      </w:r>
      <w:r>
        <w:rPr>
          <w:bCs/>
          <w:szCs w:val="24"/>
        </w:rPr>
        <w:t xml:space="preserve">These programs will enhance the </w:t>
      </w:r>
      <w:r w:rsidRPr="008106E0">
        <w:rPr>
          <w:bCs/>
          <w:szCs w:val="24"/>
        </w:rPr>
        <w:t xml:space="preserve">Aboriginal cultural heritage management expertise </w:t>
      </w:r>
      <w:r>
        <w:rPr>
          <w:bCs/>
          <w:szCs w:val="24"/>
        </w:rPr>
        <w:t>of</w:t>
      </w:r>
      <w:r w:rsidRPr="008106E0">
        <w:rPr>
          <w:bCs/>
          <w:szCs w:val="24"/>
        </w:rPr>
        <w:t xml:space="preserve"> Registered A</w:t>
      </w:r>
      <w:r>
        <w:rPr>
          <w:bCs/>
          <w:szCs w:val="24"/>
        </w:rPr>
        <w:t>boriginal Parties and increase</w:t>
      </w:r>
      <w:r w:rsidRPr="008106E0">
        <w:rPr>
          <w:bCs/>
          <w:szCs w:val="24"/>
        </w:rPr>
        <w:t xml:space="preserve"> information about Victoria</w:t>
      </w:r>
      <w:r>
        <w:rPr>
          <w:bCs/>
          <w:szCs w:val="24"/>
        </w:rPr>
        <w:t>’</w:t>
      </w:r>
      <w:r w:rsidRPr="008106E0">
        <w:rPr>
          <w:bCs/>
          <w:szCs w:val="24"/>
        </w:rPr>
        <w:t>s Aboriginal cultural heritage</w:t>
      </w:r>
      <w:r>
        <w:rPr>
          <w:bCs/>
          <w:szCs w:val="24"/>
        </w:rPr>
        <w:t xml:space="preserve">. </w:t>
      </w:r>
    </w:p>
    <w:p w:rsidR="00E25CC6" w:rsidRDefault="00E25CC6" w:rsidP="00BE4A90">
      <w:pPr>
        <w:rPr>
          <w:bCs/>
          <w:szCs w:val="24"/>
        </w:rPr>
      </w:pPr>
      <w:r w:rsidRPr="00127A0E">
        <w:rPr>
          <w:bCs/>
          <w:szCs w:val="24"/>
        </w:rPr>
        <w:t>This initiative contributes to the Department of Premier and Cabinet</w:t>
      </w:r>
      <w:r>
        <w:rPr>
          <w:bCs/>
          <w:szCs w:val="24"/>
        </w:rPr>
        <w:t>’</w:t>
      </w:r>
      <w:r w:rsidRPr="00127A0E">
        <w:rPr>
          <w:bCs/>
          <w:szCs w:val="24"/>
        </w:rPr>
        <w:t xml:space="preserve">s Aboriginal Policy, </w:t>
      </w:r>
      <w:r>
        <w:rPr>
          <w:bCs/>
          <w:szCs w:val="24"/>
        </w:rPr>
        <w:t>Strengthening Aboriginal Cultural</w:t>
      </w:r>
      <w:r w:rsidRPr="00127A0E">
        <w:rPr>
          <w:bCs/>
          <w:szCs w:val="24"/>
        </w:rPr>
        <w:t xml:space="preserve"> Heritage and Communities output.</w:t>
      </w:r>
    </w:p>
    <w:p w:rsidR="00E25CC6" w:rsidRPr="005612B2" w:rsidRDefault="00E25CC6" w:rsidP="00980AA6">
      <w:pPr>
        <w:pStyle w:val="Heading5"/>
      </w:pPr>
      <w:r w:rsidRPr="005612B2">
        <w:t>Aboriginal self</w:t>
      </w:r>
      <w:r>
        <w:noBreakHyphen/>
      </w:r>
      <w:r w:rsidRPr="005612B2">
        <w:t>determination and strong Aboriginal culture</w:t>
      </w:r>
    </w:p>
    <w:p w:rsidR="00E25CC6" w:rsidRPr="00127A0E" w:rsidRDefault="00E25CC6" w:rsidP="00980AA6">
      <w:r>
        <w:t>The Government</w:t>
      </w:r>
      <w:r w:rsidRPr="00127A0E">
        <w:t xml:space="preserve"> will directly enga</w:t>
      </w:r>
      <w:r>
        <w:t>ge with Aboriginal communities</w:t>
      </w:r>
      <w:r w:rsidRPr="00127A0E">
        <w:t xml:space="preserve"> </w:t>
      </w:r>
      <w:r>
        <w:t>and provide funding and resources to progress the</w:t>
      </w:r>
      <w:r w:rsidRPr="00127A0E">
        <w:t xml:space="preserve"> self</w:t>
      </w:r>
      <w:r>
        <w:noBreakHyphen/>
        <w:t>determination agenda and strengthen existing self</w:t>
      </w:r>
      <w:r>
        <w:noBreakHyphen/>
        <w:t>determination programs</w:t>
      </w:r>
      <w:r w:rsidRPr="00127A0E">
        <w:t xml:space="preserve">. This </w:t>
      </w:r>
      <w:r>
        <w:t>funding includes</w:t>
      </w:r>
      <w:r w:rsidRPr="00127A0E">
        <w:t xml:space="preserve"> </w:t>
      </w:r>
      <w:r>
        <w:t>the expansion of</w:t>
      </w:r>
      <w:r w:rsidRPr="00127A0E">
        <w:t xml:space="preserve"> in</w:t>
      </w:r>
      <w:r>
        <w:t>vestment in the Koori</w:t>
      </w:r>
      <w:r w:rsidRPr="00127A0E">
        <w:t xml:space="preserve"> Youth Council to provide young Aboriginal Victorians with opportunities to participate in decision</w:t>
      </w:r>
      <w:r>
        <w:noBreakHyphen/>
      </w:r>
      <w:r w:rsidRPr="00127A0E">
        <w:t>making and develop leadership capabilities.</w:t>
      </w:r>
    </w:p>
    <w:p w:rsidR="00E25CC6" w:rsidRPr="00100F67" w:rsidRDefault="00E25CC6" w:rsidP="00100F67">
      <w:r w:rsidRPr="00127A0E">
        <w:t>This initiative contributes to the Department of Premier and Cabinet</w:t>
      </w:r>
      <w:r>
        <w:t>’</w:t>
      </w:r>
      <w:r w:rsidRPr="00127A0E">
        <w:t xml:space="preserve">s Aboriginal Policy, </w:t>
      </w:r>
      <w:r>
        <w:t>Strengthening Aboriginal Cultural</w:t>
      </w:r>
      <w:r w:rsidRPr="00127A0E">
        <w:t xml:space="preserve"> Heritage and Communities output.</w:t>
      </w:r>
    </w:p>
    <w:p w:rsidR="00E25CC6" w:rsidRDefault="00E25CC6">
      <w:pPr>
        <w:spacing w:after="0"/>
        <w:rPr>
          <w:rFonts w:ascii="Calibri" w:hAnsi="Calibri"/>
          <w:b/>
        </w:rPr>
      </w:pPr>
      <w:r>
        <w:br w:type="page"/>
      </w:r>
    </w:p>
    <w:p w:rsidR="00E25CC6" w:rsidRDefault="00E25CC6" w:rsidP="00980AA6">
      <w:pPr>
        <w:pStyle w:val="Heading5"/>
      </w:pPr>
      <w:r>
        <w:t>Budj Bim Masterplan and World Heritage nomination</w:t>
      </w:r>
    </w:p>
    <w:p w:rsidR="00E25CC6" w:rsidRPr="002976E2" w:rsidRDefault="00E25CC6" w:rsidP="00980AA6">
      <w:r>
        <w:t>A m</w:t>
      </w:r>
      <w:r w:rsidRPr="002976E2">
        <w:t>asterplan</w:t>
      </w:r>
      <w:r>
        <w:t xml:space="preserve"> for the Budj Bim Cultural Landscape will be developed to create a unique and sustainable tourist destination in </w:t>
      </w:r>
      <w:r w:rsidRPr="002976E2">
        <w:t xml:space="preserve">south west </w:t>
      </w:r>
      <w:r>
        <w:t>Victoria. Future implementation of the Masterplan will support</w:t>
      </w:r>
      <w:r w:rsidRPr="002976E2">
        <w:t xml:space="preserve"> the pro</w:t>
      </w:r>
      <w:r>
        <w:t xml:space="preserve">posed World Heritage listing of </w:t>
      </w:r>
      <w:r w:rsidRPr="002976E2">
        <w:t xml:space="preserve">the Budj Bim Cultural Landscape and the anticipated growth of </w:t>
      </w:r>
      <w:r>
        <w:t>the region’s</w:t>
      </w:r>
      <w:r w:rsidRPr="002976E2">
        <w:t xml:space="preserve"> tourism market.</w:t>
      </w:r>
      <w:r>
        <w:t xml:space="preserve"> This will be partly funded from the Regional Tourism Infrastructure Fund. </w:t>
      </w:r>
    </w:p>
    <w:p w:rsidR="00E25CC6" w:rsidRDefault="00E25CC6" w:rsidP="00980AA6">
      <w:r>
        <w:t>This initiative contributes to the Department of Premier and Cabinet’s Aboriginal Policy, Strengthening Aboriginal Cultural Heritage and Communities output.</w:t>
      </w:r>
    </w:p>
    <w:p w:rsidR="00E25CC6" w:rsidRDefault="00E25CC6" w:rsidP="00980AA6">
      <w:pPr>
        <w:pStyle w:val="Heading5"/>
      </w:pPr>
      <w:r>
        <w:t>Community infrastructure program</w:t>
      </w:r>
    </w:p>
    <w:p w:rsidR="00E25CC6" w:rsidRDefault="00E25CC6" w:rsidP="00980AA6">
      <w:pPr>
        <w:rPr>
          <w:bCs/>
          <w:szCs w:val="24"/>
        </w:rPr>
      </w:pPr>
      <w:r>
        <w:t>T</w:t>
      </w:r>
      <w:r w:rsidRPr="00127A0E">
        <w:rPr>
          <w:bCs/>
          <w:szCs w:val="24"/>
        </w:rPr>
        <w:t>he community infrastructure program will provide grants for repair</w:t>
      </w:r>
      <w:r>
        <w:rPr>
          <w:bCs/>
          <w:szCs w:val="24"/>
        </w:rPr>
        <w:t>ing</w:t>
      </w:r>
      <w:r w:rsidRPr="00127A0E">
        <w:rPr>
          <w:bCs/>
          <w:szCs w:val="24"/>
        </w:rPr>
        <w:t xml:space="preserve"> and upgrad</w:t>
      </w:r>
      <w:r>
        <w:rPr>
          <w:bCs/>
          <w:szCs w:val="24"/>
        </w:rPr>
        <w:t>ing</w:t>
      </w:r>
      <w:r w:rsidRPr="00127A0E">
        <w:rPr>
          <w:bCs/>
          <w:szCs w:val="24"/>
        </w:rPr>
        <w:t xml:space="preserve"> properties </w:t>
      </w:r>
      <w:r>
        <w:rPr>
          <w:bCs/>
          <w:szCs w:val="24"/>
        </w:rPr>
        <w:t>for which</w:t>
      </w:r>
      <w:r w:rsidRPr="00127A0E">
        <w:rPr>
          <w:bCs/>
          <w:szCs w:val="24"/>
        </w:rPr>
        <w:t xml:space="preserve"> the Minister for Aboriginal Affairs holds a </w:t>
      </w:r>
      <w:r>
        <w:rPr>
          <w:bCs/>
          <w:szCs w:val="24"/>
        </w:rPr>
        <w:t>‘</w:t>
      </w:r>
      <w:r w:rsidRPr="00127A0E">
        <w:rPr>
          <w:bCs/>
          <w:szCs w:val="24"/>
        </w:rPr>
        <w:t>first</w:t>
      </w:r>
      <w:r>
        <w:rPr>
          <w:bCs/>
          <w:szCs w:val="24"/>
        </w:rPr>
        <w:noBreakHyphen/>
      </w:r>
      <w:r w:rsidRPr="00127A0E">
        <w:rPr>
          <w:bCs/>
          <w:szCs w:val="24"/>
        </w:rPr>
        <w:t>mortgage</w:t>
      </w:r>
      <w:r>
        <w:rPr>
          <w:bCs/>
          <w:szCs w:val="24"/>
        </w:rPr>
        <w:t>’</w:t>
      </w:r>
      <w:r w:rsidRPr="00127A0E">
        <w:rPr>
          <w:bCs/>
          <w:szCs w:val="24"/>
        </w:rPr>
        <w:t xml:space="preserve">. This will </w:t>
      </w:r>
      <w:r>
        <w:rPr>
          <w:bCs/>
          <w:szCs w:val="24"/>
        </w:rPr>
        <w:t>enable</w:t>
      </w:r>
      <w:r w:rsidRPr="00127A0E">
        <w:rPr>
          <w:bCs/>
          <w:szCs w:val="24"/>
        </w:rPr>
        <w:t xml:space="preserve"> Government interests in these properties </w:t>
      </w:r>
      <w:r>
        <w:rPr>
          <w:bCs/>
          <w:szCs w:val="24"/>
        </w:rPr>
        <w:t xml:space="preserve">to be removed </w:t>
      </w:r>
      <w:r w:rsidRPr="00127A0E">
        <w:rPr>
          <w:bCs/>
          <w:szCs w:val="24"/>
        </w:rPr>
        <w:t>where organisations can demonstrate that this will contribute to buildin</w:t>
      </w:r>
      <w:r>
        <w:rPr>
          <w:bCs/>
          <w:szCs w:val="24"/>
        </w:rPr>
        <w:t>g enterprises, wealth and jobs.</w:t>
      </w:r>
    </w:p>
    <w:p w:rsidR="00E25CC6" w:rsidRDefault="00E25CC6" w:rsidP="00980AA6">
      <w:pPr>
        <w:rPr>
          <w:bCs/>
          <w:szCs w:val="24"/>
        </w:rPr>
      </w:pPr>
      <w:r>
        <w:rPr>
          <w:bCs/>
          <w:szCs w:val="24"/>
        </w:rPr>
        <w:t xml:space="preserve">The </w:t>
      </w:r>
      <w:r w:rsidRPr="00127A0E">
        <w:rPr>
          <w:bCs/>
          <w:szCs w:val="24"/>
        </w:rPr>
        <w:t>Fitzroy Stars Football and Netball Club</w:t>
      </w:r>
      <w:r>
        <w:rPr>
          <w:bCs/>
          <w:szCs w:val="24"/>
        </w:rPr>
        <w:t xml:space="preserve"> will be upgraded as part of the community infrastructure program, to </w:t>
      </w:r>
      <w:r w:rsidRPr="00127A0E">
        <w:rPr>
          <w:bCs/>
          <w:szCs w:val="24"/>
        </w:rPr>
        <w:t>continu</w:t>
      </w:r>
      <w:r>
        <w:rPr>
          <w:bCs/>
          <w:szCs w:val="24"/>
        </w:rPr>
        <w:t>e</w:t>
      </w:r>
      <w:r w:rsidRPr="00127A0E">
        <w:rPr>
          <w:bCs/>
          <w:szCs w:val="24"/>
        </w:rPr>
        <w:t xml:space="preserve"> community strengthening activities and participation in sport and community events</w:t>
      </w:r>
      <w:r>
        <w:rPr>
          <w:bCs/>
          <w:szCs w:val="24"/>
        </w:rPr>
        <w:t>. This</w:t>
      </w:r>
      <w:r w:rsidRPr="00127A0E">
        <w:rPr>
          <w:bCs/>
          <w:szCs w:val="24"/>
        </w:rPr>
        <w:t xml:space="preserve"> will help to grow the Club</w:t>
      </w:r>
      <w:r>
        <w:rPr>
          <w:bCs/>
          <w:szCs w:val="24"/>
        </w:rPr>
        <w:t>’</w:t>
      </w:r>
      <w:r w:rsidRPr="00127A0E">
        <w:rPr>
          <w:bCs/>
          <w:szCs w:val="24"/>
        </w:rPr>
        <w:t>s membership base and attract corporate sponsorship.</w:t>
      </w:r>
    </w:p>
    <w:p w:rsidR="00E25CC6" w:rsidRDefault="00E25CC6" w:rsidP="001920D2">
      <w:r>
        <w:rPr>
          <w:bCs/>
          <w:szCs w:val="24"/>
        </w:rPr>
        <w:t>This initiative contributes to the Department of Premier and Cabinet’s Aboriginal Policy, Strengthening Aboriginal Cultural Heritage and Communities output.</w:t>
      </w:r>
    </w:p>
    <w:p w:rsidR="00E25CC6" w:rsidRDefault="00E25CC6" w:rsidP="001920D2">
      <w:pPr>
        <w:pStyle w:val="Heading5"/>
      </w:pPr>
      <w:r>
        <w:t>Koori</w:t>
      </w:r>
      <w:r w:rsidRPr="0098358C">
        <w:t xml:space="preserve"> Business Strategy</w:t>
      </w:r>
    </w:p>
    <w:p w:rsidR="00E25CC6" w:rsidRDefault="00E25CC6" w:rsidP="001920D2">
      <w:r>
        <w:t>A Koori</w:t>
      </w:r>
      <w:r w:rsidRPr="00D015A3">
        <w:t xml:space="preserve"> Business Strategy will </w:t>
      </w:r>
      <w:r>
        <w:t>be developed to support</w:t>
      </w:r>
      <w:r w:rsidRPr="00D015A3">
        <w:t xml:space="preserve"> Aboriginal </w:t>
      </w:r>
      <w:r>
        <w:t>businesses to be more successful and entrepreneurial, strengthen their business skills and improve their access to markets</w:t>
      </w:r>
      <w:r w:rsidRPr="00D015A3">
        <w:t>.</w:t>
      </w:r>
      <w:r>
        <w:t xml:space="preserve"> Initiatives will be jointly delivered by non</w:t>
      </w:r>
      <w:r>
        <w:noBreakHyphen/>
        <w:t>government organisations and the Department of Economic Development, Jobs, Transport and Resources.</w:t>
      </w:r>
    </w:p>
    <w:p w:rsidR="00E25CC6" w:rsidRDefault="00E25CC6" w:rsidP="002412FD">
      <w:r w:rsidRPr="00F1593D">
        <w:t>This initiative contributes to the Department of Economic Development, Jobs, Transport and Resources</w:t>
      </w:r>
      <w:r>
        <w:t>’:</w:t>
      </w:r>
    </w:p>
    <w:p w:rsidR="00E25CC6" w:rsidRDefault="00E25CC6" w:rsidP="00085D65">
      <w:pPr>
        <w:pStyle w:val="BulletText"/>
      </w:pPr>
      <w:r w:rsidRPr="00F1593D">
        <w:t>Employment and Investment</w:t>
      </w:r>
      <w:r>
        <w:t>; and</w:t>
      </w:r>
    </w:p>
    <w:p w:rsidR="00E25CC6" w:rsidRPr="00F1593D" w:rsidRDefault="00E25CC6" w:rsidP="00085D65">
      <w:pPr>
        <w:pStyle w:val="BulletText"/>
      </w:pPr>
      <w:r>
        <w:t>Industry and Enterprise Innovation</w:t>
      </w:r>
      <w:r w:rsidRPr="00F1593D">
        <w:t xml:space="preserve"> output.</w:t>
      </w:r>
    </w:p>
    <w:p w:rsidR="00E25CC6" w:rsidRDefault="00E25CC6" w:rsidP="00D02E75">
      <w:pPr>
        <w:pStyle w:val="Heading5"/>
        <w:rPr>
          <w:lang w:eastAsia="en-AU"/>
        </w:rPr>
      </w:pPr>
      <w:r>
        <w:rPr>
          <w:lang w:eastAsia="en-AU"/>
        </w:rPr>
        <w:t>Young Aboriginal people’s health and wellbeing</w:t>
      </w:r>
    </w:p>
    <w:p w:rsidR="00E25CC6" w:rsidRDefault="00E25CC6" w:rsidP="00D02E75">
      <w:pPr>
        <w:rPr>
          <w:lang w:eastAsia="en-AU"/>
        </w:rPr>
      </w:pPr>
      <w:r>
        <w:rPr>
          <w:lang w:eastAsia="en-AU"/>
        </w:rPr>
        <w:t>An Aboriginal Youth Mentoring Program</w:t>
      </w:r>
      <w:r>
        <w:rPr>
          <w:lang w:eastAsia="en-AU"/>
        </w:rPr>
        <w:fldChar w:fldCharType="begin"/>
      </w:r>
      <w:r>
        <w:instrText xml:space="preserve"> XE "</w:instrText>
      </w:r>
      <w:r w:rsidRPr="007F0C16">
        <w:rPr>
          <w:lang w:eastAsia="en-AU"/>
        </w:rPr>
        <w:instrText>Aboriginal Affairs</w:instrText>
      </w:r>
      <w:r w:rsidRPr="007F0C16">
        <w:instrText>:Youth Mentoring Program</w:instrText>
      </w:r>
      <w:r>
        <w:instrText xml:space="preserve">" </w:instrText>
      </w:r>
      <w:r>
        <w:rPr>
          <w:lang w:eastAsia="en-AU"/>
        </w:rPr>
        <w:fldChar w:fldCharType="end"/>
      </w:r>
      <w:r>
        <w:rPr>
          <w:lang w:eastAsia="en-AU"/>
        </w:rPr>
        <w:t xml:space="preserve"> will encourage disadvantaged youths, particularly those at risk of being involved with the youth justice system, to remain engaged in education, training and community life. </w:t>
      </w:r>
    </w:p>
    <w:p w:rsidR="00E25CC6" w:rsidRDefault="00E25CC6" w:rsidP="00D02E75">
      <w:pPr>
        <w:rPr>
          <w:lang w:eastAsia="en-AU"/>
        </w:rPr>
      </w:pPr>
      <w:r>
        <w:rPr>
          <w:lang w:eastAsia="en-AU"/>
        </w:rPr>
        <w:t>This initiative contributes to the Department of Health and Human Services’ Youth Affairs output.</w:t>
      </w:r>
      <w:bookmarkEnd w:id="7"/>
      <w:r>
        <w:rPr>
          <w:lang w:eastAsia="en-AU"/>
        </w:rPr>
        <w:fldChar w:fldCharType="begin"/>
      </w:r>
      <w:r>
        <w:instrText xml:space="preserve"> XE "</w:instrText>
      </w:r>
      <w:r w:rsidRPr="007810D7">
        <w:instrText>Aboriginal Affairs</w:instrText>
      </w:r>
      <w:r>
        <w:instrText xml:space="preserve">" \r "AborAffWOG" </w:instrText>
      </w:r>
      <w:r>
        <w:rPr>
          <w:lang w:eastAsia="en-AU"/>
        </w:rPr>
        <w:fldChar w:fldCharType="end"/>
      </w:r>
    </w:p>
    <w:p w:rsidR="00E25CC6" w:rsidRDefault="00E25CC6">
      <w:pPr>
        <w:spacing w:after="0"/>
        <w:rPr>
          <w:rFonts w:ascii="Calibri" w:hAnsi="Calibri"/>
          <w:b/>
          <w:caps/>
          <w:sz w:val="26"/>
          <w:szCs w:val="22"/>
        </w:rPr>
      </w:pPr>
      <w:r>
        <w:br w:type="page"/>
      </w:r>
    </w:p>
    <w:p w:rsidR="00E25CC6" w:rsidRPr="00F16216" w:rsidRDefault="00E25CC6" w:rsidP="00F16216">
      <w:pPr>
        <w:pStyle w:val="Heading1"/>
      </w:pPr>
      <w:bookmarkStart w:id="8" w:name="_Toc449109422"/>
      <w:r w:rsidRPr="00F16216">
        <w:t>Whole of Government – Family Violence</w:t>
      </w:r>
      <w:bookmarkEnd w:id="8"/>
    </w:p>
    <w:p w:rsidR="00E25CC6" w:rsidRDefault="00E25CC6" w:rsidP="009852FE">
      <w:bookmarkStart w:id="9" w:name="FamViolWOG"/>
      <w:r>
        <w:t xml:space="preserve">Family violence is the number one law and order issue facing the Victorian community. </w:t>
      </w:r>
    </w:p>
    <w:p w:rsidR="00E25CC6" w:rsidRDefault="00E25CC6" w:rsidP="009852FE">
      <w:r w:rsidRPr="003F185E">
        <w:t xml:space="preserve">The Government will </w:t>
      </w:r>
      <w:r>
        <w:t xml:space="preserve">implement </w:t>
      </w:r>
      <w:r w:rsidRPr="003F185E">
        <w:t xml:space="preserve">all </w:t>
      </w:r>
      <w:r>
        <w:t xml:space="preserve">of </w:t>
      </w:r>
      <w:r w:rsidRPr="003F185E">
        <w:t>the Royal Commission into Family Violence</w:t>
      </w:r>
      <w:r>
        <w:fldChar w:fldCharType="begin"/>
      </w:r>
      <w:r>
        <w:instrText xml:space="preserve"> XE "</w:instrText>
      </w:r>
      <w:r w:rsidRPr="00414B74">
        <w:instrText>Family Violence:Royal Commission into Family Violence</w:instrText>
      </w:r>
      <w:r>
        <w:instrText xml:space="preserve">" </w:instrText>
      </w:r>
      <w:r>
        <w:fldChar w:fldCharType="end"/>
      </w:r>
      <w:r>
        <w:t>’s 227 recommendations</w:t>
      </w:r>
      <w:r w:rsidRPr="003F1593">
        <w:t xml:space="preserve"> </w:t>
      </w:r>
      <w:r>
        <w:t>and build a new system from the ground up.</w:t>
      </w:r>
    </w:p>
    <w:p w:rsidR="00E25CC6" w:rsidRPr="003F185E" w:rsidRDefault="00E25CC6" w:rsidP="009852FE">
      <w:r>
        <w:t xml:space="preserve">The </w:t>
      </w:r>
      <w:r w:rsidRPr="006E028D">
        <w:rPr>
          <w:i/>
        </w:rPr>
        <w:t>2016</w:t>
      </w:r>
      <w:r>
        <w:rPr>
          <w:i/>
        </w:rPr>
        <w:noBreakHyphen/>
      </w:r>
      <w:r w:rsidRPr="006E028D">
        <w:rPr>
          <w:i/>
        </w:rPr>
        <w:t>17 Budget</w:t>
      </w:r>
      <w:r w:rsidRPr="00940C9E">
        <w:t xml:space="preserve"> </w:t>
      </w:r>
      <w:r>
        <w:t xml:space="preserve">commits $572 million over three years as an immediate response. This investment will fund </w:t>
      </w:r>
      <w:r w:rsidRPr="00940C9E">
        <w:t xml:space="preserve">more housing and crisis refuges, more prevention and more support for children who are victims of family </w:t>
      </w:r>
      <w:r>
        <w:t>violence.</w:t>
      </w:r>
    </w:p>
    <w:p w:rsidR="00E25CC6" w:rsidRDefault="00E25CC6" w:rsidP="009852FE">
      <w:r>
        <w:t>In addition, the Government will work with victims, survivors and the people and organisations that help them, to develop a comprehensive 10</w:t>
      </w:r>
      <w:r>
        <w:noBreakHyphen/>
        <w:t xml:space="preserve">year Victorian Family Violence Plan. </w:t>
      </w:r>
    </w:p>
    <w:p w:rsidR="00E25CC6" w:rsidRPr="003B15A1" w:rsidRDefault="00E25CC6" w:rsidP="009852FE">
      <w:pPr>
        <w:pStyle w:val="Heading3"/>
      </w:pPr>
      <w:r>
        <w:t>Output initiatives</w:t>
      </w:r>
    </w:p>
    <w:p w:rsidR="00E25CC6" w:rsidRDefault="00E25CC6" w:rsidP="009852FE">
      <w:pPr>
        <w:pStyle w:val="Tableheading"/>
      </w:pPr>
      <w:r>
        <w:t>Table 1.4:</w:t>
      </w:r>
      <w:r>
        <w:tab/>
        <w:t>Output initiatives –</w:t>
      </w:r>
      <w:r w:rsidRPr="00FA2145">
        <w:t xml:space="preserve"> Family violence</w:t>
      </w:r>
    </w:p>
    <w:p w:rsidR="00E25CC6" w:rsidRDefault="00E25CC6" w:rsidP="00AB17EC">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612"/>
        <w:gridCol w:w="832"/>
        <w:gridCol w:w="833"/>
        <w:gridCol w:w="833"/>
        <w:gridCol w:w="240"/>
        <w:gridCol w:w="283"/>
        <w:gridCol w:w="283"/>
        <w:gridCol w:w="27"/>
        <w:gridCol w:w="256"/>
        <w:gridCol w:w="283"/>
        <w:gridCol w:w="283"/>
        <w:gridCol w:w="11"/>
      </w:tblGrid>
      <w:tr w:rsidR="00E25CC6" w:rsidRPr="00AB17EC" w:rsidTr="003649AE">
        <w:trPr>
          <w:cantSplit/>
          <w:tblHeader/>
        </w:trPr>
        <w:tc>
          <w:tcPr>
            <w:tcW w:w="3612"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AB17EC">
            <w:pPr>
              <w:pStyle w:val="Tabletext"/>
              <w:rPr>
                <w:rFonts w:eastAsiaTheme="minorEastAsia"/>
                <w:lang w:eastAsia="en-AU"/>
              </w:rPr>
            </w:pPr>
          </w:p>
        </w:tc>
        <w:tc>
          <w:tcPr>
            <w:tcW w:w="832"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33"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33"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33" w:type="dxa"/>
            <w:gridSpan w:val="4"/>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33" w:type="dxa"/>
            <w:gridSpan w:val="4"/>
            <w:tcBorders>
              <w:top w:val="single" w:sz="4" w:space="0" w:color="auto"/>
              <w:left w:val="nil"/>
              <w:bottom w:val="single" w:sz="4" w:space="0" w:color="auto"/>
              <w:right w:val="single" w:sz="4" w:space="0" w:color="auto"/>
            </w:tcBorders>
            <w:shd w:val="clear" w:color="auto" w:fill="000000"/>
          </w:tcPr>
          <w:p w:rsidR="00E25CC6" w:rsidRPr="00AB17EC" w:rsidRDefault="00E25CC6" w:rsidP="00AB17EC">
            <w:pPr>
              <w:pStyle w:val="Tabletextheading"/>
              <w:rPr>
                <w:rFonts w:eastAsiaTheme="minorEastAsia" w:cs="Calibri"/>
                <w:iCs/>
                <w:lang w:eastAsia="en-AU"/>
              </w:rPr>
            </w:pPr>
            <w:r w:rsidRPr="00AB17EC">
              <w:rPr>
                <w:rFonts w:eastAsiaTheme="minorEastAsia" w:cs="Calibri"/>
                <w:iCs/>
                <w:lang w:eastAsia="en-AU"/>
              </w:rPr>
              <w:t>2019</w:t>
            </w:r>
            <w:r>
              <w:rPr>
                <w:rFonts w:eastAsiaTheme="minorEastAsia" w:cs="Calibri"/>
                <w:iCs/>
                <w:lang w:eastAsia="en-AU"/>
              </w:rPr>
              <w:noBreakHyphen/>
            </w:r>
            <w:r w:rsidRPr="00AB17EC">
              <w:rPr>
                <w:rFonts w:eastAsiaTheme="minorEastAsia" w:cs="Calibri"/>
                <w:iCs/>
                <w:lang w:eastAsia="en-AU"/>
              </w:rPr>
              <w:t>20</w:t>
            </w:r>
          </w:p>
        </w:tc>
      </w:tr>
      <w:tr w:rsidR="00E25CC6" w:rsidRPr="00AB17EC" w:rsidTr="003649AE">
        <w:trPr>
          <w:cantSplit/>
        </w:trPr>
        <w:tc>
          <w:tcPr>
            <w:tcW w:w="3612" w:type="dxa"/>
            <w:tcBorders>
              <w:top w:val="single" w:sz="4" w:space="0" w:color="auto"/>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Achieving equality for Victorian Women</w:t>
            </w:r>
          </w:p>
        </w:tc>
        <w:tc>
          <w:tcPr>
            <w:tcW w:w="832" w:type="dxa"/>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7.0</w:t>
            </w:r>
          </w:p>
        </w:tc>
        <w:tc>
          <w:tcPr>
            <w:tcW w:w="833" w:type="dxa"/>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w:t>
            </w:r>
          </w:p>
        </w:tc>
        <w:tc>
          <w:tcPr>
            <w:tcW w:w="833" w:type="dxa"/>
            <w:gridSpan w:val="4"/>
            <w:tcBorders>
              <w:top w:val="single" w:sz="4" w:space="0" w:color="auto"/>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single" w:sz="4" w:space="0" w:color="auto"/>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 xml:space="preserve">Architecture to scale up prevention approaches </w:t>
            </w:r>
          </w:p>
        </w:tc>
        <w:tc>
          <w:tcPr>
            <w:tcW w:w="832"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7.8</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Building a new and enduring family violence system</w:t>
            </w:r>
          </w:p>
        </w:tc>
        <w:tc>
          <w:tcPr>
            <w:tcW w:w="832"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1.5</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7.5</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6.5</w:t>
            </w:r>
          </w:p>
        </w:tc>
        <w:tc>
          <w:tcPr>
            <w:tcW w:w="833"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Culturally and linguistically diverse communities</w:t>
            </w:r>
            <w:r>
              <w:rPr>
                <w:rFonts w:eastAsiaTheme="minorEastAsia"/>
                <w:b/>
                <w:bCs/>
                <w:sz w:val="16"/>
                <w:szCs w:val="16"/>
                <w:lang w:eastAsia="en-AU"/>
              </w:rPr>
              <w:t xml:space="preserve"> – </w:t>
            </w:r>
            <w:r w:rsidRPr="00AB17EC">
              <w:rPr>
                <w:rFonts w:eastAsiaTheme="minorEastAsia"/>
                <w:b/>
                <w:bCs/>
                <w:sz w:val="16"/>
                <w:szCs w:val="16"/>
                <w:lang w:eastAsia="en-AU"/>
              </w:rPr>
              <w:t>family violence responses</w:t>
            </w:r>
          </w:p>
        </w:tc>
        <w:tc>
          <w:tcPr>
            <w:tcW w:w="832"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3.3</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Family violence housing blitz</w:t>
            </w:r>
          </w:p>
        </w:tc>
        <w:tc>
          <w:tcPr>
            <w:tcW w:w="832"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gridSpan w:val="4"/>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Pr>
                <w:rFonts w:ascii="Calibri" w:eastAsiaTheme="minorEastAsia" w:hAnsi="Calibri" w:cs="Calibri"/>
                <w:color w:val="000000"/>
                <w:sz w:val="20"/>
                <w:lang w:eastAsia="en-AU"/>
              </w:rPr>
              <w:t xml:space="preserve"> </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Accommodation for the homeless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Rapid Housing Assistance Fund</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0.4</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Redevelopment of Family Violence Refuges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0.2</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6.0</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Family violence legal assistance</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4.6</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Housing support for family violence victims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Private rental housing access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Safe at Home – Flexible Support Packages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20.0</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Hubs in 17 locations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Intensive support early in life</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14.6</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19.3</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Laying the groundwork</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5.4</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Lesbian, gay, bisexual, transgender and intersex people family violence</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gridAfter w:val="1"/>
          <w:wAfter w:w="11" w:type="dxa"/>
          <w:cantSplit/>
        </w:trPr>
        <w:tc>
          <w:tcPr>
            <w:tcW w:w="6350" w:type="dxa"/>
            <w:gridSpan w:val="5"/>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More support for Aboriginal Victorians at risk of family violence</w:t>
            </w:r>
          </w:p>
        </w:tc>
        <w:tc>
          <w:tcPr>
            <w:tcW w:w="28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gridSpan w:val="2"/>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Aboriginal community initiatives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Enhancing awareness and early intervention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1.3</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1.3</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Koori women</w:t>
            </w:r>
            <w:r>
              <w:rPr>
                <w:rFonts w:eastAsiaTheme="minorEastAsia"/>
                <w:sz w:val="16"/>
                <w:szCs w:val="16"/>
                <w:lang w:eastAsia="en-AU"/>
              </w:rPr>
              <w:t>’</w:t>
            </w:r>
            <w:r w:rsidRPr="00AB17EC">
              <w:rPr>
                <w:rFonts w:eastAsiaTheme="minorEastAsia"/>
                <w:sz w:val="16"/>
                <w:szCs w:val="16"/>
                <w:lang w:eastAsia="en-AU"/>
              </w:rPr>
              <w:t>s diversion programs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0.7</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0.9</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Supporting Aboriginal children and families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8.2</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8.3</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Multi</w:t>
            </w:r>
            <w:r>
              <w:rPr>
                <w:rFonts w:eastAsiaTheme="minorEastAsia"/>
                <w:b/>
                <w:bCs/>
                <w:sz w:val="16"/>
                <w:szCs w:val="16"/>
                <w:lang w:eastAsia="en-AU"/>
              </w:rPr>
              <w:noBreakHyphen/>
            </w:r>
            <w:r w:rsidRPr="00AB17EC">
              <w:rPr>
                <w:rFonts w:eastAsiaTheme="minorEastAsia"/>
                <w:b/>
                <w:bCs/>
                <w:sz w:val="16"/>
                <w:szCs w:val="16"/>
                <w:lang w:eastAsia="en-AU"/>
              </w:rPr>
              <w:t>agency risk assessment and safeguarding</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0.6</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7.9</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Perpetrator accountability</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Changing perpetrator behaviour – men</w:t>
            </w:r>
            <w:r>
              <w:rPr>
                <w:rFonts w:eastAsiaTheme="minorEastAsia"/>
                <w:sz w:val="16"/>
                <w:szCs w:val="16"/>
                <w:lang w:eastAsia="en-AU"/>
              </w:rPr>
              <w:t>’</w:t>
            </w:r>
            <w:r w:rsidRPr="00AB17EC">
              <w:rPr>
                <w:rFonts w:eastAsiaTheme="minorEastAsia"/>
                <w:sz w:val="16"/>
                <w:szCs w:val="16"/>
                <w:lang w:eastAsia="en-AU"/>
              </w:rPr>
              <w:t>s behaviour change programs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8.3</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Monitoring Perpetrators – new ways of working</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 xml:space="preserve">Respectful relationships for children and youth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8.9</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13.0</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Specialist family violence navigators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17.6</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bl>
    <w:p w:rsidR="00E25CC6" w:rsidRDefault="00E25CC6" w:rsidP="005461B0">
      <w:pPr>
        <w:pStyle w:val="Tableheading"/>
      </w:pPr>
      <w:r>
        <w:t>Table 1.4:</w:t>
      </w:r>
      <w:r>
        <w:tab/>
        <w:t>Output initiatives –</w:t>
      </w:r>
      <w:r w:rsidRPr="00FA2145">
        <w:t xml:space="preserve"> Family violence</w:t>
      </w:r>
      <w:r>
        <w:t xml:space="preserve"> </w:t>
      </w:r>
      <w:r w:rsidRPr="005461B0">
        <w:rPr>
          <w:i/>
        </w:rPr>
        <w:t>(continued)</w:t>
      </w:r>
    </w:p>
    <w:p w:rsidR="00E25CC6" w:rsidRDefault="00E25CC6" w:rsidP="005461B0">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612"/>
        <w:gridCol w:w="832"/>
        <w:gridCol w:w="833"/>
        <w:gridCol w:w="833"/>
        <w:gridCol w:w="833"/>
        <w:gridCol w:w="833"/>
      </w:tblGrid>
      <w:tr w:rsidR="00E25CC6" w:rsidRPr="00AB17EC" w:rsidTr="00237767">
        <w:trPr>
          <w:cantSplit/>
          <w:tblHeader/>
        </w:trPr>
        <w:tc>
          <w:tcPr>
            <w:tcW w:w="3612"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237767">
            <w:pPr>
              <w:pStyle w:val="Tabletext"/>
              <w:rPr>
                <w:rFonts w:eastAsiaTheme="minorEastAsia"/>
                <w:lang w:eastAsia="en-AU"/>
              </w:rPr>
            </w:pPr>
          </w:p>
        </w:tc>
        <w:tc>
          <w:tcPr>
            <w:tcW w:w="832"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33"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33"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33"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33" w:type="dxa"/>
            <w:tcBorders>
              <w:top w:val="single" w:sz="4" w:space="0" w:color="auto"/>
              <w:left w:val="nil"/>
              <w:bottom w:val="single" w:sz="4" w:space="0" w:color="auto"/>
              <w:right w:val="single" w:sz="4" w:space="0" w:color="auto"/>
            </w:tcBorders>
            <w:shd w:val="clear" w:color="auto" w:fill="000000"/>
          </w:tcPr>
          <w:p w:rsidR="00E25CC6" w:rsidRPr="00AB17EC" w:rsidRDefault="00E25CC6" w:rsidP="00237767">
            <w:pPr>
              <w:pStyle w:val="Tabletextheading"/>
              <w:rPr>
                <w:rFonts w:eastAsiaTheme="minorEastAsia" w:cs="Calibri"/>
                <w:iCs/>
                <w:lang w:eastAsia="en-AU"/>
              </w:rPr>
            </w:pPr>
            <w:r w:rsidRPr="00AB17EC">
              <w:rPr>
                <w:rFonts w:eastAsiaTheme="minorEastAsia" w:cs="Calibri"/>
                <w:iCs/>
                <w:lang w:eastAsia="en-AU"/>
              </w:rPr>
              <w:t>2019</w:t>
            </w:r>
            <w:r>
              <w:rPr>
                <w:rFonts w:eastAsiaTheme="minorEastAsia" w:cs="Calibri"/>
                <w:iCs/>
                <w:lang w:eastAsia="en-AU"/>
              </w:rPr>
              <w:noBreakHyphen/>
            </w:r>
            <w:r w:rsidRPr="00AB17EC">
              <w:rPr>
                <w:rFonts w:eastAsiaTheme="minorEastAsia" w:cs="Calibri"/>
                <w:iCs/>
                <w:lang w:eastAsia="en-AU"/>
              </w:rPr>
              <w:t>20</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Specialist support for family violence victims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Financial counselling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1.8</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Flexible</w:t>
            </w:r>
            <w:r>
              <w:rPr>
                <w:rFonts w:eastAsiaTheme="minorEastAsia"/>
                <w:sz w:val="16"/>
                <w:szCs w:val="16"/>
                <w:lang w:eastAsia="en-AU"/>
              </w:rPr>
              <w:t xml:space="preserve"> </w:t>
            </w:r>
            <w:r w:rsidRPr="00AB17EC">
              <w:rPr>
                <w:rFonts w:eastAsiaTheme="minorEastAsia"/>
                <w:sz w:val="16"/>
                <w:szCs w:val="16"/>
                <w:lang w:eastAsia="en-AU"/>
              </w:rPr>
              <w:t xml:space="preserve">support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34.0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34.0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Statewide crisis responses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Therapeutic interventions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9.2</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16.2</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Support for vulnerable children</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Child protection enhancements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Child Protection Specialist Intervention Unit</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2.3</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Increased support for children and carers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7.9</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8.3</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Integrated family services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5.7</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Out</w:t>
            </w:r>
            <w:r>
              <w:rPr>
                <w:rFonts w:eastAsiaTheme="minorEastAsia"/>
                <w:sz w:val="16"/>
                <w:szCs w:val="16"/>
                <w:lang w:eastAsia="en-AU"/>
              </w:rPr>
              <w:noBreakHyphen/>
            </w:r>
            <w:r w:rsidRPr="00AB17EC">
              <w:rPr>
                <w:rFonts w:eastAsiaTheme="minorEastAsia"/>
                <w:sz w:val="16"/>
                <w:szCs w:val="16"/>
                <w:lang w:eastAsia="en-AU"/>
              </w:rPr>
              <w:t>of</w:t>
            </w:r>
            <w:r>
              <w:rPr>
                <w:rFonts w:eastAsiaTheme="minorEastAsia"/>
                <w:sz w:val="16"/>
                <w:szCs w:val="16"/>
                <w:lang w:eastAsia="en-AU"/>
              </w:rPr>
              <w:noBreakHyphen/>
            </w:r>
            <w:r w:rsidRPr="00AB17EC">
              <w:rPr>
                <w:rFonts w:eastAsiaTheme="minorEastAsia"/>
                <w:sz w:val="16"/>
                <w:szCs w:val="16"/>
                <w:lang w:eastAsia="en-AU"/>
              </w:rPr>
              <w:t>home care</w:t>
            </w:r>
            <w:r>
              <w:rPr>
                <w:rFonts w:eastAsiaTheme="minorEastAsia"/>
                <w:sz w:val="16"/>
                <w:szCs w:val="16"/>
                <w:lang w:eastAsia="en-AU"/>
              </w:rPr>
              <w:t xml:space="preserve"> – </w:t>
            </w:r>
            <w:r w:rsidRPr="00AB17EC">
              <w:rPr>
                <w:rFonts w:eastAsiaTheme="minorEastAsia"/>
                <w:sz w:val="16"/>
                <w:szCs w:val="16"/>
                <w:lang w:eastAsia="en-AU"/>
              </w:rPr>
              <w:t>stock renewal or replacement</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0.4</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Therapeutic interventions</w:t>
            </w:r>
            <w:r>
              <w:rPr>
                <w:rFonts w:eastAsiaTheme="minorEastAsia"/>
                <w:sz w:val="16"/>
                <w:szCs w:val="16"/>
                <w:lang w:eastAsia="en-AU"/>
              </w:rPr>
              <w:t xml:space="preserve"> – </w:t>
            </w:r>
            <w:r w:rsidRPr="00AB17EC">
              <w:rPr>
                <w:rFonts w:eastAsiaTheme="minorEastAsia"/>
                <w:sz w:val="16"/>
                <w:szCs w:val="16"/>
                <w:lang w:eastAsia="en-AU"/>
              </w:rPr>
              <w:t>vulnerable</w:t>
            </w:r>
            <w:r>
              <w:rPr>
                <w:rFonts w:eastAsiaTheme="minorEastAsia"/>
                <w:sz w:val="16"/>
                <w:szCs w:val="16"/>
                <w:lang w:eastAsia="en-AU"/>
              </w:rPr>
              <w:t xml:space="preserve"> </w:t>
            </w:r>
            <w:r w:rsidRPr="00AB17EC">
              <w:rPr>
                <w:rFonts w:eastAsiaTheme="minorEastAsia"/>
                <w:sz w:val="16"/>
                <w:szCs w:val="16"/>
                <w:lang w:eastAsia="en-AU"/>
              </w:rPr>
              <w:t>children</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3.1</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5.4</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Transitioning residential care targets to complex level of support</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18.4</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Youth diversion program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3.4</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3.4</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sz w:val="16"/>
                <w:szCs w:val="16"/>
                <w:lang w:eastAsia="en-AU"/>
              </w:rPr>
            </w:pPr>
            <w:r w:rsidRPr="00AB17EC">
              <w:rPr>
                <w:rFonts w:eastAsiaTheme="minorEastAsia"/>
                <w:b/>
                <w:bCs/>
                <w:sz w:val="16"/>
                <w:szCs w:val="16"/>
                <w:lang w:eastAsia="en-AU"/>
              </w:rPr>
              <w:t>Targeted prevention initiatives for all Victorians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 xml:space="preserve">Preventing family violence in diverse communities </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3649AE">
            <w:pPr>
              <w:pStyle w:val="Tabletext"/>
              <w:rPr>
                <w:rFonts w:eastAsiaTheme="minorEastAsia"/>
                <w:sz w:val="16"/>
                <w:szCs w:val="16"/>
                <w:lang w:eastAsia="en-AU"/>
              </w:rPr>
            </w:pPr>
            <w:r w:rsidRPr="00AB17EC">
              <w:rPr>
                <w:rFonts w:eastAsiaTheme="minorEastAsia"/>
                <w:sz w:val="16"/>
                <w:szCs w:val="16"/>
                <w:lang w:eastAsia="en-AU"/>
              </w:rPr>
              <w:t>Reaching all Victorians where they live, work and</w:t>
            </w:r>
            <w:r>
              <w:rPr>
                <w:rFonts w:eastAsiaTheme="minorEastAsia"/>
                <w:sz w:val="16"/>
                <w:szCs w:val="16"/>
                <w:lang w:eastAsia="en-AU"/>
              </w:rPr>
              <w:t> </w:t>
            </w:r>
            <w:r w:rsidRPr="00AB17EC">
              <w:rPr>
                <w:rFonts w:eastAsiaTheme="minorEastAsia"/>
                <w:sz w:val="16"/>
                <w:szCs w:val="16"/>
                <w:lang w:eastAsia="en-AU"/>
              </w:rPr>
              <w:t>play</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6.0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Targeted initiatives for adolescents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Targeted initiatives for adults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Targeted initiatives for culturally and linguistically diverse communities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AB17EC">
            <w:pPr>
              <w:pStyle w:val="Tabletext"/>
              <w:rPr>
                <w:rFonts w:eastAsiaTheme="minorEastAsia"/>
                <w:sz w:val="16"/>
                <w:szCs w:val="16"/>
                <w:lang w:eastAsia="en-AU"/>
              </w:rPr>
            </w:pPr>
            <w:r w:rsidRPr="00AB17EC">
              <w:rPr>
                <w:rFonts w:eastAsiaTheme="minorEastAsia"/>
                <w:sz w:val="16"/>
                <w:szCs w:val="16"/>
                <w:lang w:eastAsia="en-AU"/>
              </w:rPr>
              <w:t>Targeted initiatives for seniors</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nil"/>
              <w:left w:val="nil"/>
              <w:bottom w:val="nil"/>
              <w:right w:val="nil"/>
            </w:tcBorders>
            <w:shd w:val="solid" w:color="FFFFFF" w:fill="auto"/>
          </w:tcPr>
          <w:p w:rsidR="00E25CC6" w:rsidRPr="00AB17EC" w:rsidRDefault="00E25CC6" w:rsidP="003649AE">
            <w:pPr>
              <w:pStyle w:val="Tabletext"/>
              <w:rPr>
                <w:rFonts w:eastAsiaTheme="minorEastAsia"/>
                <w:b/>
                <w:bCs/>
                <w:sz w:val="16"/>
                <w:szCs w:val="16"/>
                <w:lang w:eastAsia="en-AU"/>
              </w:rPr>
            </w:pPr>
            <w:r w:rsidRPr="00AB17EC">
              <w:rPr>
                <w:rFonts w:eastAsiaTheme="minorEastAsia"/>
                <w:b/>
                <w:bCs/>
                <w:sz w:val="16"/>
                <w:szCs w:val="16"/>
                <w:lang w:eastAsia="en-AU"/>
              </w:rPr>
              <w:t>Victims</w:t>
            </w:r>
            <w:r>
              <w:rPr>
                <w:rFonts w:eastAsiaTheme="minorEastAsia"/>
                <w:b/>
                <w:bCs/>
                <w:sz w:val="16"/>
                <w:szCs w:val="16"/>
                <w:lang w:eastAsia="en-AU"/>
              </w:rPr>
              <w:t>’</w:t>
            </w:r>
            <w:r w:rsidRPr="00AB17EC">
              <w:rPr>
                <w:rFonts w:eastAsiaTheme="minorEastAsia"/>
                <w:b/>
                <w:bCs/>
                <w:sz w:val="16"/>
                <w:szCs w:val="16"/>
                <w:lang w:eastAsia="en-AU"/>
              </w:rPr>
              <w:t xml:space="preserve"> experience of the justice system</w:t>
            </w:r>
          </w:p>
        </w:tc>
        <w:tc>
          <w:tcPr>
            <w:tcW w:w="832"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3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3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3649AE">
        <w:trPr>
          <w:cantSplit/>
        </w:trPr>
        <w:tc>
          <w:tcPr>
            <w:tcW w:w="3612"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text"/>
              <w:rPr>
                <w:rFonts w:eastAsiaTheme="minorEastAsia"/>
                <w:b/>
                <w:bCs/>
                <w:vertAlign w:val="superscript"/>
                <w:lang w:eastAsia="en-AU"/>
              </w:rPr>
            </w:pPr>
            <w:r w:rsidRPr="00AB17EC">
              <w:rPr>
                <w:rFonts w:eastAsiaTheme="minorEastAsia"/>
                <w:b/>
                <w:bCs/>
                <w:lang w:eastAsia="en-AU"/>
              </w:rPr>
              <w:t xml:space="preserve">Total output initiatives </w:t>
            </w:r>
            <w:r w:rsidRPr="00AB17EC">
              <w:rPr>
                <w:rFonts w:eastAsiaTheme="minorEastAsia"/>
                <w:b/>
                <w:bCs/>
                <w:vertAlign w:val="superscript"/>
                <w:lang w:eastAsia="en-AU"/>
              </w:rPr>
              <w:t>(a)</w:t>
            </w:r>
          </w:p>
        </w:tc>
        <w:tc>
          <w:tcPr>
            <w:tcW w:w="832"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8.5</w:t>
            </w:r>
          </w:p>
        </w:tc>
        <w:tc>
          <w:tcPr>
            <w:tcW w:w="833"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272.8</w:t>
            </w:r>
          </w:p>
        </w:tc>
        <w:tc>
          <w:tcPr>
            <w:tcW w:w="833"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190.6</w:t>
            </w:r>
          </w:p>
        </w:tc>
        <w:tc>
          <w:tcPr>
            <w:tcW w:w="833"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w:t>
            </w:r>
          </w:p>
        </w:tc>
        <w:tc>
          <w:tcPr>
            <w:tcW w:w="833" w:type="dxa"/>
            <w:tcBorders>
              <w:top w:val="single" w:sz="6" w:space="0" w:color="auto"/>
              <w:left w:val="nil"/>
              <w:bottom w:val="single" w:sz="12" w:space="0" w:color="auto"/>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w:t>
            </w:r>
          </w:p>
        </w:tc>
      </w:tr>
    </w:tbl>
    <w:p w:rsidR="00E25CC6" w:rsidRDefault="00E25CC6" w:rsidP="00A919CB">
      <w:pPr>
        <w:pStyle w:val="Source"/>
      </w:pPr>
      <w:r>
        <w:t>Source: Department of Treasury and Finance</w:t>
      </w:r>
    </w:p>
    <w:p w:rsidR="00E25CC6" w:rsidRDefault="00E25CC6" w:rsidP="009852FE">
      <w:pPr>
        <w:pStyle w:val="Notes"/>
      </w:pPr>
      <w:r>
        <w:t>Note:</w:t>
      </w:r>
    </w:p>
    <w:p w:rsidR="00E25CC6" w:rsidRDefault="00E25CC6" w:rsidP="009852FE">
      <w:pPr>
        <w:pStyle w:val="Notes"/>
      </w:pPr>
      <w:r>
        <w:t>(a)</w:t>
      </w:r>
      <w:r>
        <w:tab/>
        <w:t xml:space="preserve">Tables may not add due to rounding. </w:t>
      </w:r>
    </w:p>
    <w:p w:rsidR="00E25CC6" w:rsidRPr="00CD63A7" w:rsidRDefault="00E25CC6" w:rsidP="009852FE">
      <w:pPr>
        <w:pStyle w:val="Notes"/>
      </w:pPr>
    </w:p>
    <w:p w:rsidR="00E25CC6" w:rsidRPr="00940C9E" w:rsidRDefault="00E25CC6" w:rsidP="003F1593">
      <w:pPr>
        <w:pStyle w:val="Heading4"/>
      </w:pPr>
      <w:r w:rsidRPr="00940C9E">
        <w:t>Achieving equality for Victorian Women</w:t>
      </w:r>
    </w:p>
    <w:p w:rsidR="00E25CC6" w:rsidRPr="00940C9E" w:rsidRDefault="00E25CC6" w:rsidP="009852FE">
      <w:r w:rsidRPr="00940C9E">
        <w:t>The Government will develop and deliver Victoria</w:t>
      </w:r>
      <w:r>
        <w:t>’</w:t>
      </w:r>
      <w:r w:rsidRPr="00940C9E">
        <w:t>s first gender equality strategy</w:t>
      </w:r>
      <w:r>
        <w:t>. This</w:t>
      </w:r>
      <w:r w:rsidRPr="00940C9E">
        <w:t xml:space="preserve"> will promote women</w:t>
      </w:r>
      <w:r>
        <w:t>’</w:t>
      </w:r>
      <w:r w:rsidRPr="00940C9E">
        <w:t xml:space="preserve">s leadership through initiatives such as boosting female participation on Victorian boards. </w:t>
      </w:r>
    </w:p>
    <w:p w:rsidR="00E25CC6" w:rsidRPr="00940C9E" w:rsidRDefault="00E25CC6" w:rsidP="009852FE">
      <w:pPr>
        <w:pStyle w:val="Heading4"/>
      </w:pPr>
      <w:r w:rsidRPr="00940C9E">
        <w:t xml:space="preserve">Architecture to scale up prevention approaches </w:t>
      </w:r>
    </w:p>
    <w:p w:rsidR="00E25CC6" w:rsidRPr="00940C9E" w:rsidRDefault="00E25CC6" w:rsidP="009852FE">
      <w:r>
        <w:t>A statewide prevention strategy will be developed along with supporting organisational arrangements at the local and regional level</w:t>
      </w:r>
      <w:r w:rsidRPr="00940C9E">
        <w:t>. Specific arrangements will be subject to co</w:t>
      </w:r>
      <w:r>
        <w:noBreakHyphen/>
      </w:r>
      <w:r w:rsidRPr="00940C9E">
        <w:t xml:space="preserve">design with the victims of family violence and the people and organisations that </w:t>
      </w:r>
      <w:r>
        <w:t>support</w:t>
      </w:r>
      <w:r w:rsidRPr="00940C9E">
        <w:t xml:space="preserve"> them.</w:t>
      </w:r>
    </w:p>
    <w:p w:rsidR="00E25CC6" w:rsidRDefault="00E25CC6">
      <w:pPr>
        <w:spacing w:after="0"/>
        <w:rPr>
          <w:rFonts w:ascii="Calibri" w:hAnsi="Calibri"/>
          <w:i/>
          <w:sz w:val="24"/>
          <w:szCs w:val="22"/>
        </w:rPr>
      </w:pPr>
      <w:r>
        <w:br w:type="page"/>
      </w:r>
    </w:p>
    <w:p w:rsidR="00E25CC6" w:rsidRPr="00940C9E" w:rsidRDefault="00E25CC6" w:rsidP="009852FE">
      <w:pPr>
        <w:pStyle w:val="Heading4"/>
      </w:pPr>
      <w:r w:rsidRPr="00940C9E">
        <w:t>Building a new and enduring family violence system</w:t>
      </w:r>
    </w:p>
    <w:p w:rsidR="00E25CC6" w:rsidRDefault="00E25CC6" w:rsidP="009852FE">
      <w:r w:rsidRPr="00940C9E">
        <w:t>Funding will support initiatives to drive implementation of the Royal Commission recommendations</w:t>
      </w:r>
      <w:r>
        <w:t xml:space="preserve"> and build a new family violence system</w:t>
      </w:r>
      <w:r w:rsidRPr="00940C9E">
        <w:t>.</w:t>
      </w:r>
      <w:r w:rsidRPr="002D2E5D">
        <w:t xml:space="preserve"> </w:t>
      </w:r>
      <w:r>
        <w:fldChar w:fldCharType="begin"/>
      </w:r>
      <w:r>
        <w:instrText xml:space="preserve"> XE "</w:instrText>
      </w:r>
      <w:r w:rsidRPr="00414B74">
        <w:instrText>Family Violence:Royal Commission into Family Violence</w:instrText>
      </w:r>
      <w:r>
        <w:instrText xml:space="preserve">" </w:instrText>
      </w:r>
      <w:r>
        <w:fldChar w:fldCharType="end"/>
      </w:r>
    </w:p>
    <w:p w:rsidR="00E25CC6" w:rsidRDefault="00E25CC6" w:rsidP="009852FE">
      <w:r>
        <w:t>An independent implementation monitor will be established to report on the government’s progress in implementing Royal Commission recommendations.</w:t>
      </w:r>
    </w:p>
    <w:p w:rsidR="00E25CC6" w:rsidRDefault="00E25CC6" w:rsidP="009852FE">
      <w:r w:rsidRPr="00940C9E">
        <w:t>A</w:t>
      </w:r>
      <w:r>
        <w:t>n</w:t>
      </w:r>
      <w:r w:rsidRPr="00940C9E">
        <w:t xml:space="preserve"> implementation unit will be established</w:t>
      </w:r>
      <w:r>
        <w:t xml:space="preserve"> to lead the Whole of Victorian Government and community response. Support will be provided for consultation and co</w:t>
      </w:r>
      <w:r>
        <w:noBreakHyphen/>
        <w:t>design including through the Victim Survivors’ Advisory Group, Family Violence Steering Committee, Regional Integration Committees, peak sector bodies, the Indigenous Partnership forum and Indigenous Family Violence Regional Action Groups.</w:t>
      </w:r>
      <w:r w:rsidRPr="003E6F5A">
        <w:t xml:space="preserve"> </w:t>
      </w:r>
      <w:r>
        <w:t>.</w:t>
      </w:r>
      <w:r>
        <w:fldChar w:fldCharType="begin"/>
      </w:r>
      <w:r>
        <w:instrText xml:space="preserve"> XE "</w:instrText>
      </w:r>
      <w:r w:rsidRPr="00873D1A">
        <w:instrText>Regional and Rural Victoria Services</w:instrText>
      </w:r>
      <w:r>
        <w:instrText xml:space="preserve">" </w:instrText>
      </w:r>
      <w:r>
        <w:fldChar w:fldCharType="end"/>
      </w:r>
    </w:p>
    <w:p w:rsidR="00E25CC6" w:rsidRPr="00940C9E" w:rsidRDefault="00E25CC6" w:rsidP="009852FE">
      <w:pPr>
        <w:pStyle w:val="Heading4"/>
      </w:pPr>
      <w:r w:rsidRPr="00940C9E">
        <w:t xml:space="preserve">Culturally and linguistically diverse </w:t>
      </w:r>
      <w:r>
        <w:t xml:space="preserve">communities </w:t>
      </w:r>
      <w:r w:rsidRPr="00940C9E">
        <w:t>family violence</w:t>
      </w:r>
      <w:r>
        <w:t xml:space="preserve"> responses</w:t>
      </w:r>
    </w:p>
    <w:p w:rsidR="00E25CC6" w:rsidRDefault="00E25CC6" w:rsidP="009852FE">
      <w:r>
        <w:t xml:space="preserve">Specialist family violence services to </w:t>
      </w:r>
      <w:r w:rsidRPr="00940C9E">
        <w:t>culturally and linguistically diverse (CALD)</w:t>
      </w:r>
      <w:r>
        <w:t xml:space="preserve"> communities will be delivered by an enhanced In Touch Multicultural Centre against family violence and other providers. </w:t>
      </w:r>
    </w:p>
    <w:p w:rsidR="00E25CC6" w:rsidRPr="00940C9E" w:rsidRDefault="00E25CC6" w:rsidP="009852FE">
      <w:r w:rsidRPr="00940C9E">
        <w:t>This initiative contributes to the Department of Premier and Cabinet</w:t>
      </w:r>
      <w:r>
        <w:t>’</w:t>
      </w:r>
      <w:r w:rsidRPr="00940C9E">
        <w:t>s Multicultural Affairs</w:t>
      </w:r>
      <w:r>
        <w:t>, policy and programs</w:t>
      </w:r>
      <w:r w:rsidRPr="00940C9E">
        <w:t xml:space="preserve"> output.</w:t>
      </w:r>
      <w:r w:rsidRPr="002D2E5D">
        <w:rPr>
          <w:rFonts w:eastAsiaTheme="minorEastAsia"/>
          <w:lang w:eastAsia="en-AU"/>
        </w:rPr>
        <w:t xml:space="preserve"> </w:t>
      </w:r>
      <w:r>
        <w:rPr>
          <w:rFonts w:eastAsiaTheme="minorEastAsia"/>
          <w:lang w:eastAsia="en-AU"/>
        </w:rPr>
        <w:fldChar w:fldCharType="begin"/>
      </w:r>
      <w:r>
        <w:instrText xml:space="preserve"> XE "</w:instrText>
      </w:r>
      <w:r w:rsidRPr="002C17F5">
        <w:instrText>Multicultural Affairs</w:instrText>
      </w:r>
      <w:r>
        <w:instrText xml:space="preserve">" </w:instrText>
      </w:r>
      <w:r>
        <w:rPr>
          <w:rFonts w:eastAsiaTheme="minorEastAsia"/>
          <w:lang w:eastAsia="en-AU"/>
        </w:rPr>
        <w:fldChar w:fldCharType="end"/>
      </w:r>
    </w:p>
    <w:p w:rsidR="00E25CC6" w:rsidRPr="00940C9E" w:rsidRDefault="00E25CC6" w:rsidP="009852FE">
      <w:pPr>
        <w:pStyle w:val="Heading4"/>
      </w:pPr>
      <w:r w:rsidRPr="00940C9E">
        <w:t>Family violence housing blitz</w:t>
      </w:r>
    </w:p>
    <w:p w:rsidR="00E25CC6" w:rsidRDefault="00E25CC6" w:rsidP="009852FE">
      <w:pPr>
        <w:pStyle w:val="Heading5"/>
      </w:pPr>
      <w:r w:rsidRPr="009129E5">
        <w:t>Accommodation for the homeless</w:t>
      </w:r>
    </w:p>
    <w:p w:rsidR="00E25CC6" w:rsidRPr="00940C9E" w:rsidRDefault="00E25CC6" w:rsidP="009852FE">
      <w:r w:rsidRPr="00940C9E">
        <w:t>Refer to the asset initiative for a description of this initiative.</w:t>
      </w:r>
    </w:p>
    <w:p w:rsidR="00E25CC6" w:rsidRDefault="00E25CC6" w:rsidP="009852FE">
      <w:pPr>
        <w:pStyle w:val="Heading5"/>
      </w:pPr>
      <w:r w:rsidRPr="009129E5">
        <w:t>Rapid Housing Assistance Fund</w:t>
      </w:r>
    </w:p>
    <w:p w:rsidR="00E25CC6" w:rsidRPr="00940C9E" w:rsidRDefault="00E25CC6" w:rsidP="009852FE">
      <w:r w:rsidRPr="00940C9E">
        <w:t xml:space="preserve">Refer to the asset initiative for a description of this initiative. </w:t>
      </w:r>
    </w:p>
    <w:p w:rsidR="00E25CC6" w:rsidRDefault="00E25CC6" w:rsidP="009852FE">
      <w:pPr>
        <w:pStyle w:val="Heading5"/>
      </w:pPr>
      <w:r w:rsidRPr="009129E5">
        <w:t>Redevelopment of Family Violence Refuges</w:t>
      </w:r>
    </w:p>
    <w:p w:rsidR="00E25CC6" w:rsidRPr="00940C9E" w:rsidRDefault="00E25CC6" w:rsidP="009852FE">
      <w:r w:rsidRPr="00940C9E">
        <w:t>Refer to the asset initiative for a description of this initiative.</w:t>
      </w:r>
    </w:p>
    <w:p w:rsidR="00E25CC6" w:rsidRPr="00940C9E" w:rsidRDefault="00E25CC6" w:rsidP="009852FE">
      <w:pPr>
        <w:pStyle w:val="Heading4"/>
      </w:pPr>
      <w:r w:rsidRPr="00940C9E">
        <w:t>Family violence legal assistance</w:t>
      </w:r>
    </w:p>
    <w:p w:rsidR="00E25CC6" w:rsidRPr="00940C9E" w:rsidRDefault="00E25CC6" w:rsidP="009852FE">
      <w:r>
        <w:t>F</w:t>
      </w:r>
      <w:r w:rsidRPr="00940C9E">
        <w:t xml:space="preserve">amily violence legal services at Community Legal </w:t>
      </w:r>
      <w:r>
        <w:t>Centres and Victoria Legal Aid will continue.</w:t>
      </w:r>
      <w:r w:rsidRPr="00940C9E">
        <w:t xml:space="preserve"> Additional </w:t>
      </w:r>
      <w:r>
        <w:t>funding will support Community Legal Centres to respond to demand</w:t>
      </w:r>
      <w:r w:rsidRPr="00940C9E">
        <w:t>.</w:t>
      </w:r>
    </w:p>
    <w:p w:rsidR="00E25CC6" w:rsidRDefault="00E25CC6" w:rsidP="009852FE">
      <w:r w:rsidRPr="00940C9E">
        <w:t>This initiative contributes to the Department of Justice and Regulation</w:t>
      </w:r>
      <w:r>
        <w:t>’</w:t>
      </w:r>
      <w:r w:rsidRPr="00940C9E">
        <w:t>s</w:t>
      </w:r>
      <w:r>
        <w:t>:</w:t>
      </w:r>
    </w:p>
    <w:p w:rsidR="00E25CC6" w:rsidRPr="007E7B60" w:rsidRDefault="00E25CC6" w:rsidP="003370FD">
      <w:pPr>
        <w:pStyle w:val="BulletText"/>
      </w:pPr>
      <w:r w:rsidRPr="007E7B60">
        <w:t>Criminal Law Support and Reform output</w:t>
      </w:r>
      <w:r>
        <w:t>; and</w:t>
      </w:r>
      <w:r w:rsidRPr="007E7B60">
        <w:t>.</w:t>
      </w:r>
    </w:p>
    <w:p w:rsidR="00E25CC6" w:rsidRPr="007E7B60" w:rsidRDefault="00E25CC6" w:rsidP="007E7B60">
      <w:pPr>
        <w:pStyle w:val="BulletText"/>
      </w:pPr>
      <w:r w:rsidRPr="007E7B60">
        <w:t xml:space="preserve">Public Prosecutions and Legal Assistance </w:t>
      </w:r>
      <w:r>
        <w:t>output.</w:t>
      </w:r>
    </w:p>
    <w:p w:rsidR="00E25CC6" w:rsidRDefault="00E25CC6">
      <w:pPr>
        <w:spacing w:after="0"/>
        <w:rPr>
          <w:rFonts w:ascii="Calibri" w:hAnsi="Calibri"/>
          <w:i/>
          <w:sz w:val="24"/>
          <w:szCs w:val="22"/>
        </w:rPr>
      </w:pPr>
      <w:r>
        <w:br w:type="page"/>
      </w:r>
    </w:p>
    <w:p w:rsidR="00E25CC6" w:rsidRDefault="00E25CC6" w:rsidP="009852FE">
      <w:pPr>
        <w:pStyle w:val="Heading4"/>
      </w:pPr>
      <w:r w:rsidRPr="00940C9E">
        <w:t>Housing support for family violence victims</w:t>
      </w:r>
    </w:p>
    <w:p w:rsidR="00E25CC6" w:rsidRDefault="00E25CC6" w:rsidP="009852FE">
      <w:pPr>
        <w:pStyle w:val="Heading5"/>
      </w:pPr>
      <w:r w:rsidRPr="009129E5">
        <w:t>Private rental housing access</w:t>
      </w:r>
    </w:p>
    <w:p w:rsidR="00E25CC6" w:rsidRDefault="00E25CC6" w:rsidP="009852FE">
      <w:r w:rsidRPr="00940C9E">
        <w:t>Access to private rental housing will be expanded through market advocacy and</w:t>
      </w:r>
      <w:r>
        <w:t xml:space="preserve"> rental brokerage. This will include practical assistance such as support for moving costs, furniture costs and paying rent in arrears. </w:t>
      </w:r>
    </w:p>
    <w:p w:rsidR="00E25CC6" w:rsidRPr="00940C9E" w:rsidRDefault="00E25CC6" w:rsidP="009852FE">
      <w:r w:rsidRPr="00940C9E">
        <w:t>This initiative contributes to the Department of Health and Human Services</w:t>
      </w:r>
      <w:r>
        <w:t>’</w:t>
      </w:r>
      <w:r w:rsidRPr="00940C9E">
        <w:t xml:space="preserve"> Housing Assistance output. </w:t>
      </w:r>
    </w:p>
    <w:p w:rsidR="00E25CC6" w:rsidRDefault="00E25CC6" w:rsidP="009852FE">
      <w:pPr>
        <w:pStyle w:val="Heading5"/>
      </w:pPr>
      <w:r w:rsidRPr="009129E5">
        <w:t xml:space="preserve">Safe at Home – Flexible Support Packages </w:t>
      </w:r>
    </w:p>
    <w:p w:rsidR="00E25CC6" w:rsidRPr="00940C9E" w:rsidRDefault="00E25CC6" w:rsidP="009852FE">
      <w:r w:rsidRPr="00940C9E">
        <w:t>Flexible housing support packages will enable victims to remain safe in their own homes. Brokerage funds will enable increased home security; for example, by installing deadlocks, screen doors, security lighting and home alarms. Funding will also deliver case management and monitoring of perpetrators.</w:t>
      </w:r>
    </w:p>
    <w:p w:rsidR="00E25CC6" w:rsidRPr="00940C9E" w:rsidRDefault="00E25CC6" w:rsidP="009852FE">
      <w:r w:rsidRPr="00940C9E">
        <w:t>This initiative contributes to the Department of Health and Human Services</w:t>
      </w:r>
      <w:r>
        <w:t>’</w:t>
      </w:r>
      <w:r w:rsidRPr="00940C9E">
        <w:t xml:space="preserve"> Housing Assistance output. </w:t>
      </w:r>
    </w:p>
    <w:p w:rsidR="00E25CC6" w:rsidRPr="00940C9E" w:rsidRDefault="00E25CC6" w:rsidP="00F315E5">
      <w:pPr>
        <w:pStyle w:val="Heading4"/>
      </w:pPr>
      <w:r w:rsidRPr="00940C9E">
        <w:t>Hubs in 17 locations</w:t>
      </w:r>
    </w:p>
    <w:p w:rsidR="00E25CC6" w:rsidRPr="00940C9E" w:rsidRDefault="00E25CC6" w:rsidP="009852FE">
      <w:r>
        <w:t xml:space="preserve">Planning </w:t>
      </w:r>
      <w:r w:rsidRPr="00940C9E">
        <w:t xml:space="preserve">activity </w:t>
      </w:r>
      <w:r>
        <w:t xml:space="preserve">will be </w:t>
      </w:r>
      <w:r w:rsidRPr="00940C9E">
        <w:t xml:space="preserve">undertaken to establish </w:t>
      </w:r>
      <w:r>
        <w:t>17 service hubs across Victoria</w:t>
      </w:r>
      <w:r w:rsidRPr="00940C9E">
        <w:t>.</w:t>
      </w:r>
    </w:p>
    <w:p w:rsidR="00E25CC6" w:rsidRPr="00940C9E" w:rsidRDefault="00E25CC6" w:rsidP="009852FE">
      <w:r w:rsidRPr="00940C9E">
        <w:t>The hubs will provide an entry point into local specialist family violence services, other support programs and improve access to universal services.</w:t>
      </w:r>
      <w:r>
        <w:t xml:space="preserve"> The design of these hubs will be informed by detailed consultation and co</w:t>
      </w:r>
      <w:r>
        <w:noBreakHyphen/>
        <w:t>design with victims of family violence and the people and organisations that support them.</w:t>
      </w:r>
    </w:p>
    <w:p w:rsidR="00E25CC6" w:rsidRPr="00940C9E" w:rsidRDefault="00E25CC6" w:rsidP="009852FE">
      <w:pPr>
        <w:pStyle w:val="Heading4"/>
      </w:pPr>
      <w:r w:rsidRPr="00940C9E">
        <w:t>Intensive support early in life</w:t>
      </w:r>
    </w:p>
    <w:p w:rsidR="00E25CC6" w:rsidRPr="00940C9E" w:rsidRDefault="00E25CC6" w:rsidP="009852FE">
      <w:r w:rsidRPr="00940C9E">
        <w:t xml:space="preserve">A new intensive early childhood support service will be provided to vulnerable families. Three existing early intervention initiatives will be integrated and expanded across Victoria (Cradle to Kinder, right@home and Healthy Mothers, Healthy Babies). Access to maternal and child health services for Aboriginal families will </w:t>
      </w:r>
      <w:r>
        <w:t>be enhanced</w:t>
      </w:r>
      <w:r w:rsidRPr="00940C9E">
        <w:t>.</w:t>
      </w:r>
    </w:p>
    <w:p w:rsidR="00E25CC6" w:rsidRPr="00940C9E" w:rsidRDefault="00E25CC6" w:rsidP="009852FE">
      <w:r w:rsidRPr="00940C9E">
        <w:t>This initiative contributes to the Department of Education and Training</w:t>
      </w:r>
      <w:r>
        <w:t>’</w:t>
      </w:r>
      <w:r w:rsidRPr="00940C9E">
        <w:t>s Early Childhood Development and Department of Health and Human Services</w:t>
      </w:r>
      <w:r>
        <w:t>’</w:t>
      </w:r>
      <w:r w:rsidRPr="00940C9E">
        <w:t xml:space="preserve"> Child Protection and Family Services and Community Health Care outputs.</w:t>
      </w:r>
    </w:p>
    <w:p w:rsidR="00E25CC6" w:rsidRPr="00940C9E" w:rsidRDefault="00E25CC6" w:rsidP="00F315E5">
      <w:pPr>
        <w:pStyle w:val="Heading4"/>
      </w:pPr>
      <w:r w:rsidRPr="00940C9E">
        <w:t>Laying the groundwork</w:t>
      </w:r>
    </w:p>
    <w:p w:rsidR="00E25CC6" w:rsidRPr="00940C9E" w:rsidRDefault="00E25CC6" w:rsidP="009852FE">
      <w:r w:rsidRPr="00940C9E">
        <w:t>Training will be delivered across the workforce to implement the new Risk Assessment and Risk Management Framework</w:t>
      </w:r>
      <w:r>
        <w:t>.</w:t>
      </w:r>
      <w:r w:rsidRPr="00940C9E">
        <w:t xml:space="preserve"> </w:t>
      </w:r>
      <w:r>
        <w:t xml:space="preserve">This initiative </w:t>
      </w:r>
      <w:r w:rsidRPr="00940C9E">
        <w:t>support</w:t>
      </w:r>
      <w:r>
        <w:t>s</w:t>
      </w:r>
      <w:r w:rsidRPr="00940C9E">
        <w:t xml:space="preserve"> workforce planning, build</w:t>
      </w:r>
      <w:r>
        <w:t>ing</w:t>
      </w:r>
      <w:r w:rsidRPr="00940C9E">
        <w:t xml:space="preserve"> workforce capacity and set</w:t>
      </w:r>
      <w:r>
        <w:t>ting</w:t>
      </w:r>
      <w:r w:rsidRPr="00940C9E">
        <w:t xml:space="preserve"> best practice standards. </w:t>
      </w:r>
    </w:p>
    <w:p w:rsidR="00E25CC6" w:rsidRPr="00940C9E" w:rsidRDefault="00E25CC6" w:rsidP="009852FE">
      <w:r w:rsidRPr="00940C9E">
        <w:t>Funding is also provided to further deliver and embed the Family Violence Index</w:t>
      </w:r>
      <w:r>
        <w:t>, which seeks to integrate data</w:t>
      </w:r>
      <w:r w:rsidRPr="00940C9E">
        <w:t xml:space="preserve"> to create a single indicator of family violence, and to develop a demand modelling tool.</w:t>
      </w:r>
    </w:p>
    <w:p w:rsidR="00E25CC6" w:rsidRPr="00940C9E" w:rsidRDefault="00E25CC6" w:rsidP="00F315E5">
      <w:pPr>
        <w:pStyle w:val="Heading4"/>
      </w:pPr>
      <w:r w:rsidRPr="00940C9E">
        <w:t>Lesbian, gay, bisexual, transgender and intersex people family violence</w:t>
      </w:r>
    </w:p>
    <w:p w:rsidR="00E25CC6" w:rsidRPr="00940C9E" w:rsidRDefault="00E25CC6" w:rsidP="009852FE">
      <w:r>
        <w:t>Dedicated</w:t>
      </w:r>
      <w:r w:rsidRPr="00940C9E">
        <w:t xml:space="preserve"> tailored services that respond to violence within lesbian, gay, bisexual, transgender and intersex (LGBTI) families</w:t>
      </w:r>
      <w:r w:rsidRPr="00D53C66">
        <w:t xml:space="preserve"> </w:t>
      </w:r>
      <w:r>
        <w:t>will be introduced</w:t>
      </w:r>
      <w:r w:rsidRPr="00940C9E">
        <w:t xml:space="preserve">. Research will improve </w:t>
      </w:r>
      <w:r>
        <w:t xml:space="preserve">the </w:t>
      </w:r>
      <w:r w:rsidRPr="00940C9E">
        <w:t>understanding of LGBTI family violence to improve service responses.</w:t>
      </w:r>
      <w:r>
        <w:t xml:space="preserve"> </w:t>
      </w:r>
      <w:r w:rsidRPr="00940C9E">
        <w:t>Initiatives will be informed by co</w:t>
      </w:r>
      <w:r>
        <w:noBreakHyphen/>
      </w:r>
      <w:r w:rsidRPr="00940C9E">
        <w:t xml:space="preserve">design with </w:t>
      </w:r>
      <w:r>
        <w:t>victims of family violence and the people and organisations that support them</w:t>
      </w:r>
      <w:r w:rsidRPr="00940C9E">
        <w:t>.</w:t>
      </w:r>
      <w:r>
        <w:t xml:space="preserve"> </w:t>
      </w:r>
      <w:r>
        <w:rPr>
          <w:rFonts w:eastAsiaTheme="minorEastAsia"/>
          <w:lang w:eastAsia="en-AU"/>
        </w:rPr>
        <w:fldChar w:fldCharType="begin"/>
      </w:r>
      <w:r>
        <w:instrText xml:space="preserve"> XE "</w:instrText>
      </w:r>
      <w:r w:rsidRPr="004A38E6">
        <w:instrText>Lesbian, Gay, Bisexual, Transgender and Intersexed (LGBTI)</w:instrText>
      </w:r>
      <w:r>
        <w:instrText xml:space="preserve">" </w:instrText>
      </w:r>
      <w:r>
        <w:rPr>
          <w:rFonts w:eastAsiaTheme="minorEastAsia"/>
          <w:lang w:eastAsia="en-AU"/>
        </w:rPr>
        <w:fldChar w:fldCharType="end"/>
      </w:r>
    </w:p>
    <w:p w:rsidR="00E25CC6" w:rsidRPr="00940C9E" w:rsidRDefault="00E25CC6" w:rsidP="00AC2535">
      <w:pPr>
        <w:pStyle w:val="Heading4"/>
      </w:pPr>
      <w:r>
        <w:t xml:space="preserve">More support for </w:t>
      </w:r>
      <w:r w:rsidRPr="00940C9E">
        <w:t xml:space="preserve">Aboriginal </w:t>
      </w:r>
      <w:r>
        <w:t xml:space="preserve">Victorians at risk of </w:t>
      </w:r>
      <w:r w:rsidRPr="00940C9E">
        <w:t>family violence</w:t>
      </w:r>
      <w:r>
        <w:t xml:space="preserve"> </w:t>
      </w:r>
    </w:p>
    <w:p w:rsidR="00E25CC6" w:rsidRPr="00612E2C" w:rsidRDefault="00E25CC6" w:rsidP="00AC2535">
      <w:pPr>
        <w:pStyle w:val="Heading5"/>
      </w:pPr>
      <w:r w:rsidRPr="009129E5">
        <w:t xml:space="preserve">Aboriginal </w:t>
      </w:r>
      <w:r>
        <w:t xml:space="preserve">community initiatives </w:t>
      </w:r>
    </w:p>
    <w:p w:rsidR="00E25CC6" w:rsidRPr="00940C9E" w:rsidRDefault="00E25CC6" w:rsidP="00AC2535">
      <w:r w:rsidRPr="00940C9E">
        <w:t>Community led prevention and early intervention initiatives will</w:t>
      </w:r>
      <w:r>
        <w:t xml:space="preserve"> be developed to</w:t>
      </w:r>
      <w:r w:rsidRPr="00940C9E">
        <w:t xml:space="preserve"> address the causes of family violence. </w:t>
      </w:r>
    </w:p>
    <w:p w:rsidR="00E25CC6" w:rsidRDefault="00E25CC6" w:rsidP="00AC2535">
      <w:r w:rsidRPr="00940C9E">
        <w:t>This initiative contributes to the Department of Premier and Cabinet</w:t>
      </w:r>
      <w:r>
        <w:t>’</w:t>
      </w:r>
      <w:r w:rsidRPr="00940C9E">
        <w:t xml:space="preserve">s Aboriginal </w:t>
      </w:r>
      <w:r>
        <w:t>p</w:t>
      </w:r>
      <w:r w:rsidRPr="00940C9E">
        <w:t xml:space="preserve">olicy, </w:t>
      </w:r>
      <w:r>
        <w:t>s</w:t>
      </w:r>
      <w:r w:rsidRPr="00940C9E">
        <w:t xml:space="preserve">trengthening </w:t>
      </w:r>
      <w:r>
        <w:t>Aboriginal c</w:t>
      </w:r>
      <w:r w:rsidRPr="00940C9E">
        <w:t xml:space="preserve">ultural </w:t>
      </w:r>
      <w:r>
        <w:t>heritage and c</w:t>
      </w:r>
      <w:r w:rsidRPr="00940C9E">
        <w:t>ommunities output.</w:t>
      </w:r>
    </w:p>
    <w:p w:rsidR="00E25CC6" w:rsidRDefault="00E25CC6" w:rsidP="00AC2535">
      <w:pPr>
        <w:pStyle w:val="Heading5"/>
      </w:pPr>
      <w:r w:rsidRPr="009129E5">
        <w:t xml:space="preserve">Enhancing awareness and early intervention </w:t>
      </w:r>
    </w:p>
    <w:p w:rsidR="00E25CC6" w:rsidRPr="00940C9E" w:rsidRDefault="00E25CC6" w:rsidP="00AC2535">
      <w:r w:rsidRPr="00940C9E">
        <w:t>Mediation, dispute resolution and inter</w:t>
      </w:r>
      <w:r>
        <w:noBreakHyphen/>
      </w:r>
      <w:r w:rsidRPr="00940C9E">
        <w:t xml:space="preserve">generational trauma training will be provided to interested Aboriginal persons to become accredited mediators. Aboriginal conflict resolution workers will be employed in high need locations. </w:t>
      </w:r>
    </w:p>
    <w:p w:rsidR="00E25CC6" w:rsidRPr="00940C9E" w:rsidRDefault="00E25CC6" w:rsidP="00AC2535">
      <w:r w:rsidRPr="00940C9E">
        <w:t>This initiative contributes to the Department of Justice and Regulation</w:t>
      </w:r>
      <w:r>
        <w:t>’</w:t>
      </w:r>
      <w:r w:rsidRPr="00940C9E">
        <w:t>s Victims and Community Support Services output.</w:t>
      </w:r>
    </w:p>
    <w:p w:rsidR="00E25CC6" w:rsidRDefault="00E25CC6" w:rsidP="00AC2535">
      <w:pPr>
        <w:pStyle w:val="Heading5"/>
      </w:pPr>
      <w:r>
        <w:t>Koori</w:t>
      </w:r>
      <w:r w:rsidRPr="009129E5">
        <w:t xml:space="preserve"> </w:t>
      </w:r>
      <w:r>
        <w:t>w</w:t>
      </w:r>
      <w:r w:rsidRPr="009129E5">
        <w:t>omen</w:t>
      </w:r>
      <w:r>
        <w:t>’</w:t>
      </w:r>
      <w:r w:rsidRPr="009129E5">
        <w:t xml:space="preserve">s </w:t>
      </w:r>
      <w:r>
        <w:t>d</w:t>
      </w:r>
      <w:r w:rsidRPr="009129E5">
        <w:t xml:space="preserve">iversion </w:t>
      </w:r>
      <w:r>
        <w:t>p</w:t>
      </w:r>
      <w:r w:rsidRPr="009129E5">
        <w:t>rogram</w:t>
      </w:r>
      <w:r>
        <w:t>s</w:t>
      </w:r>
      <w:r w:rsidRPr="009129E5">
        <w:t xml:space="preserve"> </w:t>
      </w:r>
    </w:p>
    <w:p w:rsidR="00E25CC6" w:rsidRPr="00940C9E" w:rsidRDefault="00E25CC6" w:rsidP="00AC2535">
      <w:r w:rsidRPr="00940C9E">
        <w:t xml:space="preserve">Three </w:t>
      </w:r>
      <w:r>
        <w:t>Koori</w:t>
      </w:r>
      <w:r w:rsidRPr="00940C9E">
        <w:t xml:space="preserve"> women</w:t>
      </w:r>
      <w:r>
        <w:t>’</w:t>
      </w:r>
      <w:r w:rsidRPr="00940C9E">
        <w:t>s diversion programs (Odyssey House and two place</w:t>
      </w:r>
      <w:r>
        <w:noBreakHyphen/>
      </w:r>
      <w:r w:rsidRPr="00940C9E">
        <w:t xml:space="preserve">based management programs in Loddon Mallee and Gippsland) will be continued. </w:t>
      </w:r>
    </w:p>
    <w:p w:rsidR="00E25CC6" w:rsidRPr="00940C9E" w:rsidRDefault="00E25CC6" w:rsidP="00AC2535">
      <w:r w:rsidRPr="00940C9E">
        <w:t>This initiative contributes to the Department of Justice and Regulation</w:t>
      </w:r>
      <w:r>
        <w:t>’</w:t>
      </w:r>
      <w:r w:rsidRPr="00940C9E">
        <w:t>s Victims and Community Support Services output.</w:t>
      </w:r>
    </w:p>
    <w:p w:rsidR="00E25CC6" w:rsidRDefault="00E25CC6" w:rsidP="00AC2535">
      <w:pPr>
        <w:pStyle w:val="Heading5"/>
      </w:pPr>
      <w:r w:rsidRPr="009129E5">
        <w:t xml:space="preserve">Supporting Aboriginal </w:t>
      </w:r>
      <w:r>
        <w:t>c</w:t>
      </w:r>
      <w:r w:rsidRPr="009129E5">
        <w:t xml:space="preserve">hildren and </w:t>
      </w:r>
      <w:r>
        <w:t>f</w:t>
      </w:r>
      <w:r w:rsidRPr="009129E5">
        <w:t xml:space="preserve">amilies </w:t>
      </w:r>
    </w:p>
    <w:p w:rsidR="00E25CC6" w:rsidRPr="00940C9E" w:rsidRDefault="00E25CC6" w:rsidP="00AC2535">
      <w:r w:rsidRPr="00940C9E">
        <w:t>Additional cultural support will be provided to Aboriginal children in the out</w:t>
      </w:r>
      <w:r>
        <w:noBreakHyphen/>
      </w:r>
      <w:r w:rsidRPr="00940C9E">
        <w:t>of</w:t>
      </w:r>
      <w:r>
        <w:noBreakHyphen/>
      </w:r>
      <w:r w:rsidRPr="00940C9E">
        <w:t xml:space="preserve">home care and child protection systems by expanding Aboriginal Child Specialist Advice and Support Services and ensuring children have a cultural support plan. The </w:t>
      </w:r>
      <w:r>
        <w:t>Koori</w:t>
      </w:r>
      <w:r w:rsidRPr="00940C9E">
        <w:t xml:space="preserve"> Youth Justice Program will be expanded to support young peo</w:t>
      </w:r>
      <w:r>
        <w:t>ple at risk of offending or on an order</w:t>
      </w:r>
      <w:r w:rsidRPr="00940C9E">
        <w:t xml:space="preserve">. </w:t>
      </w:r>
    </w:p>
    <w:p w:rsidR="00E25CC6" w:rsidRPr="00940C9E" w:rsidRDefault="00E25CC6" w:rsidP="00AC2535">
      <w:r w:rsidRPr="00940C9E">
        <w:t>This initiative contributes to the Department of Health and Human Services</w:t>
      </w:r>
      <w:r>
        <w:t>’</w:t>
      </w:r>
      <w:r w:rsidRPr="00940C9E">
        <w:t xml:space="preserve"> Child Protection and Family Services output.</w:t>
      </w:r>
      <w:r>
        <w:t xml:space="preserve"> </w:t>
      </w:r>
    </w:p>
    <w:p w:rsidR="00E25CC6" w:rsidRDefault="00E25CC6">
      <w:pPr>
        <w:spacing w:after="0"/>
        <w:rPr>
          <w:rFonts w:ascii="Calibri" w:hAnsi="Calibri"/>
          <w:i/>
          <w:sz w:val="24"/>
          <w:szCs w:val="22"/>
        </w:rPr>
      </w:pPr>
      <w:r>
        <w:br w:type="page"/>
      </w:r>
    </w:p>
    <w:p w:rsidR="00E25CC6" w:rsidRPr="00940C9E" w:rsidRDefault="00E25CC6" w:rsidP="00F315E5">
      <w:pPr>
        <w:pStyle w:val="Heading4"/>
      </w:pPr>
      <w:r w:rsidRPr="00940C9E">
        <w:t>Multi</w:t>
      </w:r>
      <w:r>
        <w:noBreakHyphen/>
      </w:r>
      <w:r w:rsidRPr="00940C9E">
        <w:t>agency risk assessment and safeguarding</w:t>
      </w:r>
    </w:p>
    <w:p w:rsidR="00E25CC6" w:rsidRPr="00940C9E" w:rsidRDefault="00E25CC6" w:rsidP="009852FE">
      <w:r w:rsidRPr="00940C9E">
        <w:t xml:space="preserve">A </w:t>
      </w:r>
      <w:r>
        <w:t>multi</w:t>
      </w:r>
      <w:r>
        <w:noBreakHyphen/>
        <w:t xml:space="preserve">agency </w:t>
      </w:r>
      <w:r w:rsidRPr="00940C9E">
        <w:t xml:space="preserve">family violence safeguarding </w:t>
      </w:r>
      <w:r>
        <w:t>function</w:t>
      </w:r>
      <w:r w:rsidRPr="00940C9E">
        <w:t xml:space="preserve"> </w:t>
      </w:r>
      <w:r>
        <w:t xml:space="preserve">and data agency </w:t>
      </w:r>
      <w:r w:rsidRPr="00940C9E">
        <w:t>will be established to facilitate</w:t>
      </w:r>
      <w:r>
        <w:t xml:space="preserve"> risk management and</w:t>
      </w:r>
      <w:r w:rsidRPr="00940C9E">
        <w:t xml:space="preserve"> information sharing between agencies. Part of this work will involve identifying legislative and other barriers to information sharing.</w:t>
      </w:r>
      <w:r w:rsidRPr="001C3C53">
        <w:t xml:space="preserve"> </w:t>
      </w:r>
      <w:r>
        <w:t>New arrangements for information sharing and data management across government will be developed.</w:t>
      </w:r>
    </w:p>
    <w:p w:rsidR="00E25CC6" w:rsidRPr="00357F2F" w:rsidRDefault="00E25CC6" w:rsidP="00357F2F">
      <w:r w:rsidRPr="00940C9E">
        <w:t>The initiative</w:t>
      </w:r>
      <w:r>
        <w:t xml:space="preserve"> will</w:t>
      </w:r>
      <w:r w:rsidRPr="00940C9E">
        <w:t xml:space="preserve"> </w:t>
      </w:r>
      <w:r>
        <w:t>build on</w:t>
      </w:r>
      <w:r w:rsidRPr="00940C9E">
        <w:t xml:space="preserve"> the existing Risk Assessment and Management Panels tha</w:t>
      </w:r>
      <w:r>
        <w:t>t cover select high risk cases.</w:t>
      </w:r>
    </w:p>
    <w:p w:rsidR="00E25CC6" w:rsidRPr="00940C9E" w:rsidRDefault="00E25CC6" w:rsidP="009852FE">
      <w:pPr>
        <w:pStyle w:val="Heading4"/>
      </w:pPr>
      <w:r w:rsidRPr="00940C9E">
        <w:t>Perpetrator accountability</w:t>
      </w:r>
    </w:p>
    <w:p w:rsidR="00E25CC6" w:rsidRDefault="00E25CC6" w:rsidP="009852FE">
      <w:pPr>
        <w:pStyle w:val="Heading5"/>
      </w:pPr>
      <w:r w:rsidRPr="009129E5">
        <w:t>Changing perpetrator behaviour – men</w:t>
      </w:r>
      <w:r>
        <w:t>’</w:t>
      </w:r>
      <w:r w:rsidRPr="009129E5">
        <w:t>s behaviour change programs</w:t>
      </w:r>
    </w:p>
    <w:p w:rsidR="00E25CC6" w:rsidRPr="00940C9E" w:rsidRDefault="00E25CC6" w:rsidP="009852FE">
      <w:r w:rsidRPr="00940C9E">
        <w:t>Voluntary, court</w:t>
      </w:r>
      <w:r>
        <w:noBreakHyphen/>
      </w:r>
      <w:r w:rsidRPr="00940C9E">
        <w:t>mandated and corrections</w:t>
      </w:r>
      <w:r>
        <w:noBreakHyphen/>
      </w:r>
      <w:r w:rsidRPr="00940C9E">
        <w:t>based programs will receive additional support. In addition, an expert panel will review men</w:t>
      </w:r>
      <w:r>
        <w:t>’</w:t>
      </w:r>
      <w:r w:rsidRPr="00940C9E">
        <w:t>s behaviour change programs</w:t>
      </w:r>
      <w:r>
        <w:t>, review minimum standards and develop a compliance framework</w:t>
      </w:r>
      <w:r w:rsidRPr="00940C9E">
        <w:t xml:space="preserve">. </w:t>
      </w:r>
    </w:p>
    <w:p w:rsidR="00E25CC6" w:rsidRPr="00940C9E" w:rsidRDefault="00E25CC6" w:rsidP="009852FE">
      <w:r w:rsidRPr="00940C9E">
        <w:t xml:space="preserve">The </w:t>
      </w:r>
      <w:r>
        <w:t>S</w:t>
      </w:r>
      <w:r w:rsidRPr="00940C9E">
        <w:t xml:space="preserve">exually </w:t>
      </w:r>
      <w:r>
        <w:t>A</w:t>
      </w:r>
      <w:r w:rsidRPr="00940C9E">
        <w:t xml:space="preserve">busive </w:t>
      </w:r>
      <w:r>
        <w:t>B</w:t>
      </w:r>
      <w:r w:rsidRPr="00940C9E">
        <w:t xml:space="preserve">ehaviours </w:t>
      </w:r>
      <w:r>
        <w:t>T</w:t>
      </w:r>
      <w:r w:rsidRPr="00940C9E">
        <w:t>reatment, which targets adolescent offenders, will be expanded to support teens aged 15</w:t>
      </w:r>
      <w:r>
        <w:noBreakHyphen/>
      </w:r>
      <w:r w:rsidRPr="00940C9E">
        <w:t xml:space="preserve">17. </w:t>
      </w:r>
    </w:p>
    <w:p w:rsidR="00E25CC6" w:rsidRPr="00940C9E" w:rsidRDefault="00E25CC6" w:rsidP="009852FE">
      <w:r w:rsidRPr="00940C9E">
        <w:t>This initiative will contribute to the Department of Health and Human Services</w:t>
      </w:r>
      <w:r>
        <w:t>’</w:t>
      </w:r>
      <w:r w:rsidRPr="00940C9E">
        <w:t xml:space="preserve"> Child Protection and Family Services output.</w:t>
      </w:r>
    </w:p>
    <w:p w:rsidR="00E25CC6" w:rsidRDefault="00E25CC6" w:rsidP="009852FE">
      <w:pPr>
        <w:pStyle w:val="Heading5"/>
      </w:pPr>
      <w:r w:rsidRPr="009129E5">
        <w:t xml:space="preserve">Monitoring perpetrators </w:t>
      </w:r>
      <w:r>
        <w:t>–</w:t>
      </w:r>
      <w:r w:rsidRPr="009129E5">
        <w:t xml:space="preserve"> </w:t>
      </w:r>
      <w:r>
        <w:t xml:space="preserve">new ways of working </w:t>
      </w:r>
    </w:p>
    <w:p w:rsidR="00E25CC6" w:rsidRPr="00940C9E" w:rsidRDefault="00E25CC6" w:rsidP="009852FE">
      <w:r>
        <w:t>N</w:t>
      </w:r>
      <w:r w:rsidRPr="00940C9E">
        <w:t xml:space="preserve">ew and improved systems </w:t>
      </w:r>
      <w:r>
        <w:t xml:space="preserve">will be developed </w:t>
      </w:r>
      <w:r w:rsidRPr="00940C9E">
        <w:t>to enable information sharing across key sectors, including corrections, courts</w:t>
      </w:r>
      <w:r>
        <w:t>, health</w:t>
      </w:r>
      <w:r w:rsidRPr="00940C9E">
        <w:t xml:space="preserve"> and human services to better monitor perpetrators and hold them to account. </w:t>
      </w:r>
    </w:p>
    <w:p w:rsidR="00E25CC6" w:rsidRPr="00940C9E" w:rsidRDefault="00E25CC6" w:rsidP="009852FE">
      <w:r w:rsidRPr="00940C9E">
        <w:t>This initiative contributes to the Department of Justice and Regulation</w:t>
      </w:r>
      <w:r>
        <w:t>’</w:t>
      </w:r>
      <w:r w:rsidRPr="00940C9E">
        <w:t>s Community Based Offender Supervision output.</w:t>
      </w:r>
    </w:p>
    <w:p w:rsidR="00E25CC6" w:rsidRPr="00940C9E" w:rsidRDefault="00E25CC6" w:rsidP="009852FE">
      <w:pPr>
        <w:pStyle w:val="Heading4"/>
      </w:pPr>
      <w:r w:rsidRPr="00940C9E">
        <w:t>Respectful relationships for children and youth</w:t>
      </w:r>
    </w:p>
    <w:p w:rsidR="00E25CC6" w:rsidRPr="00940C9E" w:rsidRDefault="00E25CC6" w:rsidP="009852FE">
      <w:r w:rsidRPr="00940C9E">
        <w:t>Victorian school and kindergarten students will learn about respectful relationships to prevent family violence. Building on the Government</w:t>
      </w:r>
      <w:r>
        <w:t>’</w:t>
      </w:r>
      <w:r w:rsidRPr="00940C9E">
        <w:t xml:space="preserve">s Education State investments in 2016, additional curriculum material will be developed and teachers will receive training to help them teach the program. </w:t>
      </w:r>
    </w:p>
    <w:p w:rsidR="00E25CC6" w:rsidRDefault="00E25CC6" w:rsidP="009852FE">
      <w:r w:rsidRPr="00940C9E">
        <w:t>This initiative contributes to the Department of Education and Training</w:t>
      </w:r>
      <w:r>
        <w:t>’</w:t>
      </w:r>
      <w:r w:rsidRPr="00940C9E">
        <w:t>s</w:t>
      </w:r>
      <w:r>
        <w:t>:</w:t>
      </w:r>
    </w:p>
    <w:p w:rsidR="00E25CC6" w:rsidRPr="009B71D5" w:rsidRDefault="00E25CC6" w:rsidP="009B71D5">
      <w:pPr>
        <w:pStyle w:val="BulletText"/>
      </w:pPr>
      <w:r w:rsidRPr="009B71D5">
        <w:t>Early Childhood Development output</w:t>
      </w:r>
      <w:r>
        <w:t>;</w:t>
      </w:r>
      <w:r w:rsidRPr="009B71D5">
        <w:t xml:space="preserve"> </w:t>
      </w:r>
    </w:p>
    <w:p w:rsidR="00E25CC6" w:rsidRPr="009B71D5" w:rsidRDefault="00E25CC6" w:rsidP="009B71D5">
      <w:pPr>
        <w:pStyle w:val="BulletText"/>
      </w:pPr>
      <w:r w:rsidRPr="009B71D5">
        <w:t>School Education – Primary output</w:t>
      </w:r>
      <w:r>
        <w:t>;</w:t>
      </w:r>
      <w:r w:rsidRPr="009B71D5">
        <w:t xml:space="preserve"> and </w:t>
      </w:r>
    </w:p>
    <w:p w:rsidR="00E25CC6" w:rsidRPr="009B71D5" w:rsidRDefault="00E25CC6" w:rsidP="009B71D5">
      <w:pPr>
        <w:pStyle w:val="BulletText"/>
      </w:pPr>
      <w:r w:rsidRPr="009B71D5">
        <w:t>School Education – Secondary output.</w:t>
      </w:r>
    </w:p>
    <w:p w:rsidR="00E25CC6" w:rsidRPr="00612E2C" w:rsidRDefault="00E25CC6" w:rsidP="00195647">
      <w:pPr>
        <w:pStyle w:val="Heading4"/>
      </w:pPr>
      <w:r w:rsidRPr="00612E2C">
        <w:t xml:space="preserve">Specialist </w:t>
      </w:r>
      <w:r>
        <w:t xml:space="preserve">family violence </w:t>
      </w:r>
      <w:r w:rsidRPr="00612E2C">
        <w:t xml:space="preserve">navigators </w:t>
      </w:r>
    </w:p>
    <w:p w:rsidR="00E25CC6" w:rsidRPr="00940C9E" w:rsidRDefault="00E25CC6" w:rsidP="009852FE">
      <w:r w:rsidRPr="00940C9E">
        <w:t xml:space="preserve">New specialist </w:t>
      </w:r>
      <w:r>
        <w:t xml:space="preserve">family violence </w:t>
      </w:r>
      <w:r w:rsidRPr="00940C9E">
        <w:t xml:space="preserve">navigators will </w:t>
      </w:r>
      <w:r>
        <w:t>improve the safety of victims and children by ensuring services are co</w:t>
      </w:r>
      <w:r>
        <w:noBreakHyphen/>
        <w:t>ordinated and that clients have a single point of contact who will stick with them through their recovery. This initiative will be informed by co</w:t>
      </w:r>
      <w:r>
        <w:noBreakHyphen/>
        <w:t>design with victims of family violence and the people and organisations that support them</w:t>
      </w:r>
      <w:r w:rsidRPr="00940C9E">
        <w:t>.</w:t>
      </w:r>
    </w:p>
    <w:p w:rsidR="00E25CC6" w:rsidRPr="00612E2C" w:rsidRDefault="00E25CC6" w:rsidP="009852FE">
      <w:pPr>
        <w:pStyle w:val="Heading4"/>
      </w:pPr>
      <w:r w:rsidRPr="00612E2C">
        <w:t>Specialist support for family violence victims</w:t>
      </w:r>
    </w:p>
    <w:p w:rsidR="00E25CC6" w:rsidRDefault="00E25CC6" w:rsidP="009852FE">
      <w:pPr>
        <w:pStyle w:val="Heading5"/>
      </w:pPr>
      <w:r w:rsidRPr="009129E5">
        <w:t xml:space="preserve">Financial counselling </w:t>
      </w:r>
    </w:p>
    <w:p w:rsidR="00E25CC6" w:rsidRPr="00940C9E" w:rsidRDefault="00E25CC6" w:rsidP="009852FE">
      <w:r w:rsidRPr="00940C9E">
        <w:t xml:space="preserve">Specialist financial counsellors will support victims in financial distress, including through advocacy to banks, telecommunications companies and utility companies. Accredited family violence training for financial counsellors will improve responses to economic abuse. </w:t>
      </w:r>
    </w:p>
    <w:p w:rsidR="00E25CC6" w:rsidRPr="00940C9E" w:rsidRDefault="00E25CC6" w:rsidP="009852FE">
      <w:r w:rsidRPr="00940C9E">
        <w:t>This initiative contributes to the Department of Health and Human Services</w:t>
      </w:r>
      <w:r>
        <w:t>’</w:t>
      </w:r>
      <w:r w:rsidRPr="00940C9E">
        <w:t xml:space="preserve"> Child Protection and Family Services output.</w:t>
      </w:r>
    </w:p>
    <w:p w:rsidR="00E25CC6" w:rsidRDefault="00E25CC6" w:rsidP="009852FE">
      <w:pPr>
        <w:pStyle w:val="Heading5"/>
      </w:pPr>
      <w:r>
        <w:t xml:space="preserve">Flexible </w:t>
      </w:r>
      <w:r w:rsidRPr="009129E5">
        <w:t xml:space="preserve">support </w:t>
      </w:r>
    </w:p>
    <w:p w:rsidR="00E25CC6" w:rsidRPr="00940C9E" w:rsidRDefault="00E25CC6" w:rsidP="009852FE">
      <w:r w:rsidRPr="00940C9E">
        <w:t xml:space="preserve">Tailored support, including case management will improve crisis responses to victims. Additional outreach services will address increased L17 (police) referrals. </w:t>
      </w:r>
    </w:p>
    <w:p w:rsidR="00E25CC6" w:rsidRPr="00940C9E" w:rsidRDefault="00E25CC6" w:rsidP="009852FE">
      <w:r w:rsidRPr="00940C9E">
        <w:t>This initiative contributes to the Department of Health and Human Services</w:t>
      </w:r>
      <w:r>
        <w:t>’</w:t>
      </w:r>
      <w:r w:rsidRPr="00940C9E">
        <w:t xml:space="preserve"> </w:t>
      </w:r>
      <w:r>
        <w:t>Housing Assistance</w:t>
      </w:r>
      <w:r w:rsidRPr="00940C9E">
        <w:t xml:space="preserve"> output. </w:t>
      </w:r>
    </w:p>
    <w:p w:rsidR="00E25CC6" w:rsidRDefault="00E25CC6" w:rsidP="009852FE">
      <w:pPr>
        <w:pStyle w:val="Heading5"/>
      </w:pPr>
      <w:r w:rsidRPr="009129E5">
        <w:t>Statewide crisis responses</w:t>
      </w:r>
    </w:p>
    <w:p w:rsidR="00E25CC6" w:rsidRPr="00940C9E" w:rsidRDefault="00E25CC6" w:rsidP="009852FE">
      <w:r w:rsidRPr="00940C9E">
        <w:t xml:space="preserve">Increased 24/7 helpline support </w:t>
      </w:r>
      <w:r>
        <w:t xml:space="preserve">will be provided </w:t>
      </w:r>
      <w:r w:rsidRPr="00940C9E">
        <w:t>through the community organisation, Safe Steps</w:t>
      </w:r>
      <w:r>
        <w:t>, to</w:t>
      </w:r>
      <w:r w:rsidRPr="00940C9E">
        <w:t xml:space="preserve"> address demand </w:t>
      </w:r>
      <w:r>
        <w:t>for</w:t>
      </w:r>
      <w:r w:rsidRPr="00940C9E">
        <w:t xml:space="preserve"> services</w:t>
      </w:r>
      <w:r>
        <w:t xml:space="preserve"> and increase capacity to respond to victims from diverse backgrounds</w:t>
      </w:r>
      <w:r w:rsidRPr="00940C9E">
        <w:t xml:space="preserve">. </w:t>
      </w:r>
    </w:p>
    <w:p w:rsidR="00E25CC6" w:rsidRPr="00940C9E" w:rsidRDefault="00E25CC6" w:rsidP="009852FE">
      <w:r w:rsidRPr="00940C9E">
        <w:t>This initiative contributes to the Department of Health and Human Services</w:t>
      </w:r>
      <w:r>
        <w:t>’</w:t>
      </w:r>
      <w:r w:rsidRPr="00940C9E">
        <w:t xml:space="preserve"> </w:t>
      </w:r>
      <w:r>
        <w:t>Housing Assistance</w:t>
      </w:r>
      <w:r w:rsidRPr="00940C9E">
        <w:t xml:space="preserve"> output. </w:t>
      </w:r>
    </w:p>
    <w:p w:rsidR="00E25CC6" w:rsidRDefault="00E25CC6" w:rsidP="009852FE">
      <w:pPr>
        <w:pStyle w:val="Heading5"/>
      </w:pPr>
      <w:r w:rsidRPr="009129E5">
        <w:t xml:space="preserve">Therapeutic interventions </w:t>
      </w:r>
    </w:p>
    <w:p w:rsidR="00E25CC6" w:rsidRPr="00940C9E" w:rsidRDefault="00E25CC6" w:rsidP="009852FE">
      <w:r w:rsidRPr="00940C9E">
        <w:t xml:space="preserve">Therapeutic support will provide </w:t>
      </w:r>
      <w:r w:rsidRPr="00772741">
        <w:t>up to 40 weeks of intensive</w:t>
      </w:r>
      <w:r w:rsidRPr="00940C9E">
        <w:t xml:space="preserve"> support through counsellors to </w:t>
      </w:r>
      <w:r>
        <w:t>support</w:t>
      </w:r>
      <w:r w:rsidRPr="00940C9E">
        <w:t xml:space="preserve"> victim recovery.</w:t>
      </w:r>
    </w:p>
    <w:p w:rsidR="00E25CC6" w:rsidRPr="00940C9E" w:rsidRDefault="00E25CC6" w:rsidP="009852FE">
      <w:r w:rsidRPr="00940C9E">
        <w:t>This initiative contributes to the Department of Health and Human Services</w:t>
      </w:r>
      <w:r>
        <w:t>’</w:t>
      </w:r>
      <w:r w:rsidRPr="00940C9E">
        <w:t xml:space="preserve"> Child Protection and Family Services output. </w:t>
      </w:r>
    </w:p>
    <w:p w:rsidR="00E25CC6" w:rsidRPr="00612E2C" w:rsidRDefault="00E25CC6" w:rsidP="009852FE">
      <w:pPr>
        <w:pStyle w:val="Heading4"/>
      </w:pPr>
      <w:r w:rsidRPr="00612E2C">
        <w:t>Support for vulnerable children</w:t>
      </w:r>
    </w:p>
    <w:p w:rsidR="00E25CC6" w:rsidRDefault="00E25CC6" w:rsidP="009852FE">
      <w:pPr>
        <w:pStyle w:val="Heading5"/>
      </w:pPr>
      <w:r w:rsidRPr="009129E5">
        <w:t>Child protection enhancements</w:t>
      </w:r>
    </w:p>
    <w:p w:rsidR="00E25CC6" w:rsidRPr="00940C9E" w:rsidRDefault="00E25CC6" w:rsidP="009852FE">
      <w:r w:rsidRPr="00940C9E">
        <w:t>Additional child protection practitioners will address demand pressures</w:t>
      </w:r>
      <w:r>
        <w:t>, support recommendations from the Royal Commission into Family Violence</w:t>
      </w:r>
      <w:r w:rsidRPr="00940C9E">
        <w:t xml:space="preserve"> and undertake case planning to secure </w:t>
      </w:r>
      <w:r>
        <w:t>stability</w:t>
      </w:r>
      <w:r w:rsidRPr="00940C9E">
        <w:t xml:space="preserve"> for children. The positions will support information sharing with Victoria Police, Corrections Victoria and the Federal Court of Australia, and enable critical client information to be shared between States and Territories.</w:t>
      </w:r>
    </w:p>
    <w:p w:rsidR="00E25CC6" w:rsidRPr="00940C9E" w:rsidRDefault="00E25CC6" w:rsidP="009852FE">
      <w:r w:rsidRPr="00940C9E">
        <w:t>This initiative contributes to the Department of Health and Human Services</w:t>
      </w:r>
      <w:r>
        <w:t>’</w:t>
      </w:r>
      <w:r w:rsidRPr="00940C9E">
        <w:t xml:space="preserve"> Child Protection and Family Services output.</w:t>
      </w:r>
      <w:r w:rsidRPr="002D2E5D">
        <w:t xml:space="preserve"> </w:t>
      </w:r>
      <w:r>
        <w:fldChar w:fldCharType="begin"/>
      </w:r>
      <w:r>
        <w:instrText xml:space="preserve"> XE "</w:instrText>
      </w:r>
      <w:r w:rsidRPr="00414B74">
        <w:instrText>Family Violence:Royal Commission into Family Violence</w:instrText>
      </w:r>
      <w:r>
        <w:instrText xml:space="preserve">" </w:instrText>
      </w:r>
      <w:r>
        <w:fldChar w:fldCharType="end"/>
      </w:r>
    </w:p>
    <w:p w:rsidR="00E25CC6" w:rsidRDefault="00E25CC6" w:rsidP="009852FE">
      <w:pPr>
        <w:pStyle w:val="Heading5"/>
      </w:pPr>
      <w:r w:rsidRPr="009129E5">
        <w:t xml:space="preserve">Child Protection Specialist Intervention Unit </w:t>
      </w:r>
    </w:p>
    <w:p w:rsidR="00E25CC6" w:rsidRPr="00940C9E" w:rsidRDefault="00E25CC6" w:rsidP="009852FE">
      <w:r w:rsidRPr="00940C9E">
        <w:t>The Child Protection Specialist Intervention Unit will continue to provide on</w:t>
      </w:r>
      <w:r>
        <w:noBreakHyphen/>
      </w:r>
      <w:r w:rsidRPr="00940C9E">
        <w:t xml:space="preserve">site support to child protection areas experiencing operational pressures. </w:t>
      </w:r>
    </w:p>
    <w:p w:rsidR="00E25CC6" w:rsidRPr="00940C9E" w:rsidRDefault="00E25CC6" w:rsidP="009852FE">
      <w:r w:rsidRPr="00940C9E">
        <w:t>This initiative contributes to the Department of Health and Human Services</w:t>
      </w:r>
      <w:r>
        <w:t>’</w:t>
      </w:r>
      <w:r w:rsidRPr="00940C9E">
        <w:t xml:space="preserve"> Child Protection and Family Services output.</w:t>
      </w:r>
    </w:p>
    <w:p w:rsidR="00E25CC6" w:rsidRPr="00202DED" w:rsidRDefault="00E25CC6" w:rsidP="009852FE">
      <w:pPr>
        <w:pStyle w:val="Heading5"/>
      </w:pPr>
      <w:r w:rsidRPr="00202DED">
        <w:t>Increased support for children and carers</w:t>
      </w:r>
    </w:p>
    <w:p w:rsidR="00E25CC6" w:rsidRPr="00940C9E" w:rsidRDefault="00E25CC6" w:rsidP="009852FE">
      <w:pPr>
        <w:rPr>
          <w:bCs/>
          <w:szCs w:val="24"/>
        </w:rPr>
      </w:pPr>
      <w:r w:rsidRPr="00940C9E">
        <w:rPr>
          <w:bCs/>
          <w:szCs w:val="24"/>
        </w:rPr>
        <w:t xml:space="preserve">The initiative addresses barriers to the recruitment and retention of foster, kinship and permanent carers, by providing additional funding to </w:t>
      </w:r>
      <w:r>
        <w:rPr>
          <w:bCs/>
          <w:szCs w:val="24"/>
        </w:rPr>
        <w:t>support the children with the most complex needs</w:t>
      </w:r>
      <w:r w:rsidRPr="00940C9E">
        <w:rPr>
          <w:bCs/>
          <w:szCs w:val="24"/>
        </w:rPr>
        <w:t xml:space="preserve"> (e.g. education and training costs, childcare, and essential transport). Training will also be provided to foster and kinship carers when a placement is at risk of breaking down, and a new helpline will be provided for permanent carers.</w:t>
      </w:r>
    </w:p>
    <w:p w:rsidR="00E25CC6" w:rsidRPr="00357F2F" w:rsidRDefault="00E25CC6" w:rsidP="00357F2F">
      <w:pPr>
        <w:rPr>
          <w:bCs/>
          <w:szCs w:val="24"/>
        </w:rPr>
      </w:pPr>
      <w:r w:rsidRPr="00940C9E">
        <w:rPr>
          <w:bCs/>
          <w:szCs w:val="24"/>
        </w:rPr>
        <w:t>This initiative contributes to the Department of Health and Human Services</w:t>
      </w:r>
      <w:r>
        <w:rPr>
          <w:bCs/>
          <w:szCs w:val="24"/>
        </w:rPr>
        <w:t>’</w:t>
      </w:r>
      <w:r w:rsidRPr="00940C9E">
        <w:rPr>
          <w:bCs/>
          <w:szCs w:val="24"/>
        </w:rPr>
        <w:t xml:space="preserve"> Child Protect</w:t>
      </w:r>
      <w:r>
        <w:rPr>
          <w:bCs/>
          <w:szCs w:val="24"/>
        </w:rPr>
        <w:t>ion and Family Services output.</w:t>
      </w:r>
    </w:p>
    <w:p w:rsidR="00E25CC6" w:rsidRDefault="00E25CC6" w:rsidP="009852FE">
      <w:pPr>
        <w:pStyle w:val="Heading5"/>
      </w:pPr>
      <w:r w:rsidRPr="009129E5">
        <w:t>Integrated family services</w:t>
      </w:r>
    </w:p>
    <w:p w:rsidR="00E25CC6" w:rsidRPr="00940C9E" w:rsidRDefault="00E25CC6" w:rsidP="009852FE">
      <w:r w:rsidRPr="00940C9E">
        <w:t xml:space="preserve">Additional support will be provided to </w:t>
      </w:r>
      <w:r>
        <w:t>families</w:t>
      </w:r>
      <w:r w:rsidRPr="00940C9E">
        <w:t xml:space="preserve"> to meet projected demand for integrated family services in the next 12 months. Integrated family services seek to intervene early and identify need, address risk and support the changing needs of vulnerable children, young people and families. </w:t>
      </w:r>
    </w:p>
    <w:p w:rsidR="00E25CC6" w:rsidRPr="00940C9E" w:rsidRDefault="00E25CC6" w:rsidP="009852FE">
      <w:r w:rsidRPr="00940C9E">
        <w:t>This initiative contributes to the Department of Health and Human Services</w:t>
      </w:r>
      <w:r>
        <w:t>’</w:t>
      </w:r>
      <w:r w:rsidRPr="00940C9E">
        <w:t xml:space="preserve"> Child Protection and Family Services output.</w:t>
      </w:r>
    </w:p>
    <w:p w:rsidR="00E25CC6" w:rsidRDefault="00E25CC6" w:rsidP="009852FE">
      <w:pPr>
        <w:pStyle w:val="Heading5"/>
      </w:pPr>
      <w:r w:rsidRPr="009129E5">
        <w:t>Out</w:t>
      </w:r>
      <w:r>
        <w:noBreakHyphen/>
      </w:r>
      <w:r w:rsidRPr="009129E5">
        <w:t>of</w:t>
      </w:r>
      <w:r>
        <w:noBreakHyphen/>
      </w:r>
      <w:r w:rsidRPr="009129E5">
        <w:t xml:space="preserve">home care </w:t>
      </w:r>
      <w:r>
        <w:t>–</w:t>
      </w:r>
      <w:r w:rsidRPr="009129E5">
        <w:t xml:space="preserve"> stock renewal or replacement</w:t>
      </w:r>
    </w:p>
    <w:p w:rsidR="00E25CC6" w:rsidRPr="00940C9E" w:rsidRDefault="00E25CC6" w:rsidP="009852FE">
      <w:pPr>
        <w:rPr>
          <w:bCs/>
          <w:szCs w:val="24"/>
        </w:rPr>
      </w:pPr>
      <w:r w:rsidRPr="00940C9E">
        <w:rPr>
          <w:bCs/>
          <w:szCs w:val="24"/>
        </w:rPr>
        <w:t>Refer to the asset initiative for a description of this initiative.</w:t>
      </w:r>
    </w:p>
    <w:p w:rsidR="00E25CC6" w:rsidRDefault="00E25CC6" w:rsidP="009852FE">
      <w:pPr>
        <w:pStyle w:val="Heading5"/>
      </w:pPr>
      <w:r w:rsidRPr="009129E5">
        <w:t>Therape</w:t>
      </w:r>
      <w:r>
        <w:t>utic interventions – vulnerable</w:t>
      </w:r>
      <w:r w:rsidRPr="009129E5">
        <w:t xml:space="preserve"> children</w:t>
      </w:r>
    </w:p>
    <w:p w:rsidR="00E25CC6" w:rsidRPr="00940C9E" w:rsidRDefault="00E25CC6" w:rsidP="009852FE">
      <w:pPr>
        <w:rPr>
          <w:bCs/>
          <w:szCs w:val="24"/>
        </w:rPr>
      </w:pPr>
      <w:r w:rsidRPr="00940C9E">
        <w:rPr>
          <w:bCs/>
          <w:szCs w:val="24"/>
        </w:rPr>
        <w:t xml:space="preserve">Tailored long term therapeutic support and sexual assault counselling will </w:t>
      </w:r>
      <w:r>
        <w:rPr>
          <w:bCs/>
          <w:szCs w:val="24"/>
        </w:rPr>
        <w:t xml:space="preserve">be introduced to </w:t>
      </w:r>
      <w:r w:rsidRPr="00940C9E">
        <w:rPr>
          <w:bCs/>
          <w:szCs w:val="24"/>
        </w:rPr>
        <w:t xml:space="preserve">improve the recovery of children exposed to family violence. </w:t>
      </w:r>
    </w:p>
    <w:p w:rsidR="00E25CC6" w:rsidRPr="00940C9E" w:rsidRDefault="00E25CC6" w:rsidP="009852FE">
      <w:pPr>
        <w:rPr>
          <w:bCs/>
          <w:szCs w:val="24"/>
        </w:rPr>
      </w:pPr>
      <w:r w:rsidRPr="00940C9E">
        <w:rPr>
          <w:bCs/>
          <w:szCs w:val="24"/>
        </w:rPr>
        <w:t>This initiative contributes to the Department of Health and Human Services</w:t>
      </w:r>
      <w:r>
        <w:rPr>
          <w:bCs/>
          <w:szCs w:val="24"/>
        </w:rPr>
        <w:t>’</w:t>
      </w:r>
      <w:r w:rsidRPr="00940C9E">
        <w:rPr>
          <w:bCs/>
          <w:szCs w:val="24"/>
        </w:rPr>
        <w:t xml:space="preserve"> Child Protection and Family Services output. </w:t>
      </w:r>
    </w:p>
    <w:p w:rsidR="00E25CC6" w:rsidRPr="00202DED" w:rsidRDefault="00E25CC6" w:rsidP="009852FE">
      <w:pPr>
        <w:pStyle w:val="Heading5"/>
      </w:pPr>
      <w:r w:rsidRPr="00202DED">
        <w:t>Transitioning residential care targets to complex level of support</w:t>
      </w:r>
    </w:p>
    <w:p w:rsidR="00E25CC6" w:rsidRPr="00940C9E" w:rsidRDefault="00E25CC6" w:rsidP="009852FE">
      <w:pPr>
        <w:rPr>
          <w:bCs/>
          <w:szCs w:val="24"/>
        </w:rPr>
      </w:pPr>
      <w:r>
        <w:rPr>
          <w:bCs/>
          <w:szCs w:val="24"/>
        </w:rPr>
        <w:t>C</w:t>
      </w:r>
      <w:r w:rsidRPr="00940C9E">
        <w:rPr>
          <w:bCs/>
          <w:szCs w:val="24"/>
        </w:rPr>
        <w:t xml:space="preserve">hildren in residential care </w:t>
      </w:r>
      <w:r>
        <w:rPr>
          <w:bCs/>
          <w:szCs w:val="24"/>
        </w:rPr>
        <w:t>will</w:t>
      </w:r>
      <w:r w:rsidRPr="00940C9E">
        <w:rPr>
          <w:bCs/>
          <w:szCs w:val="24"/>
        </w:rPr>
        <w:t xml:space="preserve"> receive </w:t>
      </w:r>
      <w:r>
        <w:rPr>
          <w:bCs/>
          <w:szCs w:val="24"/>
        </w:rPr>
        <w:t>‘</w:t>
      </w:r>
      <w:r w:rsidRPr="00940C9E">
        <w:rPr>
          <w:bCs/>
          <w:szCs w:val="24"/>
        </w:rPr>
        <w:t>stand</w:t>
      </w:r>
      <w:r>
        <w:rPr>
          <w:bCs/>
          <w:szCs w:val="24"/>
        </w:rPr>
        <w:noBreakHyphen/>
      </w:r>
      <w:r w:rsidRPr="00940C9E">
        <w:rPr>
          <w:bCs/>
          <w:szCs w:val="24"/>
        </w:rPr>
        <w:t>up</w:t>
      </w:r>
      <w:r>
        <w:rPr>
          <w:bCs/>
          <w:szCs w:val="24"/>
        </w:rPr>
        <w:t>’</w:t>
      </w:r>
      <w:r w:rsidRPr="00940C9E">
        <w:rPr>
          <w:bCs/>
          <w:szCs w:val="24"/>
        </w:rPr>
        <w:t xml:space="preserve"> staffing in units throughout the night, as well as daytime care. This will improve the care, safety and supervision of children and young people in residential care.</w:t>
      </w:r>
    </w:p>
    <w:p w:rsidR="00E25CC6" w:rsidRDefault="00E25CC6" w:rsidP="009852FE">
      <w:pPr>
        <w:rPr>
          <w:bCs/>
          <w:szCs w:val="24"/>
        </w:rPr>
      </w:pPr>
      <w:r w:rsidRPr="00940C9E">
        <w:rPr>
          <w:bCs/>
          <w:szCs w:val="24"/>
        </w:rPr>
        <w:t>This initiative contributes to the Department of Health and Human Services</w:t>
      </w:r>
      <w:r>
        <w:rPr>
          <w:bCs/>
          <w:szCs w:val="24"/>
        </w:rPr>
        <w:t>’</w:t>
      </w:r>
      <w:r w:rsidRPr="00940C9E">
        <w:rPr>
          <w:bCs/>
          <w:szCs w:val="24"/>
        </w:rPr>
        <w:t xml:space="preserve"> Child Protection and Family Services output.</w:t>
      </w:r>
    </w:p>
    <w:p w:rsidR="00E25CC6" w:rsidRDefault="00E25CC6" w:rsidP="004B5203">
      <w:pPr>
        <w:pStyle w:val="Heading5"/>
      </w:pPr>
      <w:r>
        <w:t>Y</w:t>
      </w:r>
      <w:r w:rsidRPr="009129E5">
        <w:t xml:space="preserve">outh diversion program </w:t>
      </w:r>
    </w:p>
    <w:p w:rsidR="00E25CC6" w:rsidRPr="00940C9E" w:rsidRDefault="00E25CC6" w:rsidP="004B5203">
      <w:pPr>
        <w:rPr>
          <w:bCs/>
          <w:szCs w:val="24"/>
        </w:rPr>
      </w:pPr>
      <w:r w:rsidRPr="00940C9E">
        <w:rPr>
          <w:bCs/>
          <w:szCs w:val="24"/>
        </w:rPr>
        <w:t>The bail supervision and youth diversion programs</w:t>
      </w:r>
      <w:r>
        <w:rPr>
          <w:bCs/>
          <w:szCs w:val="24"/>
        </w:rPr>
        <w:t xml:space="preserve"> will be expanded</w:t>
      </w:r>
      <w:r w:rsidRPr="00940C9E">
        <w:rPr>
          <w:bCs/>
          <w:szCs w:val="24"/>
        </w:rPr>
        <w:t>. The bail supervision program provides early intervention for you</w:t>
      </w:r>
      <w:r>
        <w:rPr>
          <w:bCs/>
          <w:szCs w:val="24"/>
        </w:rPr>
        <w:t>ng people charged with offences</w:t>
      </w:r>
      <w:r w:rsidRPr="00940C9E">
        <w:rPr>
          <w:bCs/>
          <w:szCs w:val="24"/>
        </w:rPr>
        <w:t xml:space="preserve">. The youth diversion program allows young people who have committed less serious offences to </w:t>
      </w:r>
      <w:r>
        <w:rPr>
          <w:bCs/>
          <w:szCs w:val="24"/>
        </w:rPr>
        <w:t>have a second chance</w:t>
      </w:r>
      <w:r w:rsidRPr="00940C9E">
        <w:rPr>
          <w:bCs/>
          <w:szCs w:val="24"/>
        </w:rPr>
        <w:t>.</w:t>
      </w:r>
      <w:r>
        <w:rPr>
          <w:bCs/>
          <w:szCs w:val="24"/>
        </w:rPr>
        <w:t xml:space="preserve"> </w:t>
      </w:r>
    </w:p>
    <w:p w:rsidR="00E25CC6" w:rsidRPr="00940C9E" w:rsidRDefault="00E25CC6" w:rsidP="004B5203">
      <w:pPr>
        <w:rPr>
          <w:bCs/>
          <w:szCs w:val="24"/>
        </w:rPr>
      </w:pPr>
      <w:r w:rsidRPr="00940C9E">
        <w:rPr>
          <w:bCs/>
          <w:szCs w:val="24"/>
        </w:rPr>
        <w:t>This initiative contributes to the Department of Healt</w:t>
      </w:r>
      <w:r>
        <w:rPr>
          <w:bCs/>
          <w:szCs w:val="24"/>
        </w:rPr>
        <w:t>h and Human Services’ Community</w:t>
      </w:r>
      <w:r>
        <w:rPr>
          <w:bCs/>
          <w:szCs w:val="24"/>
        </w:rPr>
        <w:noBreakHyphen/>
      </w:r>
      <w:r w:rsidRPr="00940C9E">
        <w:rPr>
          <w:bCs/>
          <w:szCs w:val="24"/>
        </w:rPr>
        <w:t>based Services output.</w:t>
      </w:r>
      <w:r>
        <w:rPr>
          <w:bCs/>
          <w:szCs w:val="24"/>
        </w:rPr>
        <w:t xml:space="preserve"> </w:t>
      </w:r>
    </w:p>
    <w:p w:rsidR="00E25CC6" w:rsidRDefault="00E25CC6">
      <w:pPr>
        <w:spacing w:after="0"/>
        <w:rPr>
          <w:rFonts w:ascii="Calibri" w:hAnsi="Calibri"/>
          <w:i/>
          <w:sz w:val="24"/>
          <w:szCs w:val="22"/>
        </w:rPr>
      </w:pPr>
      <w:r>
        <w:br w:type="page"/>
      </w:r>
    </w:p>
    <w:p w:rsidR="00E25CC6" w:rsidRPr="00612E2C" w:rsidRDefault="00E25CC6" w:rsidP="009852FE">
      <w:pPr>
        <w:pStyle w:val="Heading4"/>
      </w:pPr>
      <w:r w:rsidRPr="00612E2C">
        <w:t>Targeted prevention initiatives for all Victorians</w:t>
      </w:r>
    </w:p>
    <w:p w:rsidR="00E25CC6" w:rsidRDefault="00E25CC6" w:rsidP="009852FE">
      <w:pPr>
        <w:pStyle w:val="Heading5"/>
      </w:pPr>
      <w:r w:rsidRPr="009129E5">
        <w:t xml:space="preserve">Preventing family violence in diverse communities </w:t>
      </w:r>
    </w:p>
    <w:p w:rsidR="00E25CC6" w:rsidRPr="00940C9E" w:rsidRDefault="00E25CC6" w:rsidP="009852FE">
      <w:pPr>
        <w:rPr>
          <w:bCs/>
          <w:szCs w:val="24"/>
        </w:rPr>
      </w:pPr>
      <w:r w:rsidRPr="00940C9E">
        <w:rPr>
          <w:bCs/>
          <w:szCs w:val="24"/>
        </w:rPr>
        <w:t xml:space="preserve">The Government will deliver initiatives addressing the varied experiences and causes of family violence in many communities including </w:t>
      </w:r>
      <w:r>
        <w:rPr>
          <w:bCs/>
          <w:szCs w:val="24"/>
        </w:rPr>
        <w:t xml:space="preserve">the </w:t>
      </w:r>
      <w:r w:rsidRPr="00940C9E">
        <w:rPr>
          <w:bCs/>
          <w:szCs w:val="24"/>
        </w:rPr>
        <w:t>LGBTI community, Aborigi</w:t>
      </w:r>
      <w:r>
        <w:rPr>
          <w:bCs/>
          <w:szCs w:val="24"/>
        </w:rPr>
        <w:t>nal community, people with</w:t>
      </w:r>
      <w:r w:rsidRPr="00940C9E">
        <w:rPr>
          <w:bCs/>
          <w:szCs w:val="24"/>
        </w:rPr>
        <w:t xml:space="preserve"> disability, the elderly and people in rural and regional communities. Initiatives will be designed in</w:t>
      </w:r>
      <w:r>
        <w:rPr>
          <w:bCs/>
          <w:szCs w:val="24"/>
        </w:rPr>
        <w:t xml:space="preserve"> consultation with communities</w:t>
      </w:r>
      <w:r w:rsidRPr="00940C9E">
        <w:rPr>
          <w:bCs/>
          <w:szCs w:val="24"/>
        </w:rPr>
        <w:t>.</w:t>
      </w:r>
    </w:p>
    <w:p w:rsidR="00E25CC6" w:rsidRPr="00357F2F" w:rsidRDefault="00E25CC6" w:rsidP="00357F2F">
      <w:pPr>
        <w:rPr>
          <w:bCs/>
          <w:szCs w:val="24"/>
        </w:rPr>
      </w:pPr>
      <w:r w:rsidRPr="00940C9E">
        <w:rPr>
          <w:bCs/>
          <w:szCs w:val="24"/>
        </w:rPr>
        <w:t>This initiative contributes to the Department of Premier and Cabinet</w:t>
      </w:r>
      <w:r>
        <w:rPr>
          <w:bCs/>
          <w:szCs w:val="24"/>
        </w:rPr>
        <w:t>’</w:t>
      </w:r>
      <w:r w:rsidRPr="00940C9E">
        <w:rPr>
          <w:bCs/>
          <w:szCs w:val="24"/>
        </w:rPr>
        <w:t xml:space="preserve">s </w:t>
      </w:r>
      <w:r>
        <w:rPr>
          <w:bCs/>
          <w:szCs w:val="24"/>
        </w:rPr>
        <w:t>W</w:t>
      </w:r>
      <w:r w:rsidRPr="00940C9E">
        <w:rPr>
          <w:bCs/>
          <w:szCs w:val="24"/>
        </w:rPr>
        <w:t>omen</w:t>
      </w:r>
      <w:r>
        <w:rPr>
          <w:bCs/>
          <w:szCs w:val="24"/>
        </w:rPr>
        <w:t>, the Prevention of Family Violence and LGBTI Equality P</w:t>
      </w:r>
      <w:r w:rsidRPr="00940C9E">
        <w:rPr>
          <w:bCs/>
          <w:szCs w:val="24"/>
        </w:rPr>
        <w:t xml:space="preserve">olicy and </w:t>
      </w:r>
      <w:r>
        <w:rPr>
          <w:bCs/>
          <w:szCs w:val="24"/>
        </w:rPr>
        <w:t>Programs output.</w:t>
      </w:r>
    </w:p>
    <w:p w:rsidR="00E25CC6" w:rsidRDefault="00E25CC6" w:rsidP="009852FE">
      <w:pPr>
        <w:pStyle w:val="Heading5"/>
      </w:pPr>
      <w:r w:rsidRPr="009129E5">
        <w:t>Reaching all Victorians where they live, work and play</w:t>
      </w:r>
    </w:p>
    <w:p w:rsidR="00E25CC6" w:rsidRPr="00940C9E" w:rsidRDefault="00E25CC6" w:rsidP="009852FE">
      <w:pPr>
        <w:rPr>
          <w:bCs/>
          <w:szCs w:val="24"/>
        </w:rPr>
      </w:pPr>
      <w:r w:rsidRPr="00940C9E">
        <w:rPr>
          <w:bCs/>
          <w:szCs w:val="24"/>
        </w:rPr>
        <w:t xml:space="preserve">Major campaigns will </w:t>
      </w:r>
      <w:r>
        <w:rPr>
          <w:bCs/>
          <w:szCs w:val="24"/>
        </w:rPr>
        <w:t>be undertaken</w:t>
      </w:r>
      <w:r w:rsidRPr="00940C9E">
        <w:rPr>
          <w:bCs/>
          <w:szCs w:val="24"/>
        </w:rPr>
        <w:t xml:space="preserve"> to change attitudes and behaviours that lead to violence ag</w:t>
      </w:r>
      <w:r>
        <w:rPr>
          <w:bCs/>
          <w:szCs w:val="24"/>
        </w:rPr>
        <w:t>ainst women and children. State</w:t>
      </w:r>
      <w:r w:rsidRPr="00940C9E">
        <w:rPr>
          <w:bCs/>
          <w:szCs w:val="24"/>
        </w:rPr>
        <w:t>wide education and awareness</w:t>
      </w:r>
      <w:r>
        <w:rPr>
          <w:bCs/>
          <w:szCs w:val="24"/>
        </w:rPr>
        <w:noBreakHyphen/>
      </w:r>
      <w:r w:rsidRPr="00940C9E">
        <w:rPr>
          <w:bCs/>
          <w:szCs w:val="24"/>
        </w:rPr>
        <w:t>raising activities will be tailored to Victorian communities in consultation with victims and sector participants. The initiative will maintain prevention projects targeting key settings (workplaces and local governments) and populations (women with disabilities), as well as fund the National Campaign to Reduce Violence Against Women and their Children.</w:t>
      </w:r>
    </w:p>
    <w:p w:rsidR="00E25CC6" w:rsidRPr="00940C9E" w:rsidRDefault="00E25CC6" w:rsidP="00D53C66">
      <w:pPr>
        <w:rPr>
          <w:bCs/>
          <w:szCs w:val="24"/>
        </w:rPr>
      </w:pPr>
      <w:r w:rsidRPr="00940C9E">
        <w:rPr>
          <w:bCs/>
          <w:szCs w:val="24"/>
        </w:rPr>
        <w:t>This initiative contributes to the Department of Premier and Cabinet</w:t>
      </w:r>
      <w:r>
        <w:rPr>
          <w:bCs/>
          <w:szCs w:val="24"/>
        </w:rPr>
        <w:t>’</w:t>
      </w:r>
      <w:r w:rsidRPr="00940C9E">
        <w:rPr>
          <w:bCs/>
          <w:szCs w:val="24"/>
        </w:rPr>
        <w:t xml:space="preserve">s </w:t>
      </w:r>
      <w:r>
        <w:rPr>
          <w:bCs/>
          <w:szCs w:val="24"/>
        </w:rPr>
        <w:t>W</w:t>
      </w:r>
      <w:r w:rsidRPr="00940C9E">
        <w:rPr>
          <w:bCs/>
          <w:szCs w:val="24"/>
        </w:rPr>
        <w:t>omen</w:t>
      </w:r>
      <w:r>
        <w:rPr>
          <w:bCs/>
          <w:szCs w:val="24"/>
        </w:rPr>
        <w:t>, the Prevention of Family Violence and LGBTI Equality p</w:t>
      </w:r>
      <w:r w:rsidRPr="00940C9E">
        <w:rPr>
          <w:bCs/>
          <w:szCs w:val="24"/>
        </w:rPr>
        <w:t xml:space="preserve">olicy and </w:t>
      </w:r>
      <w:r>
        <w:rPr>
          <w:bCs/>
          <w:szCs w:val="24"/>
        </w:rPr>
        <w:t>p</w:t>
      </w:r>
      <w:r w:rsidRPr="00940C9E">
        <w:rPr>
          <w:bCs/>
          <w:szCs w:val="24"/>
        </w:rPr>
        <w:t>rograms output.</w:t>
      </w:r>
    </w:p>
    <w:p w:rsidR="00E25CC6" w:rsidRDefault="00E25CC6" w:rsidP="009852FE">
      <w:pPr>
        <w:pStyle w:val="Heading5"/>
      </w:pPr>
      <w:r w:rsidRPr="009129E5">
        <w:t>Targeted initi</w:t>
      </w:r>
      <w:r>
        <w:t>at</w:t>
      </w:r>
      <w:r w:rsidRPr="009129E5">
        <w:t>i</w:t>
      </w:r>
      <w:r>
        <w:t>v</w:t>
      </w:r>
      <w:r w:rsidRPr="009129E5">
        <w:t>es for adolescents</w:t>
      </w:r>
    </w:p>
    <w:p w:rsidR="00E25CC6" w:rsidRPr="00940C9E" w:rsidRDefault="00E25CC6" w:rsidP="009852FE">
      <w:pPr>
        <w:rPr>
          <w:bCs/>
          <w:szCs w:val="24"/>
        </w:rPr>
      </w:pPr>
      <w:r w:rsidRPr="00940C9E">
        <w:rPr>
          <w:bCs/>
          <w:szCs w:val="24"/>
        </w:rPr>
        <w:t>Targeted initiatives for disengaged youth will promote prevention through research and awareness</w:t>
      </w:r>
      <w:r>
        <w:rPr>
          <w:bCs/>
          <w:szCs w:val="24"/>
        </w:rPr>
        <w:noBreakHyphen/>
      </w:r>
      <w:r w:rsidRPr="00940C9E">
        <w:rPr>
          <w:bCs/>
          <w:szCs w:val="24"/>
        </w:rPr>
        <w:t xml:space="preserve">raising. </w:t>
      </w:r>
    </w:p>
    <w:p w:rsidR="00E25CC6" w:rsidRPr="00940C9E" w:rsidRDefault="00E25CC6" w:rsidP="00D53C66">
      <w:pPr>
        <w:rPr>
          <w:bCs/>
          <w:szCs w:val="24"/>
        </w:rPr>
      </w:pPr>
      <w:r w:rsidRPr="00940C9E">
        <w:rPr>
          <w:bCs/>
          <w:szCs w:val="24"/>
        </w:rPr>
        <w:t>This initiative contributes to the Department of Premier and Cabinet</w:t>
      </w:r>
      <w:r>
        <w:rPr>
          <w:bCs/>
          <w:szCs w:val="24"/>
        </w:rPr>
        <w:t>’</w:t>
      </w:r>
      <w:r w:rsidRPr="00940C9E">
        <w:rPr>
          <w:bCs/>
          <w:szCs w:val="24"/>
        </w:rPr>
        <w:t xml:space="preserve">s </w:t>
      </w:r>
      <w:r>
        <w:rPr>
          <w:bCs/>
          <w:szCs w:val="24"/>
        </w:rPr>
        <w:t>W</w:t>
      </w:r>
      <w:r w:rsidRPr="00940C9E">
        <w:rPr>
          <w:bCs/>
          <w:szCs w:val="24"/>
        </w:rPr>
        <w:t>omen</w:t>
      </w:r>
      <w:r>
        <w:rPr>
          <w:bCs/>
          <w:szCs w:val="24"/>
        </w:rPr>
        <w:t>, the Prevention of Family Violence and LGBTI Equality p</w:t>
      </w:r>
      <w:r w:rsidRPr="00940C9E">
        <w:rPr>
          <w:bCs/>
          <w:szCs w:val="24"/>
        </w:rPr>
        <w:t xml:space="preserve">olicy and </w:t>
      </w:r>
      <w:r>
        <w:rPr>
          <w:bCs/>
          <w:szCs w:val="24"/>
        </w:rPr>
        <w:t>p</w:t>
      </w:r>
      <w:r w:rsidRPr="00940C9E">
        <w:rPr>
          <w:bCs/>
          <w:szCs w:val="24"/>
        </w:rPr>
        <w:t>rograms output.</w:t>
      </w:r>
    </w:p>
    <w:p w:rsidR="00E25CC6" w:rsidRPr="001A6226" w:rsidRDefault="00E25CC6" w:rsidP="009868BF">
      <w:pPr>
        <w:pStyle w:val="Heading5"/>
      </w:pPr>
      <w:r w:rsidRPr="009129E5">
        <w:t>Targeted initiatives for adults</w:t>
      </w:r>
    </w:p>
    <w:p w:rsidR="00E25CC6" w:rsidRPr="00940C9E" w:rsidRDefault="00E25CC6" w:rsidP="009852FE">
      <w:pPr>
        <w:rPr>
          <w:bCs/>
          <w:szCs w:val="24"/>
        </w:rPr>
      </w:pPr>
      <w:r w:rsidRPr="00940C9E">
        <w:rPr>
          <w:bCs/>
          <w:szCs w:val="24"/>
        </w:rPr>
        <w:t>The Government will target workplaces and the broader community to embed a culture of equality amongst Victoria</w:t>
      </w:r>
      <w:r>
        <w:rPr>
          <w:bCs/>
          <w:szCs w:val="24"/>
        </w:rPr>
        <w:t>’</w:t>
      </w:r>
      <w:r w:rsidRPr="00940C9E">
        <w:rPr>
          <w:bCs/>
          <w:szCs w:val="24"/>
        </w:rPr>
        <w:t>s workforce. Initiatives will focus on workforce development, education and bystander programs.</w:t>
      </w:r>
    </w:p>
    <w:p w:rsidR="00E25CC6" w:rsidRPr="00940C9E" w:rsidRDefault="00E25CC6" w:rsidP="00D53C66">
      <w:pPr>
        <w:rPr>
          <w:bCs/>
          <w:szCs w:val="24"/>
        </w:rPr>
      </w:pPr>
      <w:r w:rsidRPr="00940C9E">
        <w:rPr>
          <w:bCs/>
          <w:szCs w:val="24"/>
        </w:rPr>
        <w:t>This initiative contributes to the Department of Premier and Cabinet</w:t>
      </w:r>
      <w:r>
        <w:rPr>
          <w:bCs/>
          <w:szCs w:val="24"/>
        </w:rPr>
        <w:t>’</w:t>
      </w:r>
      <w:r w:rsidRPr="00940C9E">
        <w:rPr>
          <w:bCs/>
          <w:szCs w:val="24"/>
        </w:rPr>
        <w:t xml:space="preserve">s </w:t>
      </w:r>
      <w:r>
        <w:rPr>
          <w:bCs/>
          <w:szCs w:val="24"/>
        </w:rPr>
        <w:t>W</w:t>
      </w:r>
      <w:r w:rsidRPr="00940C9E">
        <w:rPr>
          <w:bCs/>
          <w:szCs w:val="24"/>
        </w:rPr>
        <w:t>omen</w:t>
      </w:r>
      <w:r>
        <w:rPr>
          <w:bCs/>
          <w:szCs w:val="24"/>
        </w:rPr>
        <w:t>, the Prevention of Family Violence and LGBTI Equality p</w:t>
      </w:r>
      <w:r w:rsidRPr="00940C9E">
        <w:rPr>
          <w:bCs/>
          <w:szCs w:val="24"/>
        </w:rPr>
        <w:t xml:space="preserve">olicy and </w:t>
      </w:r>
      <w:r>
        <w:rPr>
          <w:bCs/>
          <w:szCs w:val="24"/>
        </w:rPr>
        <w:t>p</w:t>
      </w:r>
      <w:r w:rsidRPr="00940C9E">
        <w:rPr>
          <w:bCs/>
          <w:szCs w:val="24"/>
        </w:rPr>
        <w:t>rograms output.</w:t>
      </w:r>
    </w:p>
    <w:p w:rsidR="00E25CC6" w:rsidRDefault="00E25CC6" w:rsidP="00370675">
      <w:pPr>
        <w:pStyle w:val="Heading5"/>
      </w:pPr>
      <w:r>
        <w:t>Targeted initiatives for c</w:t>
      </w:r>
      <w:r w:rsidRPr="009129E5">
        <w:t xml:space="preserve">ulturally and linguistically diverse communities </w:t>
      </w:r>
    </w:p>
    <w:p w:rsidR="00E25CC6" w:rsidRPr="00940C9E" w:rsidRDefault="00E25CC6" w:rsidP="00370675">
      <w:pPr>
        <w:rPr>
          <w:bCs/>
          <w:szCs w:val="24"/>
        </w:rPr>
      </w:pPr>
      <w:r w:rsidRPr="00940C9E">
        <w:rPr>
          <w:bCs/>
          <w:szCs w:val="24"/>
        </w:rPr>
        <w:t xml:space="preserve">The Government will focus </w:t>
      </w:r>
      <w:r>
        <w:rPr>
          <w:bCs/>
          <w:szCs w:val="24"/>
        </w:rPr>
        <w:t xml:space="preserve">on </w:t>
      </w:r>
      <w:r w:rsidRPr="00940C9E">
        <w:rPr>
          <w:bCs/>
          <w:szCs w:val="24"/>
        </w:rPr>
        <w:t xml:space="preserve">engagement with </w:t>
      </w:r>
      <w:r>
        <w:rPr>
          <w:bCs/>
          <w:szCs w:val="24"/>
        </w:rPr>
        <w:t>diverse</w:t>
      </w:r>
      <w:r w:rsidRPr="00940C9E">
        <w:rPr>
          <w:bCs/>
          <w:szCs w:val="24"/>
        </w:rPr>
        <w:t xml:space="preserve"> communities around family violence prevention and gender equality. In addition, youth projects concentrating on respectful relationships in online and social media contexts will be delivered.</w:t>
      </w:r>
    </w:p>
    <w:p w:rsidR="00E25CC6" w:rsidRPr="00477F53" w:rsidRDefault="00E25CC6" w:rsidP="00477F53">
      <w:r w:rsidRPr="00940C9E">
        <w:t>This initiative contributes to the Department of Premier and Cabinet</w:t>
      </w:r>
      <w:r>
        <w:t>’</w:t>
      </w:r>
      <w:r w:rsidRPr="00940C9E">
        <w:t>s Multicultural Affairs</w:t>
      </w:r>
      <w:r>
        <w:t>, policy and programs output.</w:t>
      </w:r>
      <w:r w:rsidRPr="002D2E5D">
        <w:rPr>
          <w:rFonts w:eastAsiaTheme="minorEastAsia"/>
          <w:lang w:eastAsia="en-AU"/>
        </w:rPr>
        <w:t xml:space="preserve"> </w:t>
      </w:r>
      <w:r>
        <w:rPr>
          <w:rFonts w:eastAsiaTheme="minorEastAsia"/>
          <w:lang w:eastAsia="en-AU"/>
        </w:rPr>
        <w:fldChar w:fldCharType="begin"/>
      </w:r>
      <w:r>
        <w:instrText xml:space="preserve"> XE "</w:instrText>
      </w:r>
      <w:r w:rsidRPr="004A38E6">
        <w:instrText>Lesbian, Gay, Bisexual, Transgender and Intersexed (LGBTI)</w:instrText>
      </w:r>
      <w:r>
        <w:instrText xml:space="preserve">" </w:instrText>
      </w:r>
      <w:r>
        <w:rPr>
          <w:rFonts w:eastAsiaTheme="minorEastAsia"/>
          <w:lang w:eastAsia="en-AU"/>
        </w:rPr>
        <w:fldChar w:fldCharType="end"/>
      </w:r>
    </w:p>
    <w:p w:rsidR="00E25CC6" w:rsidRDefault="00E25CC6" w:rsidP="009852FE">
      <w:pPr>
        <w:pStyle w:val="Heading5"/>
      </w:pPr>
      <w:r w:rsidRPr="009129E5">
        <w:t>Targeted initiatives for seniors</w:t>
      </w:r>
    </w:p>
    <w:p w:rsidR="00E25CC6" w:rsidRPr="00940C9E" w:rsidRDefault="00E25CC6" w:rsidP="009852FE">
      <w:pPr>
        <w:rPr>
          <w:bCs/>
          <w:szCs w:val="24"/>
        </w:rPr>
      </w:pPr>
      <w:r w:rsidRPr="00940C9E">
        <w:rPr>
          <w:bCs/>
          <w:szCs w:val="24"/>
        </w:rPr>
        <w:t xml:space="preserve">The Government will raise awareness of elder abuse through support for increased understanding of social equality amongst </w:t>
      </w:r>
      <w:r>
        <w:rPr>
          <w:bCs/>
          <w:szCs w:val="24"/>
        </w:rPr>
        <w:t>older</w:t>
      </w:r>
      <w:r w:rsidRPr="00940C9E">
        <w:rPr>
          <w:bCs/>
          <w:szCs w:val="24"/>
        </w:rPr>
        <w:t xml:space="preserve"> Victorian</w:t>
      </w:r>
      <w:r>
        <w:rPr>
          <w:bCs/>
          <w:szCs w:val="24"/>
        </w:rPr>
        <w:t>s</w:t>
      </w:r>
      <w:r w:rsidRPr="00940C9E">
        <w:rPr>
          <w:bCs/>
          <w:szCs w:val="24"/>
        </w:rPr>
        <w:t>.</w:t>
      </w:r>
      <w:r>
        <w:rPr>
          <w:bCs/>
          <w:szCs w:val="24"/>
        </w:rPr>
        <w:t xml:space="preserve"> </w:t>
      </w:r>
    </w:p>
    <w:p w:rsidR="00E25CC6" w:rsidRPr="00940C9E" w:rsidRDefault="00E25CC6" w:rsidP="00D53C66">
      <w:pPr>
        <w:rPr>
          <w:bCs/>
          <w:szCs w:val="24"/>
        </w:rPr>
      </w:pPr>
      <w:r w:rsidRPr="00940C9E">
        <w:rPr>
          <w:bCs/>
          <w:szCs w:val="24"/>
        </w:rPr>
        <w:t>This initiative contributes to the Department of Premier and Cabinet</w:t>
      </w:r>
      <w:r>
        <w:rPr>
          <w:bCs/>
          <w:szCs w:val="24"/>
        </w:rPr>
        <w:t>’</w:t>
      </w:r>
      <w:r w:rsidRPr="00940C9E">
        <w:rPr>
          <w:bCs/>
          <w:szCs w:val="24"/>
        </w:rPr>
        <w:t xml:space="preserve">s </w:t>
      </w:r>
      <w:r>
        <w:rPr>
          <w:bCs/>
          <w:szCs w:val="24"/>
        </w:rPr>
        <w:t>W</w:t>
      </w:r>
      <w:r w:rsidRPr="00940C9E">
        <w:rPr>
          <w:bCs/>
          <w:szCs w:val="24"/>
        </w:rPr>
        <w:t>omen</w:t>
      </w:r>
      <w:r>
        <w:rPr>
          <w:bCs/>
          <w:szCs w:val="24"/>
        </w:rPr>
        <w:t>, the Prevention of Family Violence and LGBTI Equality p</w:t>
      </w:r>
      <w:r w:rsidRPr="00940C9E">
        <w:rPr>
          <w:bCs/>
          <w:szCs w:val="24"/>
        </w:rPr>
        <w:t xml:space="preserve">olicy and </w:t>
      </w:r>
      <w:r>
        <w:rPr>
          <w:bCs/>
          <w:szCs w:val="24"/>
        </w:rPr>
        <w:t>p</w:t>
      </w:r>
      <w:r w:rsidRPr="00940C9E">
        <w:rPr>
          <w:bCs/>
          <w:szCs w:val="24"/>
        </w:rPr>
        <w:t>rograms output.</w:t>
      </w:r>
    </w:p>
    <w:p w:rsidR="00E25CC6" w:rsidRPr="00612E2C" w:rsidRDefault="00E25CC6" w:rsidP="00195647">
      <w:pPr>
        <w:pStyle w:val="Heading4"/>
      </w:pPr>
      <w:r w:rsidRPr="00612E2C">
        <w:t>Victims</w:t>
      </w:r>
      <w:r>
        <w:t>’</w:t>
      </w:r>
      <w:r w:rsidRPr="00612E2C">
        <w:t xml:space="preserve"> experience of the justice system</w:t>
      </w:r>
    </w:p>
    <w:p w:rsidR="00E25CC6" w:rsidRPr="005175C1" w:rsidRDefault="00E25CC6" w:rsidP="005175C1">
      <w:r w:rsidRPr="00940C9E">
        <w:t>Sexual assault counselling and therapeutic family violence recovery programs will be provided to women in the corrections system. Innovative justice options to improve victims</w:t>
      </w:r>
      <w:r>
        <w:t>’</w:t>
      </w:r>
      <w:r w:rsidRPr="00940C9E">
        <w:t xml:space="preserve"> experience of the jus</w:t>
      </w:r>
      <w:r>
        <w:t xml:space="preserve">tice system will be developed. </w:t>
      </w:r>
      <w:r w:rsidRPr="00940C9E">
        <w:t xml:space="preserve">This </w:t>
      </w:r>
      <w:r>
        <w:t>initiative</w:t>
      </w:r>
      <w:r w:rsidRPr="00940C9E">
        <w:t xml:space="preserve"> will be informed by co</w:t>
      </w:r>
      <w:r>
        <w:noBreakHyphen/>
      </w:r>
      <w:r w:rsidRPr="00940C9E">
        <w:t xml:space="preserve">design with </w:t>
      </w:r>
      <w:r>
        <w:t>victims of family violence and the people and organisations that support them</w:t>
      </w:r>
      <w:r w:rsidRPr="00940C9E">
        <w:t>.</w:t>
      </w:r>
    </w:p>
    <w:p w:rsidR="00E25CC6" w:rsidRDefault="00E25CC6" w:rsidP="009852FE">
      <w:pPr>
        <w:pStyle w:val="Heading3"/>
      </w:pPr>
      <w:r>
        <w:t>Asset initiatives</w:t>
      </w:r>
    </w:p>
    <w:p w:rsidR="00E25CC6" w:rsidRDefault="00E25CC6" w:rsidP="009852FE">
      <w:pPr>
        <w:pStyle w:val="Tableheading"/>
      </w:pPr>
      <w:r>
        <w:t>Table 1.5:</w:t>
      </w:r>
      <w:r>
        <w:tab/>
        <w:t>Asset initiatives –</w:t>
      </w:r>
      <w:r w:rsidRPr="00FA2145">
        <w:t xml:space="preserve"> Family violence</w:t>
      </w:r>
    </w:p>
    <w:p w:rsidR="00E25CC6" w:rsidRPr="00A919CB" w:rsidRDefault="00E25CC6" w:rsidP="00A919CB">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19"/>
        <w:gridCol w:w="859"/>
        <w:gridCol w:w="859"/>
        <w:gridCol w:w="860"/>
        <w:gridCol w:w="859"/>
        <w:gridCol w:w="9"/>
        <w:gridCol w:w="283"/>
        <w:gridCol w:w="283"/>
        <w:gridCol w:w="284"/>
        <w:gridCol w:w="283"/>
        <w:gridCol w:w="283"/>
        <w:gridCol w:w="283"/>
        <w:gridCol w:w="12"/>
      </w:tblGrid>
      <w:tr w:rsidR="00E25CC6" w:rsidRPr="00A919CB" w:rsidTr="00A919CB">
        <w:trPr>
          <w:tblHeader/>
        </w:trPr>
        <w:tc>
          <w:tcPr>
            <w:tcW w:w="2620" w:type="dxa"/>
            <w:tcBorders>
              <w:bottom w:val="single" w:sz="4" w:space="0" w:color="auto"/>
              <w:right w:val="nil"/>
            </w:tcBorders>
            <w:shd w:val="clear" w:color="auto" w:fill="000000"/>
            <w:vAlign w:val="bottom"/>
          </w:tcPr>
          <w:p w:rsidR="00E25CC6" w:rsidRPr="00A919CB" w:rsidRDefault="00E25CC6" w:rsidP="00A919CB">
            <w:pPr>
              <w:pStyle w:val="Tabletext"/>
              <w:rPr>
                <w:rFonts w:eastAsiaTheme="minorEastAsia"/>
                <w:color w:val="FFFFFF"/>
                <w:lang w:eastAsia="en-AU"/>
              </w:rPr>
            </w:pPr>
            <w:r w:rsidRPr="00A919CB">
              <w:rPr>
                <w:rFonts w:eastAsiaTheme="minorEastAsia"/>
                <w:color w:val="FFFFFF"/>
                <w:lang w:eastAsia="en-AU"/>
              </w:rPr>
              <w:t xml:space="preserve"> </w:t>
            </w:r>
          </w:p>
        </w:tc>
        <w:tc>
          <w:tcPr>
            <w:tcW w:w="859"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2015</w:t>
            </w:r>
            <w:r>
              <w:rPr>
                <w:rFonts w:eastAsiaTheme="minorEastAsia"/>
                <w:color w:val="FFFFFF"/>
                <w:sz w:val="19"/>
                <w:lang w:eastAsia="en-AU"/>
              </w:rPr>
              <w:noBreakHyphen/>
            </w:r>
            <w:r w:rsidRPr="00A919CB">
              <w:rPr>
                <w:rFonts w:eastAsiaTheme="minorEastAsia"/>
                <w:color w:val="FFFFFF"/>
                <w:sz w:val="19"/>
                <w:lang w:eastAsia="en-AU"/>
              </w:rPr>
              <w:t>16</w:t>
            </w:r>
          </w:p>
        </w:tc>
        <w:tc>
          <w:tcPr>
            <w:tcW w:w="859"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2016</w:t>
            </w:r>
            <w:r>
              <w:rPr>
                <w:rFonts w:eastAsiaTheme="minorEastAsia"/>
                <w:color w:val="FFFFFF"/>
                <w:sz w:val="19"/>
                <w:lang w:eastAsia="en-AU"/>
              </w:rPr>
              <w:noBreakHyphen/>
            </w:r>
            <w:r w:rsidRPr="00A919CB">
              <w:rPr>
                <w:rFonts w:eastAsiaTheme="minorEastAsia"/>
                <w:color w:val="FFFFFF"/>
                <w:sz w:val="19"/>
                <w:lang w:eastAsia="en-AU"/>
              </w:rPr>
              <w:t>17</w:t>
            </w:r>
          </w:p>
        </w:tc>
        <w:tc>
          <w:tcPr>
            <w:tcW w:w="860"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2017</w:t>
            </w:r>
            <w:r>
              <w:rPr>
                <w:rFonts w:eastAsiaTheme="minorEastAsia"/>
                <w:color w:val="FFFFFF"/>
                <w:sz w:val="19"/>
                <w:lang w:eastAsia="en-AU"/>
              </w:rPr>
              <w:noBreakHyphen/>
            </w:r>
            <w:r w:rsidRPr="00A919CB">
              <w:rPr>
                <w:rFonts w:eastAsiaTheme="minorEastAsia"/>
                <w:color w:val="FFFFFF"/>
                <w:sz w:val="19"/>
                <w:lang w:eastAsia="en-AU"/>
              </w:rPr>
              <w:t>18</w:t>
            </w:r>
          </w:p>
        </w:tc>
        <w:tc>
          <w:tcPr>
            <w:tcW w:w="859"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2018</w:t>
            </w:r>
            <w:r>
              <w:rPr>
                <w:rFonts w:eastAsiaTheme="minorEastAsia"/>
                <w:color w:val="FFFFFF"/>
                <w:sz w:val="19"/>
                <w:lang w:eastAsia="en-AU"/>
              </w:rPr>
              <w:noBreakHyphen/>
            </w:r>
            <w:r w:rsidRPr="00A919CB">
              <w:rPr>
                <w:rFonts w:eastAsiaTheme="minorEastAsia"/>
                <w:color w:val="FFFFFF"/>
                <w:sz w:val="19"/>
                <w:lang w:eastAsia="en-AU"/>
              </w:rPr>
              <w:t>19</w:t>
            </w:r>
          </w:p>
        </w:tc>
        <w:tc>
          <w:tcPr>
            <w:tcW w:w="859" w:type="dxa"/>
            <w:gridSpan w:val="4"/>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2019</w:t>
            </w:r>
            <w:r>
              <w:rPr>
                <w:rFonts w:eastAsiaTheme="minorEastAsia"/>
                <w:color w:val="FFFFFF"/>
                <w:sz w:val="19"/>
                <w:lang w:eastAsia="en-AU"/>
              </w:rPr>
              <w:noBreakHyphen/>
            </w:r>
            <w:r w:rsidRPr="00A919CB">
              <w:rPr>
                <w:rFonts w:eastAsiaTheme="minorEastAsia"/>
                <w:color w:val="FFFFFF"/>
                <w:sz w:val="19"/>
                <w:lang w:eastAsia="en-AU"/>
              </w:rPr>
              <w:t>20</w:t>
            </w:r>
          </w:p>
        </w:tc>
        <w:tc>
          <w:tcPr>
            <w:tcW w:w="860" w:type="dxa"/>
            <w:gridSpan w:val="4"/>
            <w:tcBorders>
              <w:left w:val="nil"/>
              <w:bottom w:val="single" w:sz="4" w:space="0" w:color="auto"/>
            </w:tcBorders>
            <w:shd w:val="clear" w:color="auto" w:fill="000000"/>
            <w:vAlign w:val="bottom"/>
          </w:tcPr>
          <w:p w:rsidR="00E25CC6" w:rsidRPr="00A919CB" w:rsidRDefault="00E25CC6" w:rsidP="00A919CB">
            <w:pPr>
              <w:pStyle w:val="Tabletextheading"/>
              <w:rPr>
                <w:rFonts w:eastAsiaTheme="minorEastAsia" w:cs="Calibri"/>
                <w:iCs/>
                <w:color w:val="FFFFFF"/>
                <w:sz w:val="19"/>
                <w:lang w:eastAsia="en-AU"/>
              </w:rPr>
            </w:pPr>
            <w:r w:rsidRPr="00A919CB">
              <w:rPr>
                <w:rFonts w:eastAsiaTheme="minorEastAsia" w:cs="Calibri"/>
                <w:iCs/>
                <w:color w:val="FFFFFF"/>
                <w:sz w:val="19"/>
                <w:lang w:eastAsia="en-AU"/>
              </w:rPr>
              <w:t>TEI</w:t>
            </w:r>
          </w:p>
        </w:tc>
      </w:tr>
      <w:tr w:rsidR="00E25CC6" w:rsidRPr="00A919CB" w:rsidTr="00A919CB">
        <w:tc>
          <w:tcPr>
            <w:tcW w:w="2620" w:type="dxa"/>
            <w:tcBorders>
              <w:top w:val="single" w:sz="4" w:space="0" w:color="auto"/>
              <w:left w:val="nil"/>
              <w:bottom w:val="nil"/>
              <w:right w:val="nil"/>
            </w:tcBorders>
            <w:shd w:val="solid" w:color="FFFFFF" w:fill="auto"/>
          </w:tcPr>
          <w:p w:rsidR="00E25CC6" w:rsidRPr="00A919CB" w:rsidRDefault="00E25CC6" w:rsidP="00A919CB">
            <w:pPr>
              <w:pStyle w:val="Tabletext"/>
              <w:rPr>
                <w:rFonts w:eastAsiaTheme="minorEastAsia"/>
                <w:b/>
                <w:bCs/>
                <w:color w:val="000000"/>
                <w:szCs w:val="16"/>
                <w:lang w:eastAsia="en-AU"/>
              </w:rPr>
            </w:pPr>
            <w:r w:rsidRPr="00A919CB">
              <w:rPr>
                <w:rFonts w:eastAsiaTheme="minorEastAsia"/>
                <w:b/>
                <w:bCs/>
                <w:color w:val="000000"/>
                <w:szCs w:val="16"/>
                <w:lang w:eastAsia="en-AU"/>
              </w:rPr>
              <w:t>Family Violence Housing Blitz</w:t>
            </w:r>
          </w:p>
        </w:tc>
        <w:tc>
          <w:tcPr>
            <w:tcW w:w="859" w:type="dxa"/>
            <w:tcBorders>
              <w:top w:val="single" w:sz="4" w:space="0" w:color="auto"/>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859" w:type="dxa"/>
            <w:tcBorders>
              <w:top w:val="single" w:sz="4" w:space="0" w:color="auto"/>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860" w:type="dxa"/>
            <w:tcBorders>
              <w:top w:val="single" w:sz="4" w:space="0" w:color="auto"/>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859" w:type="dxa"/>
            <w:tcBorders>
              <w:top w:val="single" w:sz="4" w:space="0" w:color="auto"/>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859" w:type="dxa"/>
            <w:gridSpan w:val="4"/>
            <w:tcBorders>
              <w:top w:val="single" w:sz="4" w:space="0" w:color="auto"/>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860" w:type="dxa"/>
            <w:gridSpan w:val="4"/>
            <w:tcBorders>
              <w:top w:val="single" w:sz="4" w:space="0" w:color="auto"/>
              <w:left w:val="nil"/>
              <w:bottom w:val="nil"/>
              <w:right w:val="nil"/>
            </w:tcBorders>
          </w:tcPr>
          <w:p w:rsidR="00E25CC6" w:rsidRPr="00A919CB" w:rsidRDefault="00E25CC6" w:rsidP="00A919CB">
            <w:pPr>
              <w:autoSpaceDE w:val="0"/>
              <w:autoSpaceDN w:val="0"/>
              <w:adjustRightInd w:val="0"/>
              <w:spacing w:after="0"/>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 xml:space="preserve"> </w:t>
            </w:r>
          </w:p>
        </w:tc>
      </w:tr>
      <w:tr w:rsidR="00E25CC6" w:rsidRPr="00A919CB" w:rsidTr="00A919CB">
        <w:tc>
          <w:tcPr>
            <w:tcW w:w="2620" w:type="dxa"/>
            <w:tcBorders>
              <w:top w:val="nil"/>
              <w:left w:val="nil"/>
              <w:bottom w:val="nil"/>
              <w:right w:val="nil"/>
            </w:tcBorders>
            <w:shd w:val="solid" w:color="FFFFFF" w:fill="auto"/>
          </w:tcPr>
          <w:p w:rsidR="00E25CC6" w:rsidRPr="00A919CB" w:rsidRDefault="00E25CC6" w:rsidP="00A919CB">
            <w:pPr>
              <w:pStyle w:val="Tabletext"/>
              <w:rPr>
                <w:rFonts w:eastAsiaTheme="minorEastAsia"/>
                <w:color w:val="000000"/>
                <w:szCs w:val="16"/>
                <w:lang w:eastAsia="en-AU"/>
              </w:rPr>
            </w:pPr>
            <w:r w:rsidRPr="00A919CB">
              <w:rPr>
                <w:rFonts w:eastAsiaTheme="minorEastAsia"/>
                <w:color w:val="000000"/>
                <w:szCs w:val="16"/>
                <w:lang w:eastAsia="en-AU"/>
              </w:rPr>
              <w:t>Accommodation for the homeless</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4.0</w:t>
            </w:r>
          </w:p>
        </w:tc>
        <w:tc>
          <w:tcPr>
            <w:tcW w:w="860"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17.9</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gridSpan w:val="4"/>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60" w:type="dxa"/>
            <w:gridSpan w:val="4"/>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21.9</w:t>
            </w:r>
          </w:p>
        </w:tc>
      </w:tr>
      <w:tr w:rsidR="00E25CC6" w:rsidRPr="00A919CB" w:rsidTr="00A919CB">
        <w:tc>
          <w:tcPr>
            <w:tcW w:w="2620" w:type="dxa"/>
            <w:tcBorders>
              <w:top w:val="nil"/>
              <w:left w:val="nil"/>
              <w:bottom w:val="nil"/>
              <w:right w:val="nil"/>
            </w:tcBorders>
            <w:shd w:val="solid" w:color="FFFFFF" w:fill="auto"/>
          </w:tcPr>
          <w:p w:rsidR="00E25CC6" w:rsidRPr="00A919CB" w:rsidRDefault="00E25CC6" w:rsidP="00A919CB">
            <w:pPr>
              <w:pStyle w:val="Tabletext"/>
              <w:rPr>
                <w:rFonts w:eastAsiaTheme="minorEastAsia"/>
                <w:color w:val="000000"/>
                <w:szCs w:val="16"/>
                <w:lang w:eastAsia="en-AU"/>
              </w:rPr>
            </w:pPr>
            <w:r w:rsidRPr="00A919CB">
              <w:rPr>
                <w:rFonts w:eastAsiaTheme="minorEastAsia"/>
                <w:color w:val="000000"/>
                <w:szCs w:val="16"/>
                <w:lang w:eastAsia="en-AU"/>
              </w:rPr>
              <w:t>Rapid Housing Assistance Fund</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48.8</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60"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gridSpan w:val="4"/>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60" w:type="dxa"/>
            <w:gridSpan w:val="4"/>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48.8</w:t>
            </w:r>
          </w:p>
        </w:tc>
      </w:tr>
      <w:tr w:rsidR="00E25CC6" w:rsidRPr="00A919CB" w:rsidTr="00A919CB">
        <w:tc>
          <w:tcPr>
            <w:tcW w:w="2620" w:type="dxa"/>
            <w:tcBorders>
              <w:top w:val="nil"/>
              <w:left w:val="nil"/>
              <w:bottom w:val="nil"/>
              <w:right w:val="nil"/>
            </w:tcBorders>
            <w:shd w:val="solid" w:color="FFFFFF" w:fill="auto"/>
          </w:tcPr>
          <w:p w:rsidR="00E25CC6" w:rsidRPr="00A919CB" w:rsidRDefault="00E25CC6" w:rsidP="00A919CB">
            <w:pPr>
              <w:pStyle w:val="Tabletext"/>
              <w:rPr>
                <w:rFonts w:eastAsiaTheme="minorEastAsia"/>
                <w:color w:val="000000"/>
                <w:szCs w:val="16"/>
                <w:lang w:eastAsia="en-AU"/>
              </w:rPr>
            </w:pPr>
            <w:r w:rsidRPr="00A919CB">
              <w:rPr>
                <w:rFonts w:eastAsiaTheme="minorEastAsia"/>
                <w:color w:val="000000"/>
                <w:szCs w:val="16"/>
                <w:lang w:eastAsia="en-AU"/>
              </w:rPr>
              <w:t>Redevelopment of family violence refuges</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9.5</w:t>
            </w:r>
          </w:p>
        </w:tc>
        <w:tc>
          <w:tcPr>
            <w:tcW w:w="860"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5.5</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gridSpan w:val="4"/>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60" w:type="dxa"/>
            <w:gridSpan w:val="4"/>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15.0</w:t>
            </w:r>
          </w:p>
        </w:tc>
      </w:tr>
      <w:tr w:rsidR="00E25CC6" w:rsidRPr="00A919CB" w:rsidTr="00A919CB">
        <w:tc>
          <w:tcPr>
            <w:tcW w:w="2620" w:type="dxa"/>
            <w:tcBorders>
              <w:top w:val="nil"/>
              <w:left w:val="nil"/>
              <w:bottom w:val="nil"/>
              <w:right w:val="nil"/>
            </w:tcBorders>
            <w:shd w:val="solid" w:color="FFFFFF" w:fill="auto"/>
          </w:tcPr>
          <w:p w:rsidR="00E25CC6" w:rsidRPr="00A919CB" w:rsidRDefault="00E25CC6" w:rsidP="00A919CB">
            <w:pPr>
              <w:pStyle w:val="Tabletext"/>
              <w:rPr>
                <w:rFonts w:eastAsiaTheme="minorEastAsia"/>
                <w:b/>
                <w:bCs/>
                <w:color w:val="000000"/>
                <w:szCs w:val="16"/>
                <w:lang w:eastAsia="en-AU"/>
              </w:rPr>
            </w:pPr>
            <w:r w:rsidRPr="00A919CB">
              <w:rPr>
                <w:rFonts w:eastAsiaTheme="minorEastAsia"/>
                <w:b/>
                <w:bCs/>
                <w:color w:val="000000"/>
                <w:szCs w:val="16"/>
                <w:lang w:eastAsia="en-AU"/>
              </w:rPr>
              <w:t>Multi</w:t>
            </w:r>
            <w:r>
              <w:rPr>
                <w:rFonts w:eastAsiaTheme="minorEastAsia"/>
                <w:b/>
                <w:bCs/>
                <w:color w:val="000000"/>
                <w:szCs w:val="16"/>
                <w:lang w:eastAsia="en-AU"/>
              </w:rPr>
              <w:noBreakHyphen/>
            </w:r>
            <w:r w:rsidRPr="00A919CB">
              <w:rPr>
                <w:rFonts w:eastAsiaTheme="minorEastAsia"/>
                <w:b/>
                <w:bCs/>
                <w:color w:val="000000"/>
                <w:szCs w:val="16"/>
                <w:lang w:eastAsia="en-AU"/>
              </w:rPr>
              <w:t>agency risk assessment and safeguarding</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4.1</w:t>
            </w:r>
          </w:p>
        </w:tc>
        <w:tc>
          <w:tcPr>
            <w:tcW w:w="860"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gridSpan w:val="4"/>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60" w:type="dxa"/>
            <w:gridSpan w:val="4"/>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4.1</w:t>
            </w:r>
          </w:p>
        </w:tc>
      </w:tr>
      <w:tr w:rsidR="00E25CC6" w:rsidRPr="00A919CB" w:rsidTr="00A919CB">
        <w:tc>
          <w:tcPr>
            <w:tcW w:w="2620" w:type="dxa"/>
            <w:tcBorders>
              <w:top w:val="nil"/>
              <w:left w:val="nil"/>
              <w:bottom w:val="nil"/>
              <w:right w:val="nil"/>
            </w:tcBorders>
            <w:shd w:val="solid" w:color="FFFFFF" w:fill="auto"/>
          </w:tcPr>
          <w:p w:rsidR="00E25CC6" w:rsidRPr="00A919CB" w:rsidRDefault="00E25CC6" w:rsidP="00A919CB">
            <w:pPr>
              <w:pStyle w:val="Tabletext"/>
              <w:rPr>
                <w:rFonts w:eastAsiaTheme="minorEastAsia"/>
                <w:b/>
                <w:bCs/>
                <w:color w:val="000000"/>
                <w:szCs w:val="16"/>
                <w:lang w:eastAsia="en-AU"/>
              </w:rPr>
            </w:pPr>
            <w:r w:rsidRPr="00A919CB">
              <w:rPr>
                <w:rFonts w:eastAsiaTheme="minorEastAsia"/>
                <w:b/>
                <w:bCs/>
                <w:color w:val="000000"/>
                <w:szCs w:val="16"/>
                <w:lang w:eastAsia="en-AU"/>
              </w:rPr>
              <w:t>Specialist family violence navigators</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1.4</w:t>
            </w:r>
          </w:p>
        </w:tc>
        <w:tc>
          <w:tcPr>
            <w:tcW w:w="860"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gridSpan w:val="4"/>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60" w:type="dxa"/>
            <w:gridSpan w:val="4"/>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1.4</w:t>
            </w:r>
          </w:p>
        </w:tc>
      </w:tr>
      <w:tr w:rsidR="00E25CC6" w:rsidRPr="00A919CB" w:rsidTr="00A919CB">
        <w:trPr>
          <w:gridAfter w:val="1"/>
          <w:wAfter w:w="12" w:type="dxa"/>
        </w:trPr>
        <w:tc>
          <w:tcPr>
            <w:tcW w:w="6066" w:type="dxa"/>
            <w:gridSpan w:val="6"/>
            <w:tcBorders>
              <w:top w:val="nil"/>
              <w:left w:val="nil"/>
              <w:bottom w:val="nil"/>
              <w:right w:val="nil"/>
            </w:tcBorders>
            <w:shd w:val="solid" w:color="FFFFFF" w:fill="auto"/>
          </w:tcPr>
          <w:p w:rsidR="00E25CC6" w:rsidRPr="00A919CB" w:rsidRDefault="00E25CC6" w:rsidP="00A919CB">
            <w:pPr>
              <w:pStyle w:val="Tabletext"/>
              <w:rPr>
                <w:rFonts w:eastAsiaTheme="minorEastAsia"/>
                <w:b/>
                <w:bCs/>
                <w:color w:val="000000"/>
                <w:szCs w:val="16"/>
                <w:lang w:eastAsia="en-AU"/>
              </w:rPr>
            </w:pPr>
            <w:r w:rsidRPr="00A919CB">
              <w:rPr>
                <w:rFonts w:eastAsiaTheme="minorEastAsia"/>
                <w:b/>
                <w:bCs/>
                <w:color w:val="000000"/>
                <w:szCs w:val="16"/>
                <w:lang w:eastAsia="en-AU"/>
              </w:rPr>
              <w:t>Support for vulnerable children</w:t>
            </w:r>
          </w:p>
        </w:tc>
        <w:tc>
          <w:tcPr>
            <w:tcW w:w="283"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283"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283"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283"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283"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 xml:space="preserve"> </w:t>
            </w:r>
          </w:p>
        </w:tc>
        <w:tc>
          <w:tcPr>
            <w:tcW w:w="283" w:type="dxa"/>
            <w:tcBorders>
              <w:top w:val="nil"/>
              <w:left w:val="nil"/>
              <w:bottom w:val="nil"/>
              <w:right w:val="nil"/>
            </w:tcBorders>
          </w:tcPr>
          <w:p w:rsidR="00E25CC6" w:rsidRPr="00A919CB" w:rsidRDefault="00E25CC6" w:rsidP="00A919CB">
            <w:pPr>
              <w:autoSpaceDE w:val="0"/>
              <w:autoSpaceDN w:val="0"/>
              <w:adjustRightInd w:val="0"/>
              <w:spacing w:after="0"/>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 xml:space="preserve"> </w:t>
            </w:r>
          </w:p>
        </w:tc>
      </w:tr>
      <w:tr w:rsidR="00E25CC6" w:rsidRPr="00A919CB" w:rsidTr="00A919CB">
        <w:tc>
          <w:tcPr>
            <w:tcW w:w="2620" w:type="dxa"/>
            <w:tcBorders>
              <w:top w:val="nil"/>
              <w:left w:val="nil"/>
              <w:bottom w:val="nil"/>
              <w:right w:val="nil"/>
            </w:tcBorders>
            <w:shd w:val="solid" w:color="FFFFFF" w:fill="auto"/>
          </w:tcPr>
          <w:p w:rsidR="00E25CC6" w:rsidRPr="00A919CB" w:rsidRDefault="00E25CC6" w:rsidP="00A919CB">
            <w:pPr>
              <w:pStyle w:val="Tabletext"/>
              <w:rPr>
                <w:rFonts w:eastAsiaTheme="minorEastAsia"/>
                <w:color w:val="000000"/>
                <w:szCs w:val="16"/>
                <w:lang w:eastAsia="en-AU"/>
              </w:rPr>
            </w:pPr>
            <w:r w:rsidRPr="00A919CB">
              <w:rPr>
                <w:rFonts w:eastAsiaTheme="minorEastAsia"/>
                <w:color w:val="000000"/>
                <w:szCs w:val="16"/>
                <w:lang w:eastAsia="en-AU"/>
              </w:rPr>
              <w:t>Out</w:t>
            </w:r>
            <w:r>
              <w:rPr>
                <w:rFonts w:eastAsiaTheme="minorEastAsia"/>
                <w:color w:val="000000"/>
                <w:szCs w:val="16"/>
                <w:lang w:eastAsia="en-AU"/>
              </w:rPr>
              <w:noBreakHyphen/>
            </w:r>
            <w:r w:rsidRPr="00A919CB">
              <w:rPr>
                <w:rFonts w:eastAsiaTheme="minorEastAsia"/>
                <w:color w:val="000000"/>
                <w:szCs w:val="16"/>
                <w:lang w:eastAsia="en-AU"/>
              </w:rPr>
              <w:t>of</w:t>
            </w:r>
            <w:r>
              <w:rPr>
                <w:rFonts w:eastAsiaTheme="minorEastAsia"/>
                <w:color w:val="000000"/>
                <w:szCs w:val="16"/>
                <w:lang w:eastAsia="en-AU"/>
              </w:rPr>
              <w:noBreakHyphen/>
            </w:r>
            <w:r w:rsidRPr="00A919CB">
              <w:rPr>
                <w:rFonts w:eastAsiaTheme="minorEastAsia"/>
                <w:color w:val="000000"/>
                <w:szCs w:val="16"/>
                <w:lang w:eastAsia="en-AU"/>
              </w:rPr>
              <w:t>home care</w:t>
            </w:r>
            <w:r>
              <w:rPr>
                <w:rFonts w:eastAsiaTheme="minorEastAsia"/>
                <w:color w:val="000000"/>
                <w:szCs w:val="16"/>
                <w:lang w:eastAsia="en-AU"/>
              </w:rPr>
              <w:t xml:space="preserve"> – </w:t>
            </w:r>
            <w:r w:rsidRPr="00A919CB">
              <w:rPr>
                <w:rFonts w:eastAsiaTheme="minorEastAsia"/>
                <w:color w:val="000000"/>
                <w:szCs w:val="16"/>
                <w:lang w:eastAsia="en-AU"/>
              </w:rPr>
              <w:t>stock renewal or replacement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9.0</w:t>
            </w:r>
          </w:p>
        </w:tc>
        <w:tc>
          <w:tcPr>
            <w:tcW w:w="860"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59" w:type="dxa"/>
            <w:gridSpan w:val="4"/>
            <w:tcBorders>
              <w:top w:val="nil"/>
              <w:left w:val="nil"/>
              <w:bottom w:val="nil"/>
              <w:right w:val="nil"/>
            </w:tcBorders>
          </w:tcPr>
          <w:p w:rsidR="00E25CC6" w:rsidRPr="00A919CB" w:rsidRDefault="00E25CC6" w:rsidP="00A919CB">
            <w:pPr>
              <w:pStyle w:val="TableofFigures"/>
              <w:rPr>
                <w:rFonts w:eastAsiaTheme="minorEastAsia"/>
                <w:color w:val="000000"/>
                <w:sz w:val="19"/>
                <w:lang w:eastAsia="en-AU"/>
              </w:rPr>
            </w:pPr>
            <w:r w:rsidRPr="00A919CB">
              <w:rPr>
                <w:rFonts w:eastAsiaTheme="minorEastAsia"/>
                <w:color w:val="000000"/>
                <w:sz w:val="19"/>
                <w:lang w:eastAsia="en-AU"/>
              </w:rPr>
              <w:t>..</w:t>
            </w:r>
          </w:p>
        </w:tc>
        <w:tc>
          <w:tcPr>
            <w:tcW w:w="860" w:type="dxa"/>
            <w:gridSpan w:val="4"/>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color w:val="000000"/>
                <w:sz w:val="19"/>
                <w:lang w:eastAsia="en-AU"/>
              </w:rPr>
              <w:t>9.0</w:t>
            </w:r>
          </w:p>
        </w:tc>
      </w:tr>
      <w:tr w:rsidR="00E25CC6" w:rsidRPr="00A919CB" w:rsidTr="00A919CB">
        <w:tc>
          <w:tcPr>
            <w:tcW w:w="262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text"/>
              <w:rPr>
                <w:rFonts w:eastAsiaTheme="minorEastAsia"/>
                <w:b/>
                <w:bCs/>
                <w:color w:val="000000"/>
                <w:vertAlign w:val="superscript"/>
                <w:lang w:eastAsia="en-AU"/>
              </w:rPr>
            </w:pPr>
            <w:r w:rsidRPr="00A919CB">
              <w:rPr>
                <w:rFonts w:eastAsiaTheme="minorEastAsia"/>
                <w:b/>
                <w:bCs/>
                <w:color w:val="000000"/>
                <w:lang w:eastAsia="en-AU"/>
              </w:rPr>
              <w:t xml:space="preserve">Total asset initiatives </w:t>
            </w:r>
            <w:r w:rsidRPr="00A919CB">
              <w:rPr>
                <w:rFonts w:eastAsiaTheme="minorEastAsia"/>
                <w:b/>
                <w:bCs/>
                <w:color w:val="000000"/>
                <w:vertAlign w:val="superscript"/>
                <w:lang w:eastAsia="en-AU"/>
              </w:rPr>
              <w:t>(a)</w:t>
            </w:r>
          </w:p>
        </w:tc>
        <w:tc>
          <w:tcPr>
            <w:tcW w:w="859"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color w:val="000000"/>
                <w:sz w:val="19"/>
                <w:lang w:eastAsia="en-AU"/>
              </w:rPr>
            </w:pPr>
            <w:r w:rsidRPr="00A919CB">
              <w:rPr>
                <w:rFonts w:eastAsiaTheme="minorEastAsia"/>
                <w:b/>
                <w:bCs/>
                <w:color w:val="000000"/>
                <w:sz w:val="19"/>
                <w:lang w:eastAsia="en-AU"/>
              </w:rPr>
              <w:t>48.8</w:t>
            </w:r>
          </w:p>
        </w:tc>
        <w:tc>
          <w:tcPr>
            <w:tcW w:w="859"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color w:val="000000"/>
                <w:sz w:val="19"/>
                <w:lang w:eastAsia="en-AU"/>
              </w:rPr>
            </w:pPr>
            <w:r w:rsidRPr="00A919CB">
              <w:rPr>
                <w:rFonts w:eastAsiaTheme="minorEastAsia"/>
                <w:b/>
                <w:bCs/>
                <w:color w:val="000000"/>
                <w:sz w:val="19"/>
                <w:lang w:eastAsia="en-AU"/>
              </w:rPr>
              <w:t>28.0</w:t>
            </w:r>
          </w:p>
        </w:tc>
        <w:tc>
          <w:tcPr>
            <w:tcW w:w="86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color w:val="000000"/>
                <w:sz w:val="19"/>
                <w:lang w:eastAsia="en-AU"/>
              </w:rPr>
            </w:pPr>
            <w:r w:rsidRPr="00A919CB">
              <w:rPr>
                <w:rFonts w:eastAsiaTheme="minorEastAsia"/>
                <w:b/>
                <w:bCs/>
                <w:color w:val="000000"/>
                <w:sz w:val="19"/>
                <w:lang w:eastAsia="en-AU"/>
              </w:rPr>
              <w:t>23.4</w:t>
            </w:r>
          </w:p>
        </w:tc>
        <w:tc>
          <w:tcPr>
            <w:tcW w:w="859"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color w:val="000000"/>
                <w:sz w:val="19"/>
                <w:lang w:eastAsia="en-AU"/>
              </w:rPr>
            </w:pPr>
            <w:r w:rsidRPr="00A919CB">
              <w:rPr>
                <w:rFonts w:eastAsiaTheme="minorEastAsia"/>
                <w:b/>
                <w:bCs/>
                <w:color w:val="000000"/>
                <w:sz w:val="19"/>
                <w:lang w:eastAsia="en-AU"/>
              </w:rPr>
              <w:t>..</w:t>
            </w:r>
          </w:p>
        </w:tc>
        <w:tc>
          <w:tcPr>
            <w:tcW w:w="859" w:type="dxa"/>
            <w:gridSpan w:val="4"/>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color w:val="000000"/>
                <w:sz w:val="19"/>
                <w:lang w:eastAsia="en-AU"/>
              </w:rPr>
            </w:pPr>
            <w:r w:rsidRPr="00A919CB">
              <w:rPr>
                <w:rFonts w:eastAsiaTheme="minorEastAsia"/>
                <w:b/>
                <w:bCs/>
                <w:color w:val="000000"/>
                <w:sz w:val="19"/>
                <w:lang w:eastAsia="en-AU"/>
              </w:rPr>
              <w:t>..</w:t>
            </w:r>
          </w:p>
        </w:tc>
        <w:tc>
          <w:tcPr>
            <w:tcW w:w="860" w:type="dxa"/>
            <w:gridSpan w:val="4"/>
            <w:tcBorders>
              <w:top w:val="single" w:sz="6" w:space="0" w:color="auto"/>
              <w:left w:val="nil"/>
              <w:bottom w:val="single" w:sz="12" w:space="0" w:color="auto"/>
              <w:right w:val="nil"/>
            </w:tcBorders>
            <w:shd w:val="solid" w:color="FFFFFF" w:fill="auto"/>
          </w:tcPr>
          <w:p w:rsidR="00E25CC6" w:rsidRPr="00A919CB" w:rsidRDefault="00E25CC6" w:rsidP="00A919CB">
            <w:pPr>
              <w:autoSpaceDE w:val="0"/>
              <w:autoSpaceDN w:val="0"/>
              <w:adjustRightInd w:val="0"/>
              <w:spacing w:after="0"/>
              <w:jc w:val="right"/>
              <w:rPr>
                <w:rFonts w:ascii="Calibri" w:eastAsiaTheme="minorEastAsia" w:hAnsi="Calibri" w:cs="Calibri"/>
                <w:b/>
                <w:bCs/>
                <w:color w:val="000000"/>
                <w:sz w:val="19"/>
                <w:lang w:eastAsia="en-AU"/>
              </w:rPr>
            </w:pPr>
            <w:r w:rsidRPr="00A919CB">
              <w:rPr>
                <w:rFonts w:ascii="Calibri" w:eastAsiaTheme="minorEastAsia" w:hAnsi="Calibri" w:cs="Calibri"/>
                <w:b/>
                <w:bCs/>
                <w:color w:val="000000"/>
                <w:sz w:val="19"/>
                <w:lang w:eastAsia="en-AU"/>
              </w:rPr>
              <w:t>100.1</w:t>
            </w:r>
          </w:p>
        </w:tc>
      </w:tr>
    </w:tbl>
    <w:p w:rsidR="00E25CC6" w:rsidRPr="006B2FB4" w:rsidRDefault="00E25CC6" w:rsidP="009852FE">
      <w:pPr>
        <w:pStyle w:val="Source"/>
        <w:rPr>
          <w:rFonts w:ascii="Garamond" w:hAnsi="Garamond"/>
          <w:sz w:val="22"/>
        </w:rPr>
      </w:pPr>
      <w:r>
        <w:t>Source: Department of Treasury and Finance</w:t>
      </w:r>
    </w:p>
    <w:p w:rsidR="00E25CC6" w:rsidRDefault="00E25CC6" w:rsidP="00BD4885">
      <w:pPr>
        <w:pStyle w:val="Notes"/>
      </w:pPr>
      <w:r>
        <w:t>Note:</w:t>
      </w:r>
    </w:p>
    <w:p w:rsidR="00E25CC6" w:rsidRDefault="00E25CC6" w:rsidP="00BD4885">
      <w:pPr>
        <w:pStyle w:val="Notes"/>
      </w:pPr>
      <w:r>
        <w:t>(a)</w:t>
      </w:r>
      <w:r>
        <w:tab/>
        <w:t xml:space="preserve">Tables may not add due to rounding. </w:t>
      </w:r>
    </w:p>
    <w:p w:rsidR="00E25CC6" w:rsidRDefault="00E25CC6" w:rsidP="00BD4885">
      <w:pPr>
        <w:pStyle w:val="Notes"/>
      </w:pPr>
    </w:p>
    <w:p w:rsidR="00E25CC6" w:rsidRPr="00612E2C" w:rsidRDefault="00E25CC6" w:rsidP="009852FE">
      <w:pPr>
        <w:pStyle w:val="Heading4"/>
      </w:pPr>
      <w:r w:rsidRPr="00612E2C">
        <w:t>Family violence housing blitz</w:t>
      </w:r>
    </w:p>
    <w:p w:rsidR="00E25CC6" w:rsidRPr="00612E2C" w:rsidRDefault="00E25CC6" w:rsidP="009852FE">
      <w:pPr>
        <w:pStyle w:val="Heading5"/>
      </w:pPr>
      <w:r w:rsidRPr="00C83BB4">
        <w:t>Accommodation for the homeless</w:t>
      </w:r>
    </w:p>
    <w:p w:rsidR="00E25CC6" w:rsidRPr="00940C9E" w:rsidRDefault="00E25CC6" w:rsidP="009852FE">
      <w:pPr>
        <w:rPr>
          <w:bCs/>
          <w:szCs w:val="24"/>
        </w:rPr>
      </w:pPr>
      <w:r w:rsidRPr="00940C9E">
        <w:rPr>
          <w:bCs/>
          <w:szCs w:val="24"/>
        </w:rPr>
        <w:t>Community service organisations will be supported to deliver additional accommodation for people</w:t>
      </w:r>
      <w:r>
        <w:rPr>
          <w:bCs/>
          <w:szCs w:val="24"/>
        </w:rPr>
        <w:t xml:space="preserve"> experiencing homelessness as a result of family violence</w:t>
      </w:r>
      <w:r w:rsidRPr="00940C9E">
        <w:rPr>
          <w:bCs/>
          <w:szCs w:val="24"/>
        </w:rPr>
        <w:t xml:space="preserve">. Funding will support construction of up to </w:t>
      </w:r>
      <w:r w:rsidR="00D9550A">
        <w:rPr>
          <w:bCs/>
          <w:szCs w:val="24"/>
        </w:rPr>
        <w:t>18</w:t>
      </w:r>
      <w:r w:rsidRPr="00940C9E">
        <w:rPr>
          <w:bCs/>
          <w:szCs w:val="24"/>
        </w:rPr>
        <w:t>0 units of crisis accommodation and upgrades of existing accommodation.</w:t>
      </w:r>
    </w:p>
    <w:p w:rsidR="00E25CC6" w:rsidRPr="00940C9E" w:rsidRDefault="00E25CC6" w:rsidP="009852FE">
      <w:pPr>
        <w:rPr>
          <w:bCs/>
          <w:szCs w:val="24"/>
        </w:rPr>
      </w:pPr>
      <w:r w:rsidRPr="00940C9E">
        <w:rPr>
          <w:bCs/>
          <w:szCs w:val="24"/>
        </w:rPr>
        <w:t>This initiative contributes to the Department of Health and Human Services</w:t>
      </w:r>
      <w:r>
        <w:rPr>
          <w:bCs/>
          <w:szCs w:val="24"/>
        </w:rPr>
        <w:t>’</w:t>
      </w:r>
      <w:r w:rsidRPr="00940C9E">
        <w:rPr>
          <w:bCs/>
          <w:szCs w:val="24"/>
        </w:rPr>
        <w:t xml:space="preserve"> Housing Assistance output</w:t>
      </w:r>
    </w:p>
    <w:p w:rsidR="00E25CC6" w:rsidRPr="00C83BB4" w:rsidRDefault="00E25CC6" w:rsidP="009852FE">
      <w:pPr>
        <w:pStyle w:val="Heading5"/>
      </w:pPr>
      <w:r w:rsidRPr="00C83BB4">
        <w:t>Rapid Housing Assistance Fund</w:t>
      </w:r>
    </w:p>
    <w:p w:rsidR="00E25CC6" w:rsidRPr="00940C9E" w:rsidRDefault="00E25CC6" w:rsidP="009852FE">
      <w:pPr>
        <w:rPr>
          <w:bCs/>
          <w:szCs w:val="24"/>
        </w:rPr>
      </w:pPr>
      <w:r w:rsidRPr="00940C9E">
        <w:rPr>
          <w:bCs/>
          <w:szCs w:val="24"/>
        </w:rPr>
        <w:t>Grants will be provided to deliver up to 1</w:t>
      </w:r>
      <w:r>
        <w:rPr>
          <w:bCs/>
          <w:szCs w:val="24"/>
        </w:rPr>
        <w:t>30 new social housing dwellings</w:t>
      </w:r>
      <w:r w:rsidRPr="00940C9E">
        <w:rPr>
          <w:bCs/>
          <w:szCs w:val="24"/>
        </w:rPr>
        <w:t>.</w:t>
      </w:r>
    </w:p>
    <w:p w:rsidR="00E25CC6" w:rsidRDefault="00E25CC6" w:rsidP="009852FE">
      <w:pPr>
        <w:rPr>
          <w:bCs/>
          <w:szCs w:val="24"/>
        </w:rPr>
      </w:pPr>
      <w:r w:rsidRPr="00940C9E">
        <w:rPr>
          <w:bCs/>
          <w:szCs w:val="24"/>
        </w:rPr>
        <w:t>This initiative contributes to the Department of Health and Human Services</w:t>
      </w:r>
      <w:r>
        <w:rPr>
          <w:bCs/>
          <w:szCs w:val="24"/>
        </w:rPr>
        <w:t>’</w:t>
      </w:r>
      <w:r w:rsidRPr="00940C9E">
        <w:rPr>
          <w:bCs/>
          <w:szCs w:val="24"/>
        </w:rPr>
        <w:t xml:space="preserve"> Housing Assistance output.</w:t>
      </w:r>
    </w:p>
    <w:p w:rsidR="00E25CC6" w:rsidRPr="00C83BB4" w:rsidRDefault="00E25CC6" w:rsidP="00585285">
      <w:pPr>
        <w:pStyle w:val="Heading5"/>
      </w:pPr>
      <w:r w:rsidRPr="00C83BB4">
        <w:t xml:space="preserve">Redevelopment of </w:t>
      </w:r>
      <w:r>
        <w:t>f</w:t>
      </w:r>
      <w:r w:rsidRPr="00C83BB4">
        <w:t xml:space="preserve">amily </w:t>
      </w:r>
      <w:r>
        <w:t>v</w:t>
      </w:r>
      <w:r w:rsidRPr="00C83BB4">
        <w:t xml:space="preserve">iolence </w:t>
      </w:r>
      <w:r>
        <w:t>r</w:t>
      </w:r>
      <w:r w:rsidRPr="00C83BB4">
        <w:t>efuges</w:t>
      </w:r>
    </w:p>
    <w:p w:rsidR="00E25CC6" w:rsidRPr="00940C9E" w:rsidRDefault="00E25CC6" w:rsidP="00585285">
      <w:pPr>
        <w:rPr>
          <w:bCs/>
          <w:szCs w:val="24"/>
        </w:rPr>
      </w:pPr>
      <w:r w:rsidRPr="00940C9E">
        <w:rPr>
          <w:bCs/>
          <w:szCs w:val="24"/>
        </w:rPr>
        <w:t xml:space="preserve">Four communal family violence refuges will be redeveloped into a </w:t>
      </w:r>
      <w:r>
        <w:rPr>
          <w:bCs/>
          <w:szCs w:val="24"/>
        </w:rPr>
        <w:t>‘</w:t>
      </w:r>
      <w:r w:rsidRPr="00940C9E">
        <w:rPr>
          <w:bCs/>
          <w:szCs w:val="24"/>
        </w:rPr>
        <w:t>core and cluster</w:t>
      </w:r>
      <w:r>
        <w:rPr>
          <w:bCs/>
          <w:szCs w:val="24"/>
        </w:rPr>
        <w:t>’</w:t>
      </w:r>
      <w:r w:rsidRPr="00940C9E">
        <w:rPr>
          <w:bCs/>
          <w:szCs w:val="24"/>
        </w:rPr>
        <w:t xml:space="preserve"> model, enabling people to reside in separate dwellings. Funding will enable 24 hour staffing at up to six refuges. This provides a </w:t>
      </w:r>
      <w:r>
        <w:rPr>
          <w:bCs/>
          <w:szCs w:val="24"/>
        </w:rPr>
        <w:t>safe</w:t>
      </w:r>
      <w:r w:rsidRPr="00940C9E">
        <w:rPr>
          <w:bCs/>
          <w:szCs w:val="24"/>
        </w:rPr>
        <w:t xml:space="preserve"> environment where families can recover from violence and children can live </w:t>
      </w:r>
      <w:r>
        <w:rPr>
          <w:bCs/>
          <w:szCs w:val="24"/>
        </w:rPr>
        <w:t>without trauma</w:t>
      </w:r>
      <w:r w:rsidRPr="00940C9E">
        <w:rPr>
          <w:bCs/>
          <w:szCs w:val="24"/>
        </w:rPr>
        <w:t>.</w:t>
      </w:r>
    </w:p>
    <w:p w:rsidR="00E25CC6" w:rsidRPr="00940C9E" w:rsidRDefault="00E25CC6" w:rsidP="00585285">
      <w:pPr>
        <w:rPr>
          <w:bCs/>
          <w:szCs w:val="24"/>
        </w:rPr>
      </w:pPr>
      <w:r w:rsidRPr="00940C9E">
        <w:rPr>
          <w:bCs/>
          <w:szCs w:val="24"/>
        </w:rPr>
        <w:t>This initiative contributes to the Department of Health and Human Services</w:t>
      </w:r>
      <w:r>
        <w:rPr>
          <w:bCs/>
          <w:szCs w:val="24"/>
        </w:rPr>
        <w:t>’</w:t>
      </w:r>
      <w:r w:rsidRPr="00940C9E">
        <w:rPr>
          <w:bCs/>
          <w:szCs w:val="24"/>
        </w:rPr>
        <w:t xml:space="preserve"> Housing Assistance output.</w:t>
      </w:r>
    </w:p>
    <w:p w:rsidR="00E25CC6" w:rsidRPr="00612E2C" w:rsidRDefault="00E25CC6" w:rsidP="00195647">
      <w:pPr>
        <w:pStyle w:val="Heading4"/>
      </w:pPr>
      <w:r w:rsidRPr="00612E2C">
        <w:t>Multi</w:t>
      </w:r>
      <w:r>
        <w:noBreakHyphen/>
      </w:r>
      <w:r w:rsidRPr="00612E2C">
        <w:t>agency risk assessment and safeguarding</w:t>
      </w:r>
    </w:p>
    <w:p w:rsidR="00E25CC6" w:rsidRPr="00940C9E" w:rsidRDefault="00E25CC6" w:rsidP="009852FE">
      <w:pPr>
        <w:rPr>
          <w:bCs/>
          <w:szCs w:val="24"/>
        </w:rPr>
      </w:pPr>
      <w:r w:rsidRPr="00940C9E">
        <w:rPr>
          <w:bCs/>
          <w:szCs w:val="24"/>
        </w:rPr>
        <w:t xml:space="preserve">Refer to the output initiative for a description of this initiative. </w:t>
      </w:r>
    </w:p>
    <w:p w:rsidR="00E25CC6" w:rsidRPr="00612E2C" w:rsidRDefault="00E25CC6" w:rsidP="00195647">
      <w:pPr>
        <w:pStyle w:val="Heading4"/>
      </w:pPr>
      <w:r>
        <w:t xml:space="preserve">Specialist family violence </w:t>
      </w:r>
      <w:r w:rsidRPr="00612E2C">
        <w:t>navigators</w:t>
      </w:r>
    </w:p>
    <w:p w:rsidR="00E25CC6" w:rsidRPr="00940C9E" w:rsidRDefault="00E25CC6" w:rsidP="009852FE">
      <w:pPr>
        <w:rPr>
          <w:bCs/>
          <w:szCs w:val="24"/>
        </w:rPr>
      </w:pPr>
      <w:r w:rsidRPr="00940C9E">
        <w:rPr>
          <w:bCs/>
          <w:szCs w:val="24"/>
        </w:rPr>
        <w:t xml:space="preserve">Refer to the output initiative for a description of this initiative. </w:t>
      </w:r>
    </w:p>
    <w:p w:rsidR="00E25CC6" w:rsidRPr="00612E2C" w:rsidRDefault="00E25CC6" w:rsidP="009852FE">
      <w:pPr>
        <w:pStyle w:val="Heading4"/>
      </w:pPr>
      <w:r w:rsidRPr="00612E2C">
        <w:t>Support for vulnerable children</w:t>
      </w:r>
    </w:p>
    <w:p w:rsidR="00E25CC6" w:rsidRPr="00DD6B7F" w:rsidRDefault="00E25CC6" w:rsidP="009852FE">
      <w:pPr>
        <w:pStyle w:val="Heading5"/>
      </w:pPr>
      <w:r w:rsidRPr="00DD6B7F">
        <w:t>Out</w:t>
      </w:r>
      <w:r>
        <w:noBreakHyphen/>
      </w:r>
      <w:r w:rsidRPr="00DD6B7F">
        <w:t>of</w:t>
      </w:r>
      <w:r>
        <w:noBreakHyphen/>
      </w:r>
      <w:r w:rsidRPr="00DD6B7F">
        <w:t xml:space="preserve">home care </w:t>
      </w:r>
      <w:r>
        <w:t>–</w:t>
      </w:r>
      <w:r w:rsidRPr="00DD6B7F">
        <w:t xml:space="preserve"> stock renewal or replacement</w:t>
      </w:r>
    </w:p>
    <w:p w:rsidR="00E25CC6" w:rsidRPr="00940C9E" w:rsidRDefault="00E25CC6" w:rsidP="009852FE">
      <w:pPr>
        <w:rPr>
          <w:bCs/>
          <w:szCs w:val="24"/>
        </w:rPr>
      </w:pPr>
      <w:r w:rsidRPr="00940C9E">
        <w:rPr>
          <w:bCs/>
          <w:szCs w:val="24"/>
        </w:rPr>
        <w:t>Residential out</w:t>
      </w:r>
      <w:r>
        <w:rPr>
          <w:bCs/>
          <w:szCs w:val="24"/>
        </w:rPr>
        <w:noBreakHyphen/>
      </w:r>
      <w:r w:rsidRPr="00940C9E">
        <w:rPr>
          <w:bCs/>
          <w:szCs w:val="24"/>
        </w:rPr>
        <w:t>of</w:t>
      </w:r>
      <w:r>
        <w:rPr>
          <w:bCs/>
          <w:szCs w:val="24"/>
        </w:rPr>
        <w:noBreakHyphen/>
      </w:r>
      <w:r w:rsidRPr="00940C9E">
        <w:rPr>
          <w:bCs/>
          <w:szCs w:val="24"/>
        </w:rPr>
        <w:t xml:space="preserve">home care properties will be renewed or replaced so that they are fit for purpose. The investment will make properties safer and improve the environment for children in residential care. </w:t>
      </w:r>
    </w:p>
    <w:p w:rsidR="00E25CC6" w:rsidRPr="00940C9E" w:rsidRDefault="00E25CC6" w:rsidP="002F12F7">
      <w:r w:rsidRPr="00940C9E">
        <w:t>This initiative contributes to the Department of Health and Human Services</w:t>
      </w:r>
      <w:r>
        <w:t>’</w:t>
      </w:r>
      <w:r w:rsidRPr="00940C9E">
        <w:t xml:space="preserve"> Child Protection and Family Services output.</w:t>
      </w:r>
      <w:bookmarkEnd w:id="9"/>
      <w:r>
        <w:fldChar w:fldCharType="begin"/>
      </w:r>
      <w:r>
        <w:instrText xml:space="preserve"> XE "</w:instrText>
      </w:r>
      <w:r w:rsidRPr="007810D7">
        <w:instrText>Family Violence</w:instrText>
      </w:r>
      <w:r>
        <w:instrText xml:space="preserve">" \r "FamViolWOG" </w:instrText>
      </w:r>
      <w:r>
        <w:fldChar w:fldCharType="end"/>
      </w:r>
    </w:p>
    <w:p w:rsidR="00E25CC6" w:rsidRDefault="00E25CC6">
      <w:pPr>
        <w:spacing w:after="0"/>
        <w:rPr>
          <w:rFonts w:ascii="Calibri" w:hAnsi="Calibri"/>
          <w:b/>
          <w:caps/>
          <w:sz w:val="26"/>
          <w:szCs w:val="22"/>
        </w:rPr>
      </w:pPr>
      <w:r>
        <w:br w:type="page"/>
      </w:r>
    </w:p>
    <w:p w:rsidR="00E25CC6" w:rsidRPr="00F16216" w:rsidRDefault="00E25CC6" w:rsidP="00F16216">
      <w:pPr>
        <w:pStyle w:val="Heading1"/>
      </w:pPr>
      <w:bookmarkStart w:id="10" w:name="_Toc449109423"/>
      <w:r w:rsidRPr="00F16216">
        <w:t>Whole of Government – Hazelwood</w:t>
      </w:r>
      <w:bookmarkEnd w:id="10"/>
    </w:p>
    <w:p w:rsidR="00E25CC6" w:rsidRDefault="00E25CC6" w:rsidP="000E019D">
      <w:pPr>
        <w:rPr>
          <w:lang w:eastAsia="en-AU"/>
        </w:rPr>
      </w:pPr>
      <w:bookmarkStart w:id="11" w:name="HazelWOG"/>
      <w:r>
        <w:rPr>
          <w:lang w:eastAsia="en-AU"/>
        </w:rPr>
        <w:t>The Hazelwood Mine Fire Inquiry was re</w:t>
      </w:r>
      <w:r>
        <w:rPr>
          <w:lang w:eastAsia="en-AU"/>
        </w:rPr>
        <w:noBreakHyphen/>
        <w:t>opened by the Government in May 2015 to investigate community concerns following the 2014 fire and consider rehabilitation at Latrobe Valley’s coal mines.</w:t>
      </w:r>
    </w:p>
    <w:p w:rsidR="00E25CC6" w:rsidRPr="00266544" w:rsidRDefault="00E25CC6" w:rsidP="00266544">
      <w:r>
        <w:rPr>
          <w:lang w:eastAsia="en-AU"/>
        </w:rPr>
        <w:t>The Government supports the recommendations in the re</w:t>
      </w:r>
      <w:r>
        <w:rPr>
          <w:lang w:eastAsia="en-AU"/>
        </w:rPr>
        <w:noBreakHyphen/>
        <w:t xml:space="preserve">opened Inquiry report and has developed a response to the Inquiry’s recommendations. </w:t>
      </w:r>
    </w:p>
    <w:p w:rsidR="00E25CC6" w:rsidRDefault="00E25CC6" w:rsidP="00F2364E">
      <w:pPr>
        <w:pStyle w:val="Heading3"/>
      </w:pPr>
      <w:r>
        <w:t>Output initiatives</w:t>
      </w:r>
    </w:p>
    <w:p w:rsidR="00E25CC6" w:rsidRDefault="00E25CC6" w:rsidP="00341B58">
      <w:pPr>
        <w:pStyle w:val="Tableheading"/>
      </w:pPr>
      <w:r>
        <w:t>Table 1.6:</w:t>
      </w:r>
      <w:r>
        <w:tab/>
        <w:t>Output initiatives –</w:t>
      </w:r>
      <w:r w:rsidRPr="00FA2145">
        <w:rPr>
          <w:rFonts w:eastAsiaTheme="minorHAnsi"/>
        </w:rPr>
        <w:t xml:space="preserve"> </w:t>
      </w:r>
      <w:r>
        <w:t>Hazelwood</w:t>
      </w:r>
    </w:p>
    <w:p w:rsidR="00E25CC6" w:rsidRPr="001101B0" w:rsidRDefault="00E25CC6" w:rsidP="001101B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32"/>
        <w:gridCol w:w="848"/>
        <w:gridCol w:w="849"/>
        <w:gridCol w:w="849"/>
        <w:gridCol w:w="849"/>
        <w:gridCol w:w="849"/>
      </w:tblGrid>
      <w:tr w:rsidR="00E25CC6" w:rsidRPr="001101B0" w:rsidTr="001101B0">
        <w:tc>
          <w:tcPr>
            <w:tcW w:w="3532"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1101B0">
            <w:pPr>
              <w:pStyle w:val="Tabletext"/>
              <w:rPr>
                <w:rFonts w:eastAsiaTheme="minorEastAsia"/>
                <w:lang w:eastAsia="en-AU"/>
              </w:rPr>
            </w:pPr>
          </w:p>
        </w:tc>
        <w:tc>
          <w:tcPr>
            <w:tcW w:w="848"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49"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49"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49"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49" w:type="dxa"/>
            <w:tcBorders>
              <w:top w:val="single" w:sz="4" w:space="0" w:color="auto"/>
              <w:left w:val="nil"/>
              <w:bottom w:val="single" w:sz="4" w:space="0" w:color="auto"/>
              <w:right w:val="single" w:sz="4" w:space="0" w:color="auto"/>
            </w:tcBorders>
            <w:shd w:val="clear" w:color="auto" w:fill="000000"/>
          </w:tcPr>
          <w:p w:rsidR="00E25CC6" w:rsidRPr="001101B0" w:rsidRDefault="00E25CC6" w:rsidP="001101B0">
            <w:pPr>
              <w:pStyle w:val="Tabletextheading"/>
              <w:rPr>
                <w:rFonts w:eastAsiaTheme="minorEastAsia" w:cs="Calibri"/>
                <w:iCs/>
                <w:color w:val="000000"/>
                <w:lang w:eastAsia="en-AU"/>
              </w:rPr>
            </w:pPr>
            <w:r w:rsidRPr="001101B0">
              <w:rPr>
                <w:rFonts w:eastAsiaTheme="minorEastAsia" w:cs="Calibri"/>
                <w:iCs/>
                <w:color w:val="000000"/>
                <w:lang w:eastAsia="en-AU"/>
              </w:rPr>
              <w:t>2019</w:t>
            </w:r>
            <w:r>
              <w:rPr>
                <w:rFonts w:eastAsiaTheme="minorEastAsia" w:cs="Calibri"/>
                <w:iCs/>
                <w:color w:val="000000"/>
                <w:lang w:eastAsia="en-AU"/>
              </w:rPr>
              <w:noBreakHyphen/>
            </w:r>
            <w:r w:rsidRPr="001101B0">
              <w:rPr>
                <w:rFonts w:eastAsiaTheme="minorEastAsia" w:cs="Calibri"/>
                <w:iCs/>
                <w:color w:val="000000"/>
                <w:lang w:eastAsia="en-AU"/>
              </w:rPr>
              <w:t>20</w:t>
            </w:r>
          </w:p>
        </w:tc>
      </w:tr>
      <w:tr w:rsidR="00E25CC6" w:rsidRPr="001101B0" w:rsidTr="001101B0">
        <w:tc>
          <w:tcPr>
            <w:tcW w:w="3532" w:type="dxa"/>
            <w:tcBorders>
              <w:top w:val="single" w:sz="4" w:space="0" w:color="auto"/>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Coal mine taskforce</w:t>
            </w:r>
          </w:p>
        </w:tc>
        <w:tc>
          <w:tcPr>
            <w:tcW w:w="848" w:type="dxa"/>
            <w:tcBorders>
              <w:top w:val="single" w:sz="4" w:space="0" w:color="auto"/>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0.2</w:t>
            </w:r>
          </w:p>
        </w:tc>
        <w:tc>
          <w:tcPr>
            <w:tcW w:w="849" w:type="dxa"/>
            <w:tcBorders>
              <w:top w:val="single" w:sz="4" w:space="0" w:color="auto"/>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single" w:sz="4" w:space="0" w:color="auto"/>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single" w:sz="4" w:space="0" w:color="auto"/>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single" w:sz="4" w:space="0" w:color="auto"/>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Community engagement model</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Detection, analysis and monitoring</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0.5</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0.0</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0.0</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0.0</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0.0</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Emergency management</w:t>
            </w:r>
            <w:r>
              <w:rPr>
                <w:rFonts w:eastAsiaTheme="minorEastAsia"/>
                <w:lang w:eastAsia="en-AU"/>
              </w:rPr>
              <w:t xml:space="preserve"> – </w:t>
            </w:r>
            <w:r w:rsidRPr="001101B0">
              <w:rPr>
                <w:rFonts w:eastAsiaTheme="minorEastAsia"/>
                <w:lang w:eastAsia="en-AU"/>
              </w:rPr>
              <w:t>program management</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Healthy and strong Latrobe</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0.4</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6.6</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6.7</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6.8</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6.9</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Implementation monitoring</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0.2</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0.3</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0.3</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Implementation of re</w:t>
            </w:r>
            <w:r>
              <w:rPr>
                <w:rFonts w:eastAsiaTheme="minorEastAsia"/>
                <w:lang w:eastAsia="en-AU"/>
              </w:rPr>
              <w:noBreakHyphen/>
            </w:r>
            <w:r w:rsidRPr="001101B0">
              <w:rPr>
                <w:rFonts w:eastAsiaTheme="minorEastAsia"/>
                <w:lang w:eastAsia="en-AU"/>
              </w:rPr>
              <w:t>opened Hazelwood Inquiry reports</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0.4</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c>
          <w:tcPr>
            <w:tcW w:w="3532" w:type="dxa"/>
            <w:tcBorders>
              <w:top w:val="nil"/>
              <w:left w:val="nil"/>
              <w:bottom w:val="nil"/>
              <w:right w:val="nil"/>
            </w:tcBorders>
            <w:shd w:val="solid" w:color="FFFFFF" w:fill="auto"/>
          </w:tcPr>
          <w:p w:rsidR="00E25CC6" w:rsidRPr="001101B0" w:rsidRDefault="00E25CC6" w:rsidP="001101B0">
            <w:pPr>
              <w:pStyle w:val="Tabletext"/>
              <w:rPr>
                <w:rFonts w:eastAsiaTheme="minorEastAsia"/>
                <w:lang w:eastAsia="en-AU"/>
              </w:rPr>
            </w:pPr>
            <w:r w:rsidRPr="001101B0">
              <w:rPr>
                <w:rFonts w:eastAsiaTheme="minorEastAsia"/>
                <w:lang w:eastAsia="en-AU"/>
              </w:rPr>
              <w:t>Integrated predictive model</w:t>
            </w:r>
          </w:p>
        </w:tc>
        <w:tc>
          <w:tcPr>
            <w:tcW w:w="848"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0.6</w:t>
            </w:r>
          </w:p>
        </w:tc>
        <w:tc>
          <w:tcPr>
            <w:tcW w:w="849"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0.7</w:t>
            </w:r>
          </w:p>
        </w:tc>
        <w:tc>
          <w:tcPr>
            <w:tcW w:w="849"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0.2</w:t>
            </w:r>
          </w:p>
        </w:tc>
        <w:tc>
          <w:tcPr>
            <w:tcW w:w="849"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0.2</w:t>
            </w:r>
          </w:p>
        </w:tc>
      </w:tr>
      <w:tr w:rsidR="00E25CC6" w:rsidRPr="001101B0" w:rsidTr="001101B0">
        <w:tc>
          <w:tcPr>
            <w:tcW w:w="3532" w:type="dxa"/>
            <w:tcBorders>
              <w:top w:val="nil"/>
              <w:left w:val="nil"/>
              <w:bottom w:val="nil"/>
              <w:right w:val="nil"/>
            </w:tcBorders>
            <w:shd w:val="solid" w:color="FFFFFF" w:fill="auto"/>
          </w:tcPr>
          <w:p w:rsidR="00E25CC6" w:rsidRPr="001101B0" w:rsidRDefault="00E25CC6" w:rsidP="001101B0">
            <w:pPr>
              <w:pStyle w:val="Tabletext"/>
              <w:rPr>
                <w:rFonts w:eastAsiaTheme="minorEastAsia"/>
                <w:lang w:eastAsia="en-AU"/>
              </w:rPr>
            </w:pPr>
            <w:r w:rsidRPr="001101B0">
              <w:rPr>
                <w:rFonts w:eastAsiaTheme="minorEastAsia"/>
                <w:lang w:eastAsia="en-AU"/>
              </w:rPr>
              <w:t>Latrobe Valley community air monitoring and Citizen Science Program</w:t>
            </w:r>
          </w:p>
        </w:tc>
        <w:tc>
          <w:tcPr>
            <w:tcW w:w="848"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0.5</w:t>
            </w:r>
          </w:p>
        </w:tc>
        <w:tc>
          <w:tcPr>
            <w:tcW w:w="849"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0.5</w:t>
            </w:r>
          </w:p>
        </w:tc>
        <w:tc>
          <w:tcPr>
            <w:tcW w:w="849"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0.8</w:t>
            </w:r>
          </w:p>
        </w:tc>
        <w:tc>
          <w:tcPr>
            <w:tcW w:w="849"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0.9</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Plume modelling platform for toxic atmosphere</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0.4</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0.1</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Regional rehabilitation strategy</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3.9</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3.7</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3.5</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2.7</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Smoke detection infrastructure</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0.0</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0.1</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0.1</w:t>
            </w:r>
          </w:p>
        </w:tc>
      </w:tr>
      <w:tr w:rsidR="00E25CC6" w:rsidRPr="001101B0" w:rsidTr="001101B0">
        <w:tc>
          <w:tcPr>
            <w:tcW w:w="3532"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State crisis communication strategy</w:t>
            </w:r>
          </w:p>
        </w:tc>
        <w:tc>
          <w:tcPr>
            <w:tcW w:w="848"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0.2</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0.2</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49"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c>
          <w:tcPr>
            <w:tcW w:w="3532"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text"/>
              <w:rPr>
                <w:rFonts w:eastAsiaTheme="minorEastAsia"/>
                <w:b/>
                <w:bCs/>
                <w:vertAlign w:val="superscript"/>
                <w:lang w:eastAsia="en-AU"/>
              </w:rPr>
            </w:pPr>
            <w:r w:rsidRPr="001101B0">
              <w:rPr>
                <w:rFonts w:eastAsiaTheme="minorEastAsia"/>
                <w:b/>
                <w:bCs/>
                <w:lang w:eastAsia="en-AU"/>
              </w:rPr>
              <w:t xml:space="preserve">Total output initiatives </w:t>
            </w:r>
            <w:r w:rsidRPr="001101B0">
              <w:rPr>
                <w:rFonts w:eastAsiaTheme="minorEastAsia"/>
                <w:b/>
                <w:bCs/>
                <w:vertAlign w:val="superscript"/>
                <w:lang w:eastAsia="en-AU"/>
              </w:rPr>
              <w:t>(a)</w:t>
            </w:r>
          </w:p>
        </w:tc>
        <w:tc>
          <w:tcPr>
            <w:tcW w:w="848"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1.9</w:t>
            </w:r>
          </w:p>
        </w:tc>
        <w:tc>
          <w:tcPr>
            <w:tcW w:w="849"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12.6</w:t>
            </w:r>
          </w:p>
        </w:tc>
        <w:tc>
          <w:tcPr>
            <w:tcW w:w="849"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12.4</w:t>
            </w:r>
          </w:p>
        </w:tc>
        <w:tc>
          <w:tcPr>
            <w:tcW w:w="849"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12.1</w:t>
            </w:r>
          </w:p>
        </w:tc>
        <w:tc>
          <w:tcPr>
            <w:tcW w:w="849" w:type="dxa"/>
            <w:tcBorders>
              <w:top w:val="single" w:sz="6" w:space="0" w:color="auto"/>
              <w:left w:val="nil"/>
              <w:bottom w:val="single" w:sz="12" w:space="0" w:color="auto"/>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b/>
                <w:bCs/>
                <w:color w:val="000000"/>
                <w:sz w:val="20"/>
                <w:lang w:eastAsia="en-AU"/>
              </w:rPr>
            </w:pPr>
            <w:r w:rsidRPr="001101B0">
              <w:rPr>
                <w:rFonts w:ascii="Calibri" w:eastAsiaTheme="minorEastAsia" w:hAnsi="Calibri" w:cs="Calibri"/>
                <w:b/>
                <w:bCs/>
                <w:color w:val="000000"/>
                <w:sz w:val="20"/>
                <w:lang w:eastAsia="en-AU"/>
              </w:rPr>
              <w:t xml:space="preserve"> 10.9</w:t>
            </w:r>
          </w:p>
        </w:tc>
      </w:tr>
    </w:tbl>
    <w:p w:rsidR="00E25CC6" w:rsidRDefault="00E25CC6" w:rsidP="00566998">
      <w:pPr>
        <w:pStyle w:val="Source"/>
      </w:pPr>
      <w:r>
        <w:t>Source: Department of Treasury and Finance</w:t>
      </w:r>
    </w:p>
    <w:p w:rsidR="00E25CC6" w:rsidRDefault="00E25CC6" w:rsidP="00566998">
      <w:pPr>
        <w:pStyle w:val="Notes"/>
      </w:pPr>
      <w:r>
        <w:t xml:space="preserve">Notes: </w:t>
      </w:r>
    </w:p>
    <w:p w:rsidR="00E25CC6" w:rsidRDefault="00E25CC6" w:rsidP="00566998">
      <w:pPr>
        <w:pStyle w:val="Notes"/>
      </w:pPr>
      <w:r>
        <w:t>(a)</w:t>
      </w:r>
      <w:r>
        <w:tab/>
        <w:t>Funding is represented as $0.0 due to rounding. $683 000 is allocated over five years for Detection, analysis and monitoring.</w:t>
      </w:r>
    </w:p>
    <w:p w:rsidR="00E25CC6" w:rsidRDefault="00E25CC6" w:rsidP="00566998">
      <w:pPr>
        <w:pStyle w:val="Notes"/>
      </w:pPr>
      <w:r>
        <w:t>(b)</w:t>
      </w:r>
      <w:r>
        <w:tab/>
        <w:t>Tables may not add due to rounding.</w:t>
      </w:r>
    </w:p>
    <w:p w:rsidR="00E25CC6" w:rsidRDefault="00E25CC6" w:rsidP="00566998">
      <w:pPr>
        <w:pStyle w:val="Notes"/>
      </w:pPr>
    </w:p>
    <w:p w:rsidR="00E25CC6" w:rsidRDefault="00E25CC6" w:rsidP="00111731">
      <w:pPr>
        <w:pStyle w:val="Heading5"/>
      </w:pPr>
      <w:r>
        <w:t>Coal mine taskforce</w:t>
      </w:r>
    </w:p>
    <w:p w:rsidR="00E25CC6" w:rsidRDefault="00E25CC6" w:rsidP="00111731">
      <w:r>
        <w:t xml:space="preserve">Emergency Management Victoria will continue to support the Latrobe Valley Coal Mine Taskforce. The Taskforce will review the fire and emergency preparedness of the Latrobe Valley coal mines, as well as improve interoperability between the coal industry, government agencies and the community. </w:t>
      </w:r>
    </w:p>
    <w:p w:rsidR="00E25CC6" w:rsidRDefault="00E25CC6" w:rsidP="00111731">
      <w:r>
        <w:t>This initiative contributes to the Department of Justice and Regulation’s Emergency Management Capability output.</w:t>
      </w:r>
    </w:p>
    <w:p w:rsidR="00E25CC6" w:rsidRDefault="00E25CC6" w:rsidP="00111731">
      <w:pPr>
        <w:pStyle w:val="Heading5"/>
      </w:pPr>
      <w:r>
        <w:t xml:space="preserve">Community engagement model </w:t>
      </w:r>
    </w:p>
    <w:p w:rsidR="00E25CC6" w:rsidRDefault="00E25CC6" w:rsidP="00111731">
      <w:r>
        <w:t xml:space="preserve">Emergency Management Victoria will provide guidance to the Latrobe Valley community during the development of a community specific emergency management planning framework. </w:t>
      </w:r>
    </w:p>
    <w:p w:rsidR="00E25CC6" w:rsidRPr="00400A4E" w:rsidRDefault="00E25CC6" w:rsidP="00111731">
      <w:r>
        <w:t>This initiative contributes to the Department of Justice and Regulation’s Emergency Management Capability output.</w:t>
      </w:r>
    </w:p>
    <w:p w:rsidR="00E25CC6" w:rsidRDefault="00E25CC6" w:rsidP="00111731">
      <w:pPr>
        <w:pStyle w:val="Heading5"/>
      </w:pPr>
      <w:r>
        <w:t xml:space="preserve">Detection, analysis and monitoring </w:t>
      </w:r>
    </w:p>
    <w:p w:rsidR="00E25CC6" w:rsidRDefault="00E25CC6" w:rsidP="00F4370F">
      <w:pPr>
        <w:rPr>
          <w:lang w:eastAsia="en-AU"/>
        </w:rPr>
      </w:pPr>
      <w:r>
        <w:rPr>
          <w:lang w:eastAsia="en-AU"/>
        </w:rPr>
        <w:t xml:space="preserve">The Metropolitan Fire Brigade and the Country Fire Authority’s ability to remotely monitor air quality within 24 hours of responding to a hazardous event will be enhanced. Remote air monitoring will allow first responders to make informed decisions regarding the safety of events. </w:t>
      </w:r>
    </w:p>
    <w:p w:rsidR="00E25CC6" w:rsidRDefault="00E25CC6" w:rsidP="00111731">
      <w:r>
        <w:t>This initiative contributes to the Department of Justice and Regulation’s Emergency Management Capability output.</w:t>
      </w:r>
    </w:p>
    <w:p w:rsidR="00E25CC6" w:rsidRDefault="00E25CC6" w:rsidP="00FE41B3">
      <w:pPr>
        <w:pStyle w:val="Heading5"/>
      </w:pPr>
      <w:r>
        <w:t>Emergency management – program management</w:t>
      </w:r>
    </w:p>
    <w:p w:rsidR="00E25CC6" w:rsidRDefault="00E25CC6" w:rsidP="00FE41B3">
      <w:r>
        <w:t xml:space="preserve">Additional resources will be provided to Emergency Management Victoria to monitor the implementation of the remaining 2014 Inquiry Report recommendations and affirmations. </w:t>
      </w:r>
    </w:p>
    <w:p w:rsidR="00E25CC6" w:rsidRDefault="00E25CC6" w:rsidP="00FE41B3">
      <w:r>
        <w:t>This initiative contributes to the Department of Justice and Regulation’s Emergency Management Capability output.</w:t>
      </w:r>
    </w:p>
    <w:p w:rsidR="00E25CC6" w:rsidRDefault="00E25CC6" w:rsidP="00111731">
      <w:pPr>
        <w:pStyle w:val="Heading5"/>
      </w:pPr>
      <w:r>
        <w:t>Healthy and strong Latrobe</w:t>
      </w:r>
    </w:p>
    <w:p w:rsidR="00E25CC6" w:rsidRDefault="00E25CC6" w:rsidP="00B000F0">
      <w:pPr>
        <w:rPr>
          <w:lang w:eastAsia="en-AU"/>
        </w:rPr>
      </w:pPr>
      <w:r>
        <w:rPr>
          <w:lang w:eastAsia="en-AU"/>
        </w:rPr>
        <w:t>A range of health measures will be introduced to respond to the Hazelwood Mine Fire Inquiry Report recommendations. This includes a Health Innovation Zone to co</w:t>
      </w:r>
      <w:r>
        <w:rPr>
          <w:lang w:eastAsia="en-AU"/>
        </w:rPr>
        <w:noBreakHyphen/>
        <w:t xml:space="preserve">design preventive health programs and early intervention and screening activities such as immunisation. </w:t>
      </w:r>
    </w:p>
    <w:p w:rsidR="00E25CC6" w:rsidRDefault="00E25CC6" w:rsidP="00B000F0">
      <w:pPr>
        <w:rPr>
          <w:lang w:eastAsia="en-AU"/>
        </w:rPr>
      </w:pPr>
      <w:r>
        <w:rPr>
          <w:lang w:eastAsia="en-AU"/>
        </w:rPr>
        <w:t>Priority services will be expanded including respiratory nursing services, Aboriginal and mental health support and coordinated chronic disease management.</w:t>
      </w:r>
    </w:p>
    <w:p w:rsidR="00E25CC6" w:rsidRDefault="00E25CC6" w:rsidP="00B000F0">
      <w:pPr>
        <w:rPr>
          <w:lang w:eastAsia="en-AU"/>
        </w:rPr>
      </w:pPr>
      <w:r>
        <w:rPr>
          <w:lang w:eastAsia="en-AU"/>
        </w:rPr>
        <w:t>In addition, the scope of the long</w:t>
      </w:r>
      <w:r>
        <w:rPr>
          <w:lang w:eastAsia="en-AU"/>
        </w:rPr>
        <w:noBreakHyphen/>
        <w:t>term health study will be reviewed and tests conducted for ash in roof cavities in Morwell.</w:t>
      </w:r>
    </w:p>
    <w:p w:rsidR="00E25CC6" w:rsidRDefault="00E25CC6" w:rsidP="00B000F0">
      <w:pPr>
        <w:rPr>
          <w:lang w:eastAsia="en-AU"/>
        </w:rPr>
      </w:pPr>
      <w:r>
        <w:rPr>
          <w:lang w:eastAsia="en-AU"/>
        </w:rPr>
        <w:t>This initiative contributes to the Department of Health and Human Services’:</w:t>
      </w:r>
    </w:p>
    <w:p w:rsidR="00E25CC6" w:rsidRDefault="00E25CC6" w:rsidP="00111731">
      <w:pPr>
        <w:pStyle w:val="BulletText"/>
        <w:rPr>
          <w:lang w:eastAsia="en-AU"/>
        </w:rPr>
      </w:pPr>
      <w:r>
        <w:rPr>
          <w:lang w:eastAsia="en-AU"/>
        </w:rPr>
        <w:t>Community Health Care output;</w:t>
      </w:r>
    </w:p>
    <w:p w:rsidR="00E25CC6" w:rsidRDefault="00E25CC6" w:rsidP="00111731">
      <w:pPr>
        <w:pStyle w:val="BulletText"/>
        <w:rPr>
          <w:rFonts w:cs="Garamond"/>
          <w:color w:val="000000"/>
          <w:szCs w:val="22"/>
          <w:lang w:eastAsia="en-AU"/>
        </w:rPr>
      </w:pPr>
      <w:r>
        <w:rPr>
          <w:rFonts w:cs="Garamond"/>
          <w:color w:val="000000"/>
          <w:szCs w:val="22"/>
          <w:lang w:eastAsia="en-AU"/>
        </w:rPr>
        <w:t>Health Advancement output;</w:t>
      </w:r>
    </w:p>
    <w:p w:rsidR="00E25CC6" w:rsidRDefault="00E25CC6" w:rsidP="00111731">
      <w:pPr>
        <w:pStyle w:val="BulletText"/>
        <w:rPr>
          <w:rFonts w:cs="Garamond"/>
          <w:color w:val="000000"/>
          <w:szCs w:val="22"/>
          <w:lang w:eastAsia="en-AU"/>
        </w:rPr>
      </w:pPr>
      <w:r>
        <w:rPr>
          <w:rFonts w:cs="Garamond"/>
          <w:color w:val="000000"/>
          <w:szCs w:val="22"/>
          <w:lang w:eastAsia="en-AU"/>
        </w:rPr>
        <w:t>Health Protection output; and</w:t>
      </w:r>
    </w:p>
    <w:p w:rsidR="00E25CC6" w:rsidRPr="00AC201E" w:rsidRDefault="00E25CC6" w:rsidP="00111731">
      <w:pPr>
        <w:pStyle w:val="BulletText"/>
        <w:rPr>
          <w:rFonts w:cs="Garamond"/>
          <w:color w:val="000000"/>
          <w:szCs w:val="22"/>
          <w:lang w:eastAsia="en-AU"/>
        </w:rPr>
      </w:pPr>
      <w:r>
        <w:rPr>
          <w:rFonts w:cs="Garamond"/>
          <w:color w:val="000000"/>
          <w:szCs w:val="22"/>
          <w:lang w:eastAsia="en-AU"/>
        </w:rPr>
        <w:t>Mental Health Community Support Services output.</w:t>
      </w:r>
    </w:p>
    <w:p w:rsidR="00E25CC6" w:rsidRDefault="00E25CC6" w:rsidP="005E4DC7">
      <w:pPr>
        <w:pStyle w:val="Heading5"/>
      </w:pPr>
      <w:r>
        <w:t xml:space="preserve">Implementation monitoring </w:t>
      </w:r>
    </w:p>
    <w:p w:rsidR="00E25CC6" w:rsidRDefault="00E25CC6" w:rsidP="005E4DC7">
      <w:r>
        <w:t>The Inspector General for Emergency Management will monitor the implementation of the recommendations of the 2014 Inquiry report as well as the recommendations of the re</w:t>
      </w:r>
      <w:r>
        <w:noBreakHyphen/>
        <w:t xml:space="preserve">opened Inquiry reports. </w:t>
      </w:r>
    </w:p>
    <w:p w:rsidR="00E25CC6" w:rsidRPr="00400A4E" w:rsidRDefault="00E25CC6" w:rsidP="005E4DC7">
      <w:r>
        <w:t>This initiative contributes to the Department of Justice and Regulation’s Emergency Management Capability output.</w:t>
      </w:r>
    </w:p>
    <w:p w:rsidR="00E25CC6" w:rsidRDefault="00E25CC6" w:rsidP="00111731">
      <w:pPr>
        <w:pStyle w:val="Heading5"/>
      </w:pPr>
      <w:r>
        <w:t>Implementation of the re</w:t>
      </w:r>
      <w:r>
        <w:noBreakHyphen/>
        <w:t>opened Hazelwood Inquiry reports</w:t>
      </w:r>
    </w:p>
    <w:p w:rsidR="00E25CC6" w:rsidRDefault="00E25CC6" w:rsidP="00111731">
      <w:r>
        <w:t>The Department of Premier and Cabinet will provide internal governance, oversight and coordination of the whole of government response to the re</w:t>
      </w:r>
      <w:r>
        <w:noBreakHyphen/>
        <w:t>opened Hazelwood Mine Fire Inquiry reports. This will enable the Government to meet its commitment to implementing the recommendations and affirmations of the re</w:t>
      </w:r>
      <w:r>
        <w:noBreakHyphen/>
        <w:t>opened Inquiry.</w:t>
      </w:r>
    </w:p>
    <w:p w:rsidR="00E25CC6" w:rsidRPr="00266544" w:rsidRDefault="00E25CC6" w:rsidP="00266544">
      <w:r>
        <w:t>This initiative contributes to the Department of Premier and Cabinet’s Government</w:t>
      </w:r>
      <w:r>
        <w:noBreakHyphen/>
        <w:t>wide Leadership, Reform and Implementation output.</w:t>
      </w:r>
    </w:p>
    <w:p w:rsidR="00E25CC6" w:rsidRPr="00CA3CA2" w:rsidRDefault="00E25CC6" w:rsidP="00771EEC">
      <w:pPr>
        <w:pStyle w:val="Heading5"/>
      </w:pPr>
      <w:r w:rsidRPr="00CA3CA2">
        <w:t xml:space="preserve">Integrated </w:t>
      </w:r>
      <w:r w:rsidRPr="00771EEC">
        <w:t>predictive</w:t>
      </w:r>
      <w:r w:rsidRPr="00CA3CA2">
        <w:t xml:space="preserve"> model</w:t>
      </w:r>
    </w:p>
    <w:p w:rsidR="00E25CC6" w:rsidRDefault="00E25CC6" w:rsidP="00CA3CA2">
      <w:pPr>
        <w:rPr>
          <w:lang w:eastAsia="en-AU"/>
        </w:rPr>
      </w:pPr>
      <w:r>
        <w:rPr>
          <w:lang w:eastAsia="en-AU"/>
        </w:rPr>
        <w:t>Hazard prediction tools for bushfire, flood, bushfire smoke and toxic atmospheric release will be combined into a comprehensive integrated predictive model, to be developed by the Department of Environment, Land, Water and Planning. This will help communities, agencies and industry across Victoria to assess risks before and during emergency events.</w:t>
      </w:r>
    </w:p>
    <w:p w:rsidR="00E25CC6" w:rsidRDefault="00E25CC6" w:rsidP="00CA3CA2">
      <w:pPr>
        <w:rPr>
          <w:lang w:eastAsia="en-AU"/>
        </w:rPr>
      </w:pPr>
      <w:r>
        <w:rPr>
          <w:lang w:eastAsia="en-AU"/>
        </w:rPr>
        <w:t xml:space="preserve">This initiative contributes to the Department of Environment, Land, Water and Planning’s Fire and Emergency Management output. </w:t>
      </w:r>
    </w:p>
    <w:p w:rsidR="00E25CC6" w:rsidRDefault="00E25CC6" w:rsidP="00111731">
      <w:pPr>
        <w:pStyle w:val="Heading5"/>
        <w:rPr>
          <w:lang w:eastAsia="en-AU"/>
        </w:rPr>
      </w:pPr>
      <w:r>
        <w:rPr>
          <w:lang w:eastAsia="en-AU"/>
        </w:rPr>
        <w:t>Latrobe Valley community air monitoring and Citizen Science Program</w:t>
      </w:r>
    </w:p>
    <w:p w:rsidR="00E25CC6" w:rsidRDefault="00E25CC6" w:rsidP="00111731">
      <w:pPr>
        <w:autoSpaceDE w:val="0"/>
        <w:autoSpaceDN w:val="0"/>
        <w:adjustRightInd w:val="0"/>
        <w:rPr>
          <w:rFonts w:cs="Garamond"/>
          <w:color w:val="000000"/>
          <w:szCs w:val="22"/>
          <w:lang w:eastAsia="en-AU"/>
        </w:rPr>
      </w:pPr>
      <w:r>
        <w:rPr>
          <w:rFonts w:cs="Garamond"/>
          <w:color w:val="000000"/>
          <w:szCs w:val="22"/>
          <w:lang w:eastAsia="en-AU"/>
        </w:rPr>
        <w:t>The four temporary air quality monitoring stations in the Latrobe Valley will be established as permanent stations, to monitor and publicly report on air quality. In addition, the Citizen Science program will allow citizens to monitor local air and water quality. This will be complemented by establishing a smoke and air quality sensor sub</w:t>
      </w:r>
      <w:r>
        <w:rPr>
          <w:rFonts w:cs="Garamond"/>
          <w:color w:val="000000"/>
          <w:szCs w:val="22"/>
          <w:lang w:eastAsia="en-AU"/>
        </w:rPr>
        <w:noBreakHyphen/>
        <w:t xml:space="preserve">network across the mine impacted towns of the Latrobe Valley, so the community can assess smoke danger via their smart phones. </w:t>
      </w:r>
    </w:p>
    <w:p w:rsidR="00E25CC6" w:rsidRDefault="00E25CC6" w:rsidP="00111731">
      <w:pPr>
        <w:autoSpaceDE w:val="0"/>
        <w:autoSpaceDN w:val="0"/>
        <w:adjustRightInd w:val="0"/>
        <w:rPr>
          <w:rFonts w:cs="Garamond"/>
          <w:color w:val="000000"/>
          <w:szCs w:val="22"/>
          <w:lang w:eastAsia="en-AU"/>
        </w:rPr>
      </w:pPr>
      <w:r>
        <w:rPr>
          <w:rFonts w:cs="Garamond"/>
          <w:color w:val="000000"/>
          <w:szCs w:val="22"/>
          <w:lang w:eastAsia="en-AU"/>
        </w:rPr>
        <w:t>This initiative contributes to the Department of Environment, Land, Water and Planning’s Statutory Activities and Environment Protection output.</w:t>
      </w:r>
    </w:p>
    <w:p w:rsidR="00E25CC6" w:rsidRDefault="00E25CC6" w:rsidP="00111731">
      <w:pPr>
        <w:pStyle w:val="Heading5"/>
      </w:pPr>
      <w:r>
        <w:t xml:space="preserve">Plume modelling platform for toxic atmosphere </w:t>
      </w:r>
    </w:p>
    <w:p w:rsidR="00E25CC6" w:rsidRDefault="00E25CC6" w:rsidP="00111731">
      <w:r w:rsidRPr="006A51AA">
        <w:t>The Country Fire Authority</w:t>
      </w:r>
      <w:r>
        <w:t xml:space="preserve"> will implement a plume modelling platform to monitor toxic atmospheric releases. The platform will provide the basis for real time modelling and integrated software packages enabling officers to make, interpret and communicate predictions. </w:t>
      </w:r>
    </w:p>
    <w:p w:rsidR="00E25CC6" w:rsidRDefault="00E25CC6" w:rsidP="00111731">
      <w:r>
        <w:t>This initiative contributes to the Department of Justice and Regulation’s Emergency Management Capability output.</w:t>
      </w:r>
    </w:p>
    <w:p w:rsidR="00E25CC6" w:rsidRPr="000221E5" w:rsidRDefault="00E25CC6" w:rsidP="007824F6">
      <w:pPr>
        <w:pStyle w:val="Heading5"/>
      </w:pPr>
      <w:r w:rsidRPr="000221E5">
        <w:t>Regional rehabilitation strategy</w:t>
      </w:r>
    </w:p>
    <w:p w:rsidR="00E25CC6" w:rsidRDefault="00E25CC6" w:rsidP="00901BA4">
      <w:pPr>
        <w:rPr>
          <w:lang w:eastAsia="en-AU"/>
        </w:rPr>
      </w:pPr>
      <w:r>
        <w:rPr>
          <w:lang w:eastAsia="en-AU"/>
        </w:rPr>
        <w:t>An integrated regional scale rehabilitation strategy will be developed covering the whole coal</w:t>
      </w:r>
      <w:r>
        <w:rPr>
          <w:lang w:eastAsia="en-AU"/>
        </w:rPr>
        <w:noBreakHyphen/>
        <w:t xml:space="preserve">bearing geological formation and the three major mine voids in the Latrobe Valley. This will assist with subsequent land use transition of the mine sites, and addresses a key issue highlighted in the Mine Fire Inquiry. </w:t>
      </w:r>
    </w:p>
    <w:p w:rsidR="00E25CC6" w:rsidRDefault="00E25CC6" w:rsidP="00901BA4">
      <w:pPr>
        <w:rPr>
          <w:lang w:eastAsia="en-AU"/>
        </w:rPr>
      </w:pPr>
      <w:r>
        <w:rPr>
          <w:lang w:eastAsia="en-AU"/>
        </w:rPr>
        <w:t xml:space="preserve">This initiative contributes to the Department of Economic Development, Jobs, Transport and Resources’ Energy and Resources output and the Department of Environment, Land, Water and Planning’s Planning, Building and Heritage output. </w:t>
      </w:r>
    </w:p>
    <w:p w:rsidR="00E25CC6" w:rsidRDefault="00E25CC6" w:rsidP="00901BA4">
      <w:pPr>
        <w:pStyle w:val="Heading5"/>
        <w:rPr>
          <w:lang w:eastAsia="en-AU"/>
        </w:rPr>
      </w:pPr>
      <w:r>
        <w:rPr>
          <w:lang w:eastAsia="en-AU"/>
        </w:rPr>
        <w:t>Smoke detection infrastructure</w:t>
      </w:r>
    </w:p>
    <w:p w:rsidR="00E25CC6" w:rsidRDefault="00E25CC6" w:rsidP="00D02E75">
      <w:pPr>
        <w:autoSpaceDE w:val="0"/>
        <w:autoSpaceDN w:val="0"/>
        <w:adjustRightInd w:val="0"/>
        <w:rPr>
          <w:rFonts w:cs="Garamond"/>
          <w:color w:val="000000"/>
          <w:szCs w:val="22"/>
          <w:lang w:eastAsia="en-AU"/>
        </w:rPr>
      </w:pPr>
      <w:r>
        <w:rPr>
          <w:rFonts w:cs="Garamond"/>
          <w:color w:val="000000"/>
          <w:szCs w:val="22"/>
          <w:lang w:eastAsia="en-AU"/>
        </w:rPr>
        <w:t>The Environment Protection Authority will purchase and maintain ten portable smoke detection units to deploy across Victoria as required. These units will provide timely and accurate smoke</w:t>
      </w:r>
      <w:r>
        <w:rPr>
          <w:rFonts w:cs="Garamond"/>
          <w:color w:val="000000"/>
          <w:szCs w:val="22"/>
          <w:lang w:eastAsia="en-AU"/>
        </w:rPr>
        <w:noBreakHyphen/>
        <w:t xml:space="preserve">related information to first responders to a fire event. </w:t>
      </w:r>
    </w:p>
    <w:p w:rsidR="00E25CC6" w:rsidRDefault="00E25CC6" w:rsidP="00D02E75">
      <w:pPr>
        <w:autoSpaceDE w:val="0"/>
        <w:autoSpaceDN w:val="0"/>
        <w:adjustRightInd w:val="0"/>
        <w:rPr>
          <w:rFonts w:cs="Garamond"/>
          <w:color w:val="000000"/>
          <w:szCs w:val="22"/>
          <w:lang w:eastAsia="en-AU"/>
        </w:rPr>
      </w:pPr>
      <w:r>
        <w:rPr>
          <w:rFonts w:cs="Garamond"/>
          <w:color w:val="000000"/>
          <w:szCs w:val="22"/>
          <w:lang w:eastAsia="en-AU"/>
        </w:rPr>
        <w:t>This initiative contributes to the Department of Environment, Land, Water and Planning’s Statutory Activities and Environment Protection output.</w:t>
      </w:r>
    </w:p>
    <w:p w:rsidR="00E25CC6" w:rsidRDefault="00E25CC6" w:rsidP="00D02E75">
      <w:pPr>
        <w:pStyle w:val="Heading5"/>
      </w:pPr>
      <w:r>
        <w:t>State crisis communications strategy</w:t>
      </w:r>
    </w:p>
    <w:p w:rsidR="00E25CC6" w:rsidRDefault="00E25CC6" w:rsidP="00D02E75">
      <w:r>
        <w:t xml:space="preserve">A State Crisis Communications Strategy will be developed and maintained ensuring all emergency response agencies have access to, and capability for, effective public communications during an emergency. </w:t>
      </w:r>
    </w:p>
    <w:p w:rsidR="00E25CC6" w:rsidRDefault="00E25CC6" w:rsidP="00D02E75">
      <w:r>
        <w:t>This initiative contributes to the Department of Justice and Regulation’s Emergency Management Capability output.</w:t>
      </w:r>
      <w:bookmarkEnd w:id="11"/>
      <w:r>
        <w:fldChar w:fldCharType="begin"/>
      </w:r>
      <w:r>
        <w:instrText xml:space="preserve"> XE "</w:instrText>
      </w:r>
      <w:r w:rsidRPr="007810D7">
        <w:rPr>
          <w:lang w:eastAsia="en-AU"/>
        </w:rPr>
        <w:instrText>Hazelwood Mine Fire</w:instrText>
      </w:r>
      <w:r>
        <w:instrText xml:space="preserve">" \r "HazelWOG" </w:instrText>
      </w:r>
      <w:r>
        <w:fldChar w:fldCharType="end"/>
      </w:r>
    </w:p>
    <w:p w:rsidR="00E25CC6" w:rsidRDefault="00E25CC6" w:rsidP="00F2364E">
      <w:pPr>
        <w:pStyle w:val="Heading3"/>
      </w:pPr>
      <w:r>
        <w:t>Assets initiatives</w:t>
      </w:r>
    </w:p>
    <w:p w:rsidR="00E25CC6" w:rsidRDefault="00E25CC6" w:rsidP="00341B58">
      <w:pPr>
        <w:pStyle w:val="Tableheading"/>
      </w:pPr>
      <w:r>
        <w:t>Table 1.7:</w:t>
      </w:r>
      <w:r>
        <w:tab/>
        <w:t>Asset initiatives –</w:t>
      </w:r>
      <w:r w:rsidRPr="00FA2145">
        <w:rPr>
          <w:rFonts w:eastAsiaTheme="minorHAnsi"/>
        </w:rPr>
        <w:t xml:space="preserve"> </w:t>
      </w:r>
      <w:r>
        <w:t>Hazelwood</w:t>
      </w:r>
    </w:p>
    <w:p w:rsidR="00E25CC6" w:rsidRDefault="00E25CC6" w:rsidP="00B9330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08"/>
        <w:gridCol w:w="861"/>
        <w:gridCol w:w="861"/>
        <w:gridCol w:w="862"/>
        <w:gridCol w:w="861"/>
        <w:gridCol w:w="861"/>
        <w:gridCol w:w="862"/>
      </w:tblGrid>
      <w:tr w:rsidR="00E25CC6" w:rsidRPr="00B93308" w:rsidTr="00B93308">
        <w:trPr>
          <w:cantSplit/>
        </w:trPr>
        <w:tc>
          <w:tcPr>
            <w:tcW w:w="2608" w:type="dxa"/>
            <w:tcBorders>
              <w:top w:val="single" w:sz="4" w:space="0" w:color="auto"/>
              <w:left w:val="single" w:sz="4" w:space="0" w:color="auto"/>
              <w:bottom w:val="single" w:sz="4" w:space="0" w:color="auto"/>
              <w:right w:val="nil"/>
            </w:tcBorders>
            <w:shd w:val="clear" w:color="auto" w:fill="000000"/>
          </w:tcPr>
          <w:p w:rsidR="00E25CC6" w:rsidRPr="00B93308" w:rsidRDefault="00E25CC6" w:rsidP="00B93308">
            <w:pPr>
              <w:pStyle w:val="Tabletext"/>
              <w:rPr>
                <w:rFonts w:eastAsiaTheme="minorEastAsia"/>
                <w:lang w:eastAsia="en-AU"/>
              </w:rPr>
            </w:pPr>
            <w:r w:rsidRPr="00B93308">
              <w:rPr>
                <w:rFonts w:eastAsiaTheme="minorEastAsia"/>
                <w:lang w:eastAsia="en-AU"/>
              </w:rPr>
              <w:t xml:space="preserve"> </w:t>
            </w:r>
          </w:p>
        </w:tc>
        <w:tc>
          <w:tcPr>
            <w:tcW w:w="861" w:type="dxa"/>
            <w:tcBorders>
              <w:top w:val="single" w:sz="4" w:space="0" w:color="auto"/>
              <w:left w:val="nil"/>
              <w:bottom w:val="single" w:sz="4" w:space="0" w:color="auto"/>
              <w:right w:val="nil"/>
            </w:tcBorders>
            <w:shd w:val="clear" w:color="auto" w:fill="000000"/>
          </w:tcPr>
          <w:p w:rsidR="00E25CC6" w:rsidRPr="00B93308" w:rsidRDefault="00E25CC6" w:rsidP="00B93308">
            <w:pPr>
              <w:pStyle w:val="Tabletextheading"/>
              <w:rPr>
                <w:rFonts w:eastAsiaTheme="minorEastAsia"/>
                <w:lang w:eastAsia="en-AU"/>
              </w:rPr>
            </w:pPr>
            <w:r w:rsidRPr="00B93308">
              <w:rPr>
                <w:rFonts w:eastAsiaTheme="minorEastAsia"/>
                <w:lang w:eastAsia="en-AU"/>
              </w:rPr>
              <w:t>2015</w:t>
            </w:r>
            <w:r>
              <w:rPr>
                <w:rFonts w:eastAsiaTheme="minorEastAsia"/>
                <w:lang w:eastAsia="en-AU"/>
              </w:rPr>
              <w:noBreakHyphen/>
            </w:r>
            <w:r w:rsidRPr="00B93308">
              <w:rPr>
                <w:rFonts w:eastAsiaTheme="minorEastAsia"/>
                <w:lang w:eastAsia="en-AU"/>
              </w:rPr>
              <w:t>16</w:t>
            </w:r>
          </w:p>
        </w:tc>
        <w:tc>
          <w:tcPr>
            <w:tcW w:w="861" w:type="dxa"/>
            <w:tcBorders>
              <w:top w:val="single" w:sz="4" w:space="0" w:color="auto"/>
              <w:left w:val="nil"/>
              <w:bottom w:val="single" w:sz="4" w:space="0" w:color="auto"/>
              <w:right w:val="nil"/>
            </w:tcBorders>
            <w:shd w:val="clear" w:color="auto" w:fill="000000"/>
          </w:tcPr>
          <w:p w:rsidR="00E25CC6" w:rsidRPr="00B93308" w:rsidRDefault="00E25CC6" w:rsidP="00B93308">
            <w:pPr>
              <w:pStyle w:val="Tabletextheading"/>
              <w:rPr>
                <w:rFonts w:eastAsiaTheme="minorEastAsia"/>
                <w:lang w:eastAsia="en-AU"/>
              </w:rPr>
            </w:pPr>
            <w:r w:rsidRPr="00B93308">
              <w:rPr>
                <w:rFonts w:eastAsiaTheme="minorEastAsia"/>
                <w:lang w:eastAsia="en-AU"/>
              </w:rPr>
              <w:t>2016</w:t>
            </w:r>
            <w:r>
              <w:rPr>
                <w:rFonts w:eastAsiaTheme="minorEastAsia"/>
                <w:lang w:eastAsia="en-AU"/>
              </w:rPr>
              <w:noBreakHyphen/>
            </w:r>
            <w:r w:rsidRPr="00B93308">
              <w:rPr>
                <w:rFonts w:eastAsiaTheme="minorEastAsia"/>
                <w:lang w:eastAsia="en-AU"/>
              </w:rPr>
              <w:t>17</w:t>
            </w:r>
          </w:p>
        </w:tc>
        <w:tc>
          <w:tcPr>
            <w:tcW w:w="862" w:type="dxa"/>
            <w:tcBorders>
              <w:top w:val="single" w:sz="4" w:space="0" w:color="auto"/>
              <w:left w:val="nil"/>
              <w:bottom w:val="single" w:sz="4" w:space="0" w:color="auto"/>
              <w:right w:val="nil"/>
            </w:tcBorders>
            <w:shd w:val="clear" w:color="auto" w:fill="000000"/>
          </w:tcPr>
          <w:p w:rsidR="00E25CC6" w:rsidRPr="00B93308" w:rsidRDefault="00E25CC6" w:rsidP="00B93308">
            <w:pPr>
              <w:pStyle w:val="Tabletextheading"/>
              <w:rPr>
                <w:rFonts w:eastAsiaTheme="minorEastAsia"/>
                <w:lang w:eastAsia="en-AU"/>
              </w:rPr>
            </w:pPr>
            <w:r w:rsidRPr="00B93308">
              <w:rPr>
                <w:rFonts w:eastAsiaTheme="minorEastAsia"/>
                <w:lang w:eastAsia="en-AU"/>
              </w:rPr>
              <w:t>2017</w:t>
            </w:r>
            <w:r>
              <w:rPr>
                <w:rFonts w:eastAsiaTheme="minorEastAsia"/>
                <w:lang w:eastAsia="en-AU"/>
              </w:rPr>
              <w:noBreakHyphen/>
            </w:r>
            <w:r w:rsidRPr="00B93308">
              <w:rPr>
                <w:rFonts w:eastAsiaTheme="minorEastAsia"/>
                <w:lang w:eastAsia="en-AU"/>
              </w:rPr>
              <w:t>18</w:t>
            </w:r>
          </w:p>
        </w:tc>
        <w:tc>
          <w:tcPr>
            <w:tcW w:w="861" w:type="dxa"/>
            <w:tcBorders>
              <w:top w:val="single" w:sz="4" w:space="0" w:color="auto"/>
              <w:left w:val="nil"/>
              <w:bottom w:val="single" w:sz="4" w:space="0" w:color="auto"/>
              <w:right w:val="nil"/>
            </w:tcBorders>
            <w:shd w:val="clear" w:color="auto" w:fill="000000"/>
          </w:tcPr>
          <w:p w:rsidR="00E25CC6" w:rsidRPr="00B93308" w:rsidRDefault="00E25CC6" w:rsidP="00B93308">
            <w:pPr>
              <w:pStyle w:val="Tabletextheading"/>
              <w:rPr>
                <w:rFonts w:eastAsiaTheme="minorEastAsia"/>
                <w:lang w:eastAsia="en-AU"/>
              </w:rPr>
            </w:pPr>
            <w:r w:rsidRPr="00B93308">
              <w:rPr>
                <w:rFonts w:eastAsiaTheme="minorEastAsia"/>
                <w:lang w:eastAsia="en-AU"/>
              </w:rPr>
              <w:t>2018</w:t>
            </w:r>
            <w:r>
              <w:rPr>
                <w:rFonts w:eastAsiaTheme="minorEastAsia"/>
                <w:lang w:eastAsia="en-AU"/>
              </w:rPr>
              <w:noBreakHyphen/>
            </w:r>
            <w:r w:rsidRPr="00B93308">
              <w:rPr>
                <w:rFonts w:eastAsiaTheme="minorEastAsia"/>
                <w:lang w:eastAsia="en-AU"/>
              </w:rPr>
              <w:t>19</w:t>
            </w:r>
          </w:p>
        </w:tc>
        <w:tc>
          <w:tcPr>
            <w:tcW w:w="861" w:type="dxa"/>
            <w:tcBorders>
              <w:top w:val="single" w:sz="4" w:space="0" w:color="auto"/>
              <w:left w:val="nil"/>
              <w:bottom w:val="single" w:sz="4" w:space="0" w:color="auto"/>
              <w:right w:val="nil"/>
            </w:tcBorders>
            <w:shd w:val="clear" w:color="auto" w:fill="000000"/>
          </w:tcPr>
          <w:p w:rsidR="00E25CC6" w:rsidRPr="00B93308" w:rsidRDefault="00E25CC6" w:rsidP="00B93308">
            <w:pPr>
              <w:pStyle w:val="Tabletextheading"/>
              <w:rPr>
                <w:rFonts w:eastAsiaTheme="minorEastAsia"/>
                <w:lang w:eastAsia="en-AU"/>
              </w:rPr>
            </w:pPr>
            <w:r w:rsidRPr="00B93308">
              <w:rPr>
                <w:rFonts w:eastAsiaTheme="minorEastAsia"/>
                <w:lang w:eastAsia="en-AU"/>
              </w:rPr>
              <w:t>2019</w:t>
            </w:r>
            <w:r>
              <w:rPr>
                <w:rFonts w:eastAsiaTheme="minorEastAsia"/>
                <w:lang w:eastAsia="en-AU"/>
              </w:rPr>
              <w:noBreakHyphen/>
            </w:r>
            <w:r w:rsidRPr="00B93308">
              <w:rPr>
                <w:rFonts w:eastAsiaTheme="minorEastAsia"/>
                <w:lang w:eastAsia="en-AU"/>
              </w:rPr>
              <w:t>20</w:t>
            </w:r>
          </w:p>
        </w:tc>
        <w:tc>
          <w:tcPr>
            <w:tcW w:w="862" w:type="dxa"/>
            <w:tcBorders>
              <w:top w:val="single" w:sz="4" w:space="0" w:color="auto"/>
              <w:left w:val="nil"/>
              <w:bottom w:val="single" w:sz="4" w:space="0" w:color="auto"/>
              <w:right w:val="single" w:sz="4" w:space="0" w:color="auto"/>
            </w:tcBorders>
            <w:shd w:val="clear" w:color="auto" w:fill="000000"/>
          </w:tcPr>
          <w:p w:rsidR="00E25CC6" w:rsidRPr="00B93308" w:rsidRDefault="00E25CC6" w:rsidP="00B93308">
            <w:pPr>
              <w:pStyle w:val="Tabletextheading"/>
              <w:rPr>
                <w:rFonts w:eastAsiaTheme="minorEastAsia" w:cs="Calibri"/>
                <w:iCs/>
                <w:lang w:eastAsia="en-AU"/>
              </w:rPr>
            </w:pPr>
            <w:r w:rsidRPr="00B93308">
              <w:rPr>
                <w:rFonts w:eastAsiaTheme="minorEastAsia" w:cs="Calibri"/>
                <w:iCs/>
                <w:lang w:eastAsia="en-AU"/>
              </w:rPr>
              <w:t>TEI</w:t>
            </w:r>
          </w:p>
        </w:tc>
      </w:tr>
      <w:tr w:rsidR="00E25CC6" w:rsidRPr="00B93308" w:rsidTr="00B93308">
        <w:trPr>
          <w:cantSplit/>
        </w:trPr>
        <w:tc>
          <w:tcPr>
            <w:tcW w:w="2608" w:type="dxa"/>
            <w:tcBorders>
              <w:top w:val="single" w:sz="4" w:space="0" w:color="auto"/>
              <w:left w:val="nil"/>
              <w:bottom w:val="nil"/>
              <w:right w:val="nil"/>
            </w:tcBorders>
            <w:shd w:val="solid" w:color="FFFFFF" w:fill="auto"/>
          </w:tcPr>
          <w:p w:rsidR="00E25CC6" w:rsidRPr="00B93308" w:rsidRDefault="00E25CC6" w:rsidP="00B93308">
            <w:pPr>
              <w:pStyle w:val="Tabletext"/>
              <w:rPr>
                <w:rFonts w:eastAsiaTheme="minorEastAsia"/>
                <w:color w:val="000000"/>
                <w:lang w:eastAsia="en-AU"/>
              </w:rPr>
            </w:pPr>
            <w:r w:rsidRPr="00B93308">
              <w:rPr>
                <w:rFonts w:eastAsiaTheme="minorEastAsia"/>
                <w:color w:val="000000"/>
                <w:lang w:eastAsia="en-AU"/>
              </w:rPr>
              <w:t>Latrobe Valley Community Air Monitoring and Citizen Science program</w:t>
            </w:r>
          </w:p>
        </w:tc>
        <w:tc>
          <w:tcPr>
            <w:tcW w:w="861" w:type="dxa"/>
            <w:tcBorders>
              <w:top w:val="single" w:sz="4" w:space="0" w:color="auto"/>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w:t>
            </w:r>
          </w:p>
        </w:tc>
        <w:tc>
          <w:tcPr>
            <w:tcW w:w="861" w:type="dxa"/>
            <w:tcBorders>
              <w:top w:val="single" w:sz="4" w:space="0" w:color="auto"/>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 xml:space="preserve"> 0.6</w:t>
            </w:r>
          </w:p>
        </w:tc>
        <w:tc>
          <w:tcPr>
            <w:tcW w:w="862" w:type="dxa"/>
            <w:tcBorders>
              <w:top w:val="single" w:sz="4" w:space="0" w:color="auto"/>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 xml:space="preserve"> 0.5</w:t>
            </w:r>
          </w:p>
        </w:tc>
        <w:tc>
          <w:tcPr>
            <w:tcW w:w="861" w:type="dxa"/>
            <w:tcBorders>
              <w:top w:val="single" w:sz="4" w:space="0" w:color="auto"/>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w:t>
            </w:r>
          </w:p>
        </w:tc>
        <w:tc>
          <w:tcPr>
            <w:tcW w:w="861" w:type="dxa"/>
            <w:tcBorders>
              <w:top w:val="single" w:sz="4" w:space="0" w:color="auto"/>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w:t>
            </w:r>
          </w:p>
        </w:tc>
        <w:tc>
          <w:tcPr>
            <w:tcW w:w="862" w:type="dxa"/>
            <w:tcBorders>
              <w:top w:val="single" w:sz="4" w:space="0" w:color="auto"/>
              <w:left w:val="nil"/>
              <w:bottom w:val="nil"/>
              <w:right w:val="nil"/>
            </w:tcBorders>
            <w:shd w:val="solid" w:color="FFFFFF" w:fill="auto"/>
          </w:tcPr>
          <w:p w:rsidR="00E25CC6" w:rsidRPr="00B93308" w:rsidRDefault="00E25CC6" w:rsidP="00B93308">
            <w:pPr>
              <w:autoSpaceDE w:val="0"/>
              <w:autoSpaceDN w:val="0"/>
              <w:adjustRightInd w:val="0"/>
              <w:spacing w:after="0"/>
              <w:jc w:val="right"/>
              <w:rPr>
                <w:rFonts w:ascii="Calibri" w:eastAsiaTheme="minorEastAsia" w:hAnsi="Calibri" w:cs="Calibri"/>
                <w:color w:val="000000"/>
                <w:sz w:val="20"/>
                <w:lang w:eastAsia="en-AU"/>
              </w:rPr>
            </w:pPr>
            <w:r w:rsidRPr="00B93308">
              <w:rPr>
                <w:rFonts w:ascii="Calibri" w:eastAsiaTheme="minorEastAsia" w:hAnsi="Calibri" w:cs="Calibri"/>
                <w:color w:val="000000"/>
                <w:sz w:val="20"/>
                <w:lang w:eastAsia="en-AU"/>
              </w:rPr>
              <w:t xml:space="preserve"> 1.1</w:t>
            </w:r>
          </w:p>
        </w:tc>
      </w:tr>
      <w:tr w:rsidR="00E25CC6" w:rsidRPr="00B93308" w:rsidTr="00B93308">
        <w:trPr>
          <w:cantSplit/>
        </w:trPr>
        <w:tc>
          <w:tcPr>
            <w:tcW w:w="2608" w:type="dxa"/>
            <w:tcBorders>
              <w:top w:val="nil"/>
              <w:left w:val="nil"/>
              <w:bottom w:val="nil"/>
              <w:right w:val="nil"/>
            </w:tcBorders>
          </w:tcPr>
          <w:p w:rsidR="00E25CC6" w:rsidRPr="00B93308" w:rsidRDefault="00E25CC6" w:rsidP="00B93308">
            <w:pPr>
              <w:pStyle w:val="Tabletext"/>
              <w:rPr>
                <w:rFonts w:eastAsiaTheme="minorEastAsia"/>
                <w:color w:val="000000"/>
                <w:lang w:eastAsia="en-AU"/>
              </w:rPr>
            </w:pPr>
            <w:r w:rsidRPr="00B93308">
              <w:rPr>
                <w:rFonts w:eastAsiaTheme="minorEastAsia"/>
                <w:color w:val="000000"/>
                <w:lang w:eastAsia="en-AU"/>
              </w:rPr>
              <w:t>Smoke detection infrastructure</w:t>
            </w:r>
          </w:p>
        </w:tc>
        <w:tc>
          <w:tcPr>
            <w:tcW w:w="861" w:type="dxa"/>
            <w:tcBorders>
              <w:top w:val="nil"/>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 xml:space="preserve"> 0.2</w:t>
            </w:r>
          </w:p>
        </w:tc>
        <w:tc>
          <w:tcPr>
            <w:tcW w:w="861" w:type="dxa"/>
            <w:tcBorders>
              <w:top w:val="nil"/>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w:t>
            </w:r>
          </w:p>
        </w:tc>
        <w:tc>
          <w:tcPr>
            <w:tcW w:w="861" w:type="dxa"/>
            <w:tcBorders>
              <w:top w:val="nil"/>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w:t>
            </w:r>
          </w:p>
        </w:tc>
        <w:tc>
          <w:tcPr>
            <w:tcW w:w="861" w:type="dxa"/>
            <w:tcBorders>
              <w:top w:val="nil"/>
              <w:left w:val="nil"/>
              <w:bottom w:val="nil"/>
              <w:right w:val="nil"/>
            </w:tcBorders>
            <w:shd w:val="solid" w:color="FFFFFF" w:fill="auto"/>
          </w:tcPr>
          <w:p w:rsidR="00E25CC6" w:rsidRPr="00B93308" w:rsidRDefault="00E25CC6" w:rsidP="00B93308">
            <w:pPr>
              <w:pStyle w:val="TableofFigures"/>
              <w:rPr>
                <w:rFonts w:eastAsiaTheme="minorEastAsia"/>
                <w:color w:val="000000"/>
                <w:lang w:eastAsia="en-AU"/>
              </w:rPr>
            </w:pPr>
            <w:r w:rsidRPr="00B9330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B93308" w:rsidRDefault="00E25CC6" w:rsidP="00B93308">
            <w:pPr>
              <w:autoSpaceDE w:val="0"/>
              <w:autoSpaceDN w:val="0"/>
              <w:adjustRightInd w:val="0"/>
              <w:spacing w:after="0"/>
              <w:jc w:val="right"/>
              <w:rPr>
                <w:rFonts w:ascii="Calibri" w:eastAsiaTheme="minorEastAsia" w:hAnsi="Calibri" w:cs="Calibri"/>
                <w:color w:val="000000"/>
                <w:sz w:val="20"/>
                <w:lang w:eastAsia="en-AU"/>
              </w:rPr>
            </w:pPr>
            <w:r w:rsidRPr="00B93308">
              <w:rPr>
                <w:rFonts w:ascii="Calibri" w:eastAsiaTheme="minorEastAsia" w:hAnsi="Calibri" w:cs="Calibri"/>
                <w:color w:val="000000"/>
                <w:sz w:val="20"/>
                <w:lang w:eastAsia="en-AU"/>
              </w:rPr>
              <w:t xml:space="preserve"> 0.2</w:t>
            </w:r>
          </w:p>
        </w:tc>
      </w:tr>
      <w:tr w:rsidR="00E25CC6" w:rsidRPr="00B93308" w:rsidTr="00B93308">
        <w:trPr>
          <w:cantSplit/>
        </w:trPr>
        <w:tc>
          <w:tcPr>
            <w:tcW w:w="2608" w:type="dxa"/>
            <w:tcBorders>
              <w:top w:val="single" w:sz="6" w:space="0" w:color="auto"/>
              <w:left w:val="nil"/>
              <w:bottom w:val="single" w:sz="12" w:space="0" w:color="auto"/>
              <w:right w:val="nil"/>
            </w:tcBorders>
            <w:shd w:val="solid" w:color="FFFFFF" w:fill="auto"/>
          </w:tcPr>
          <w:p w:rsidR="00E25CC6" w:rsidRPr="00B93308" w:rsidRDefault="00E25CC6" w:rsidP="00B93308">
            <w:pPr>
              <w:pStyle w:val="Tabletext"/>
              <w:rPr>
                <w:rFonts w:eastAsiaTheme="minorEastAsia"/>
                <w:b/>
                <w:bCs/>
                <w:color w:val="000000"/>
                <w:vertAlign w:val="superscript"/>
                <w:lang w:eastAsia="en-AU"/>
              </w:rPr>
            </w:pPr>
            <w:r w:rsidRPr="00B93308">
              <w:rPr>
                <w:rFonts w:eastAsiaTheme="minorEastAsia"/>
                <w:b/>
                <w:bCs/>
                <w:color w:val="000000"/>
                <w:lang w:eastAsia="en-AU"/>
              </w:rPr>
              <w:t xml:space="preserve">Total asset initiatives </w:t>
            </w:r>
            <w:r w:rsidRPr="00B93308">
              <w:rPr>
                <w:rFonts w:eastAsiaTheme="minorEastAsia"/>
                <w:b/>
                <w:bCs/>
                <w:color w:val="000000"/>
                <w:vertAlign w:val="superscript"/>
                <w:lang w:eastAsia="en-AU"/>
              </w:rPr>
              <w:t>(a)</w:t>
            </w:r>
          </w:p>
        </w:tc>
        <w:tc>
          <w:tcPr>
            <w:tcW w:w="861" w:type="dxa"/>
            <w:tcBorders>
              <w:top w:val="single" w:sz="6" w:space="0" w:color="auto"/>
              <w:left w:val="nil"/>
              <w:bottom w:val="single" w:sz="12" w:space="0" w:color="auto"/>
              <w:right w:val="nil"/>
            </w:tcBorders>
            <w:shd w:val="solid" w:color="FFFFFF" w:fill="auto"/>
          </w:tcPr>
          <w:p w:rsidR="00E25CC6" w:rsidRPr="00B93308" w:rsidRDefault="00E25CC6" w:rsidP="00B93308">
            <w:pPr>
              <w:pStyle w:val="TableofFigures"/>
              <w:rPr>
                <w:rFonts w:eastAsiaTheme="minorEastAsia"/>
                <w:b/>
                <w:bCs/>
                <w:color w:val="000000"/>
                <w:lang w:eastAsia="en-AU"/>
              </w:rPr>
            </w:pPr>
            <w:r w:rsidRPr="00B93308">
              <w:rPr>
                <w:rFonts w:eastAsiaTheme="minorEastAsia"/>
                <w:b/>
                <w:bCs/>
                <w:color w:val="000000"/>
                <w:lang w:eastAsia="en-AU"/>
              </w:rPr>
              <w:t xml:space="preserve"> 0.2</w:t>
            </w:r>
          </w:p>
        </w:tc>
        <w:tc>
          <w:tcPr>
            <w:tcW w:w="861" w:type="dxa"/>
            <w:tcBorders>
              <w:top w:val="single" w:sz="6" w:space="0" w:color="auto"/>
              <w:left w:val="nil"/>
              <w:bottom w:val="single" w:sz="12" w:space="0" w:color="auto"/>
              <w:right w:val="nil"/>
            </w:tcBorders>
            <w:shd w:val="solid" w:color="FFFFFF" w:fill="auto"/>
          </w:tcPr>
          <w:p w:rsidR="00E25CC6" w:rsidRPr="00B93308" w:rsidRDefault="00E25CC6" w:rsidP="00B93308">
            <w:pPr>
              <w:pStyle w:val="TableofFigures"/>
              <w:rPr>
                <w:rFonts w:eastAsiaTheme="minorEastAsia"/>
                <w:b/>
                <w:bCs/>
                <w:color w:val="000000"/>
                <w:lang w:eastAsia="en-AU"/>
              </w:rPr>
            </w:pPr>
            <w:r w:rsidRPr="00B93308">
              <w:rPr>
                <w:rFonts w:eastAsiaTheme="minorEastAsia"/>
                <w:b/>
                <w:bCs/>
                <w:color w:val="000000"/>
                <w:lang w:eastAsia="en-AU"/>
              </w:rPr>
              <w:t xml:space="preserve"> 0.6</w:t>
            </w:r>
          </w:p>
        </w:tc>
        <w:tc>
          <w:tcPr>
            <w:tcW w:w="862" w:type="dxa"/>
            <w:tcBorders>
              <w:top w:val="single" w:sz="6" w:space="0" w:color="auto"/>
              <w:left w:val="nil"/>
              <w:bottom w:val="single" w:sz="12" w:space="0" w:color="auto"/>
              <w:right w:val="nil"/>
            </w:tcBorders>
            <w:shd w:val="solid" w:color="FFFFFF" w:fill="auto"/>
          </w:tcPr>
          <w:p w:rsidR="00E25CC6" w:rsidRPr="00B93308" w:rsidRDefault="00E25CC6" w:rsidP="00B93308">
            <w:pPr>
              <w:pStyle w:val="TableofFigures"/>
              <w:rPr>
                <w:rFonts w:eastAsiaTheme="minorEastAsia"/>
                <w:b/>
                <w:bCs/>
                <w:color w:val="000000"/>
                <w:lang w:eastAsia="en-AU"/>
              </w:rPr>
            </w:pPr>
            <w:r w:rsidRPr="00B93308">
              <w:rPr>
                <w:rFonts w:eastAsiaTheme="minorEastAsia"/>
                <w:b/>
                <w:bCs/>
                <w:color w:val="000000"/>
                <w:lang w:eastAsia="en-AU"/>
              </w:rPr>
              <w:t xml:space="preserve"> 0.5</w:t>
            </w:r>
          </w:p>
        </w:tc>
        <w:tc>
          <w:tcPr>
            <w:tcW w:w="861" w:type="dxa"/>
            <w:tcBorders>
              <w:top w:val="single" w:sz="6" w:space="0" w:color="auto"/>
              <w:left w:val="nil"/>
              <w:bottom w:val="single" w:sz="12" w:space="0" w:color="auto"/>
              <w:right w:val="nil"/>
            </w:tcBorders>
            <w:shd w:val="solid" w:color="FFFFFF" w:fill="auto"/>
          </w:tcPr>
          <w:p w:rsidR="00E25CC6" w:rsidRPr="00B93308" w:rsidRDefault="00E25CC6" w:rsidP="00B93308">
            <w:pPr>
              <w:pStyle w:val="TableofFigures"/>
              <w:rPr>
                <w:rFonts w:eastAsiaTheme="minorEastAsia"/>
                <w:b/>
                <w:bCs/>
                <w:color w:val="000000"/>
                <w:lang w:eastAsia="en-AU"/>
              </w:rPr>
            </w:pPr>
            <w:r w:rsidRPr="00B93308">
              <w:rPr>
                <w:rFonts w:eastAsiaTheme="minorEastAsia"/>
                <w:b/>
                <w:bCs/>
                <w:color w:val="000000"/>
                <w:lang w:eastAsia="en-AU"/>
              </w:rPr>
              <w:t>..</w:t>
            </w:r>
          </w:p>
        </w:tc>
        <w:tc>
          <w:tcPr>
            <w:tcW w:w="861" w:type="dxa"/>
            <w:tcBorders>
              <w:top w:val="single" w:sz="6" w:space="0" w:color="auto"/>
              <w:left w:val="nil"/>
              <w:bottom w:val="single" w:sz="12" w:space="0" w:color="auto"/>
              <w:right w:val="nil"/>
            </w:tcBorders>
            <w:shd w:val="solid" w:color="FFFFFF" w:fill="auto"/>
          </w:tcPr>
          <w:p w:rsidR="00E25CC6" w:rsidRPr="00B93308" w:rsidRDefault="00E25CC6" w:rsidP="00B93308">
            <w:pPr>
              <w:pStyle w:val="TableofFigures"/>
              <w:rPr>
                <w:rFonts w:eastAsiaTheme="minorEastAsia"/>
                <w:b/>
                <w:bCs/>
                <w:color w:val="000000"/>
                <w:lang w:eastAsia="en-AU"/>
              </w:rPr>
            </w:pPr>
            <w:r w:rsidRPr="00B93308">
              <w:rPr>
                <w:rFonts w:eastAsiaTheme="minorEastAsia"/>
                <w:b/>
                <w:bCs/>
                <w:color w:val="000000"/>
                <w:lang w:eastAsia="en-AU"/>
              </w:rPr>
              <w:t>..</w:t>
            </w:r>
          </w:p>
        </w:tc>
        <w:tc>
          <w:tcPr>
            <w:tcW w:w="862" w:type="dxa"/>
            <w:tcBorders>
              <w:top w:val="single" w:sz="6" w:space="0" w:color="auto"/>
              <w:left w:val="nil"/>
              <w:bottom w:val="single" w:sz="12" w:space="0" w:color="auto"/>
              <w:right w:val="nil"/>
            </w:tcBorders>
            <w:shd w:val="solid" w:color="FFFFFF" w:fill="auto"/>
          </w:tcPr>
          <w:p w:rsidR="00E25CC6" w:rsidRPr="00B93308" w:rsidRDefault="00E25CC6" w:rsidP="00B93308">
            <w:pPr>
              <w:autoSpaceDE w:val="0"/>
              <w:autoSpaceDN w:val="0"/>
              <w:adjustRightInd w:val="0"/>
              <w:spacing w:after="0"/>
              <w:jc w:val="right"/>
              <w:rPr>
                <w:rFonts w:ascii="Calibri" w:eastAsiaTheme="minorEastAsia" w:hAnsi="Calibri" w:cs="Calibri"/>
                <w:b/>
                <w:bCs/>
                <w:color w:val="000000"/>
                <w:sz w:val="20"/>
                <w:lang w:eastAsia="en-AU"/>
              </w:rPr>
            </w:pPr>
            <w:r w:rsidRPr="00B93308">
              <w:rPr>
                <w:rFonts w:ascii="Calibri" w:eastAsiaTheme="minorEastAsia" w:hAnsi="Calibri" w:cs="Calibri"/>
                <w:b/>
                <w:bCs/>
                <w:color w:val="000000"/>
                <w:sz w:val="20"/>
                <w:lang w:eastAsia="en-AU"/>
              </w:rPr>
              <w:t xml:space="preserve"> 1.3</w:t>
            </w:r>
          </w:p>
        </w:tc>
      </w:tr>
    </w:tbl>
    <w:p w:rsidR="00E25CC6" w:rsidRDefault="00E25CC6" w:rsidP="00566998">
      <w:pPr>
        <w:pStyle w:val="Source"/>
      </w:pPr>
      <w:r>
        <w:t>Source: Department of Treasury and Finance</w:t>
      </w:r>
    </w:p>
    <w:p w:rsidR="00E25CC6" w:rsidRDefault="00E25CC6" w:rsidP="00793A0A">
      <w:pPr>
        <w:pStyle w:val="Notes"/>
      </w:pPr>
      <w:r>
        <w:t>Note:</w:t>
      </w:r>
    </w:p>
    <w:p w:rsidR="00E25CC6" w:rsidRDefault="00E25CC6" w:rsidP="00793A0A">
      <w:pPr>
        <w:pStyle w:val="Notes"/>
      </w:pPr>
      <w:r>
        <w:t>(a)</w:t>
      </w:r>
      <w:r>
        <w:tab/>
        <w:t>Tables may not add due to rounding.</w:t>
      </w:r>
    </w:p>
    <w:p w:rsidR="00E25CC6" w:rsidRDefault="00E25CC6" w:rsidP="00793A0A">
      <w:pPr>
        <w:pStyle w:val="Notes"/>
      </w:pPr>
    </w:p>
    <w:p w:rsidR="00E25CC6" w:rsidRDefault="00E25CC6" w:rsidP="00CB4C1E">
      <w:pPr>
        <w:pStyle w:val="Heading5"/>
      </w:pPr>
      <w:r>
        <w:t>Latrobe Valley community air monitoring and Citizen Science program</w:t>
      </w:r>
    </w:p>
    <w:p w:rsidR="00E25CC6" w:rsidRDefault="00E25CC6" w:rsidP="00CB4C1E">
      <w:r>
        <w:t>Refer to output initiative for a description of this initiative.</w:t>
      </w:r>
    </w:p>
    <w:p w:rsidR="00E25CC6" w:rsidRDefault="00E25CC6" w:rsidP="00E31843">
      <w:pPr>
        <w:pStyle w:val="Heading5"/>
      </w:pPr>
      <w:r>
        <w:t xml:space="preserve">Smoke detection infrastructure </w:t>
      </w:r>
    </w:p>
    <w:p w:rsidR="00E25CC6" w:rsidRDefault="00E25CC6" w:rsidP="00E31843">
      <w:r>
        <w:t>Refer to output initiative for a description of this initiative.</w:t>
      </w:r>
    </w:p>
    <w:p w:rsidR="00E25CC6" w:rsidRPr="00CB4C1E" w:rsidRDefault="00E25CC6" w:rsidP="00CB4C1E"/>
    <w:p w:rsidR="00E25CC6" w:rsidRDefault="00E25CC6">
      <w:pPr>
        <w:spacing w:after="0"/>
        <w:rPr>
          <w:rFonts w:ascii="Calibri" w:hAnsi="Calibri"/>
          <w:b/>
          <w:caps/>
          <w:sz w:val="26"/>
          <w:szCs w:val="22"/>
        </w:rPr>
      </w:pPr>
      <w:r>
        <w:br w:type="page"/>
      </w:r>
    </w:p>
    <w:p w:rsidR="00E25CC6" w:rsidRPr="00F16216" w:rsidRDefault="00E25CC6" w:rsidP="00F16216">
      <w:pPr>
        <w:pStyle w:val="Heading1"/>
      </w:pPr>
      <w:bookmarkStart w:id="12" w:name="_Toc449109424"/>
      <w:r w:rsidRPr="00F16216">
        <w:t>Whole of Government – Ice Action Plan – Stage 2</w:t>
      </w:r>
      <w:bookmarkEnd w:id="12"/>
    </w:p>
    <w:p w:rsidR="00E25CC6" w:rsidRDefault="00E25CC6" w:rsidP="00AE644B">
      <w:pPr>
        <w:pStyle w:val="Heading3"/>
      </w:pPr>
      <w:bookmarkStart w:id="13" w:name="IceActionWOG"/>
      <w:r>
        <w:t>Output initiatives</w:t>
      </w:r>
    </w:p>
    <w:p w:rsidR="00E25CC6" w:rsidRPr="00FD236B" w:rsidRDefault="00E25CC6" w:rsidP="00FD236B">
      <w:pPr>
        <w:pStyle w:val="Tableheading"/>
      </w:pPr>
      <w:r>
        <w:t>Table 1.8:</w:t>
      </w:r>
      <w:r>
        <w:tab/>
        <w:t>Output initiatives – Ice Action Plan – Stage 2</w:t>
      </w:r>
    </w:p>
    <w:p w:rsidR="00E25CC6" w:rsidRPr="00A919CB" w:rsidRDefault="00E25CC6" w:rsidP="00A919CB">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379"/>
        <w:gridCol w:w="879"/>
        <w:gridCol w:w="879"/>
        <w:gridCol w:w="880"/>
        <w:gridCol w:w="879"/>
        <w:gridCol w:w="880"/>
      </w:tblGrid>
      <w:tr w:rsidR="00E25CC6" w:rsidRPr="00A919CB" w:rsidTr="00A919CB">
        <w:trPr>
          <w:tblHeader/>
        </w:trPr>
        <w:tc>
          <w:tcPr>
            <w:tcW w:w="3379" w:type="dxa"/>
            <w:tcBorders>
              <w:bottom w:val="single" w:sz="4" w:space="0" w:color="auto"/>
              <w:right w:val="nil"/>
            </w:tcBorders>
            <w:shd w:val="clear" w:color="auto" w:fill="000000"/>
            <w:vAlign w:val="bottom"/>
          </w:tcPr>
          <w:p w:rsidR="00E25CC6" w:rsidRPr="00A919CB" w:rsidRDefault="00E25CC6" w:rsidP="00A919CB">
            <w:pPr>
              <w:pStyle w:val="Tabletext"/>
              <w:rPr>
                <w:rFonts w:eastAsiaTheme="minorEastAsia"/>
                <w:color w:val="FFFFFF"/>
                <w:lang w:eastAsia="en-AU"/>
              </w:rPr>
            </w:pPr>
          </w:p>
        </w:tc>
        <w:tc>
          <w:tcPr>
            <w:tcW w:w="879"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2015</w:t>
            </w:r>
            <w:r>
              <w:rPr>
                <w:rFonts w:eastAsiaTheme="minorEastAsia"/>
                <w:color w:val="FFFFFF"/>
                <w:sz w:val="19"/>
                <w:lang w:eastAsia="en-AU"/>
              </w:rPr>
              <w:noBreakHyphen/>
            </w:r>
            <w:r w:rsidRPr="00A919CB">
              <w:rPr>
                <w:rFonts w:eastAsiaTheme="minorEastAsia"/>
                <w:color w:val="FFFFFF"/>
                <w:sz w:val="19"/>
                <w:lang w:eastAsia="en-AU"/>
              </w:rPr>
              <w:t>16</w:t>
            </w:r>
          </w:p>
        </w:tc>
        <w:tc>
          <w:tcPr>
            <w:tcW w:w="879"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2016</w:t>
            </w:r>
            <w:r>
              <w:rPr>
                <w:rFonts w:eastAsiaTheme="minorEastAsia"/>
                <w:color w:val="FFFFFF"/>
                <w:sz w:val="19"/>
                <w:lang w:eastAsia="en-AU"/>
              </w:rPr>
              <w:noBreakHyphen/>
            </w:r>
            <w:r w:rsidRPr="00A919CB">
              <w:rPr>
                <w:rFonts w:eastAsiaTheme="minorEastAsia"/>
                <w:color w:val="FFFFFF"/>
                <w:sz w:val="19"/>
                <w:lang w:eastAsia="en-AU"/>
              </w:rPr>
              <w:t>17</w:t>
            </w:r>
          </w:p>
        </w:tc>
        <w:tc>
          <w:tcPr>
            <w:tcW w:w="880"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2017</w:t>
            </w:r>
            <w:r>
              <w:rPr>
                <w:rFonts w:eastAsiaTheme="minorEastAsia"/>
                <w:color w:val="FFFFFF"/>
                <w:sz w:val="19"/>
                <w:lang w:eastAsia="en-AU"/>
              </w:rPr>
              <w:noBreakHyphen/>
            </w:r>
            <w:r w:rsidRPr="00A919CB">
              <w:rPr>
                <w:rFonts w:eastAsiaTheme="minorEastAsia"/>
                <w:color w:val="FFFFFF"/>
                <w:sz w:val="19"/>
                <w:lang w:eastAsia="en-AU"/>
              </w:rPr>
              <w:t>18</w:t>
            </w:r>
          </w:p>
        </w:tc>
        <w:tc>
          <w:tcPr>
            <w:tcW w:w="879"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2018</w:t>
            </w:r>
            <w:r>
              <w:rPr>
                <w:rFonts w:eastAsiaTheme="minorEastAsia"/>
                <w:color w:val="FFFFFF"/>
                <w:sz w:val="19"/>
                <w:lang w:eastAsia="en-AU"/>
              </w:rPr>
              <w:noBreakHyphen/>
            </w:r>
            <w:r w:rsidRPr="00A919CB">
              <w:rPr>
                <w:rFonts w:eastAsiaTheme="minorEastAsia"/>
                <w:color w:val="FFFFFF"/>
                <w:sz w:val="19"/>
                <w:lang w:eastAsia="en-AU"/>
              </w:rPr>
              <w:t>19</w:t>
            </w:r>
          </w:p>
        </w:tc>
        <w:tc>
          <w:tcPr>
            <w:tcW w:w="880" w:type="dxa"/>
            <w:tcBorders>
              <w:left w:val="nil"/>
              <w:bottom w:val="single" w:sz="4" w:space="0" w:color="auto"/>
            </w:tcBorders>
            <w:shd w:val="clear" w:color="auto" w:fill="000000"/>
            <w:vAlign w:val="bottom"/>
          </w:tcPr>
          <w:p w:rsidR="00E25CC6" w:rsidRPr="00A919CB" w:rsidRDefault="00E25CC6" w:rsidP="00A919CB">
            <w:pPr>
              <w:pStyle w:val="Tabletextheading"/>
              <w:rPr>
                <w:rFonts w:eastAsiaTheme="minorEastAsia" w:cs="Calibri"/>
                <w:iCs/>
                <w:color w:val="FFFFFF"/>
                <w:sz w:val="19"/>
                <w:lang w:eastAsia="en-AU"/>
              </w:rPr>
            </w:pPr>
            <w:r w:rsidRPr="00A919CB">
              <w:rPr>
                <w:rFonts w:eastAsiaTheme="minorEastAsia" w:cs="Calibri"/>
                <w:iCs/>
                <w:color w:val="FFFFFF"/>
                <w:sz w:val="19"/>
                <w:lang w:eastAsia="en-AU"/>
              </w:rPr>
              <w:t>2019</w:t>
            </w:r>
            <w:r>
              <w:rPr>
                <w:rFonts w:eastAsiaTheme="minorEastAsia" w:cs="Calibri"/>
                <w:iCs/>
                <w:color w:val="FFFFFF"/>
                <w:sz w:val="19"/>
                <w:lang w:eastAsia="en-AU"/>
              </w:rPr>
              <w:noBreakHyphen/>
            </w:r>
            <w:r w:rsidRPr="00A919CB">
              <w:rPr>
                <w:rFonts w:eastAsiaTheme="minorEastAsia" w:cs="Calibri"/>
                <w:iCs/>
                <w:color w:val="FFFFFF"/>
                <w:sz w:val="19"/>
                <w:lang w:eastAsia="en-AU"/>
              </w:rPr>
              <w:t>20</w:t>
            </w:r>
          </w:p>
        </w:tc>
      </w:tr>
      <w:tr w:rsidR="00E25CC6" w:rsidRPr="00A919CB" w:rsidTr="00A919CB">
        <w:tc>
          <w:tcPr>
            <w:tcW w:w="3379" w:type="dxa"/>
            <w:tcBorders>
              <w:top w:val="single" w:sz="4" w:space="0" w:color="auto"/>
              <w:left w:val="nil"/>
              <w:bottom w:val="nil"/>
              <w:right w:val="nil"/>
            </w:tcBorders>
          </w:tcPr>
          <w:p w:rsidR="00E25CC6" w:rsidRPr="00A919CB" w:rsidRDefault="00E25CC6" w:rsidP="00A919CB">
            <w:pPr>
              <w:pStyle w:val="Tabletext"/>
              <w:rPr>
                <w:rFonts w:eastAsiaTheme="minorEastAsia"/>
                <w:lang w:eastAsia="en-AU"/>
              </w:rPr>
            </w:pPr>
            <w:r w:rsidRPr="00A919CB">
              <w:rPr>
                <w:rFonts w:eastAsiaTheme="minorEastAsia"/>
                <w:lang w:eastAsia="en-AU"/>
              </w:rPr>
              <w:t>Ice Action Plan</w:t>
            </w:r>
            <w:r>
              <w:rPr>
                <w:rFonts w:eastAsiaTheme="minorEastAsia"/>
                <w:lang w:eastAsia="en-AU"/>
              </w:rPr>
              <w:t xml:space="preserve"> – </w:t>
            </w:r>
            <w:r w:rsidRPr="00A919CB">
              <w:rPr>
                <w:rFonts w:eastAsiaTheme="minorEastAsia"/>
                <w:lang w:eastAsia="en-AU"/>
              </w:rPr>
              <w:t>Expansion of the Drug Court of Victoria</w:t>
            </w:r>
          </w:p>
        </w:tc>
        <w:tc>
          <w:tcPr>
            <w:tcW w:w="879" w:type="dxa"/>
            <w:tcBorders>
              <w:top w:val="single" w:sz="4" w:space="0" w:color="auto"/>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79" w:type="dxa"/>
            <w:tcBorders>
              <w:top w:val="single" w:sz="4" w:space="0" w:color="auto"/>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3.7</w:t>
            </w:r>
          </w:p>
        </w:tc>
        <w:tc>
          <w:tcPr>
            <w:tcW w:w="880" w:type="dxa"/>
            <w:tcBorders>
              <w:top w:val="single" w:sz="4" w:space="0" w:color="auto"/>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8.8</w:t>
            </w:r>
          </w:p>
        </w:tc>
        <w:tc>
          <w:tcPr>
            <w:tcW w:w="879" w:type="dxa"/>
            <w:tcBorders>
              <w:top w:val="single" w:sz="4" w:space="0" w:color="auto"/>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9.1</w:t>
            </w:r>
          </w:p>
        </w:tc>
        <w:tc>
          <w:tcPr>
            <w:tcW w:w="880" w:type="dxa"/>
            <w:tcBorders>
              <w:top w:val="single" w:sz="4" w:space="0" w:color="auto"/>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sz w:val="19"/>
                <w:lang w:eastAsia="en-AU"/>
              </w:rPr>
              <w:t>9.3</w:t>
            </w:r>
          </w:p>
        </w:tc>
      </w:tr>
      <w:tr w:rsidR="00E25CC6" w:rsidRPr="00A919CB" w:rsidTr="00A919CB">
        <w:tc>
          <w:tcPr>
            <w:tcW w:w="3379" w:type="dxa"/>
            <w:tcBorders>
              <w:top w:val="nil"/>
              <w:left w:val="nil"/>
              <w:bottom w:val="nil"/>
              <w:right w:val="nil"/>
            </w:tcBorders>
            <w:shd w:val="solid" w:color="FFFFFF" w:fill="auto"/>
          </w:tcPr>
          <w:p w:rsidR="00E25CC6" w:rsidRPr="00A919CB" w:rsidRDefault="00E25CC6" w:rsidP="00A919CB">
            <w:pPr>
              <w:pStyle w:val="Tabletext"/>
              <w:rPr>
                <w:rFonts w:eastAsiaTheme="minorEastAsia"/>
                <w:lang w:eastAsia="en-AU"/>
              </w:rPr>
            </w:pPr>
            <w:r w:rsidRPr="00A919CB">
              <w:rPr>
                <w:rFonts w:eastAsiaTheme="minorEastAsia"/>
                <w:lang w:eastAsia="en-AU"/>
              </w:rPr>
              <w:t>Responding to ice in Aboriginal communities</w:t>
            </w:r>
          </w:p>
        </w:tc>
        <w:tc>
          <w:tcPr>
            <w:tcW w:w="879"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79"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1.0</w:t>
            </w:r>
          </w:p>
        </w:tc>
        <w:tc>
          <w:tcPr>
            <w:tcW w:w="880"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1.0</w:t>
            </w:r>
          </w:p>
        </w:tc>
        <w:tc>
          <w:tcPr>
            <w:tcW w:w="879"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1.0</w:t>
            </w:r>
          </w:p>
        </w:tc>
        <w:tc>
          <w:tcPr>
            <w:tcW w:w="880" w:type="dxa"/>
            <w:tcBorders>
              <w:top w:val="nil"/>
              <w:left w:val="nil"/>
              <w:bottom w:val="nil"/>
              <w:right w:val="nil"/>
            </w:tcBorders>
            <w:shd w:val="solid" w:color="FFFFFF" w:fill="auto"/>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sz w:val="19"/>
                <w:lang w:eastAsia="en-AU"/>
              </w:rPr>
              <w:t>1.0</w:t>
            </w:r>
          </w:p>
        </w:tc>
      </w:tr>
      <w:tr w:rsidR="00E25CC6" w:rsidRPr="00A919CB" w:rsidTr="00A919CB">
        <w:tc>
          <w:tcPr>
            <w:tcW w:w="3379" w:type="dxa"/>
            <w:tcBorders>
              <w:top w:val="nil"/>
              <w:left w:val="nil"/>
              <w:bottom w:val="nil"/>
              <w:right w:val="nil"/>
            </w:tcBorders>
          </w:tcPr>
          <w:p w:rsidR="00E25CC6" w:rsidRPr="00A919CB" w:rsidRDefault="00E25CC6" w:rsidP="00A919CB">
            <w:pPr>
              <w:pStyle w:val="Tabletext"/>
              <w:rPr>
                <w:rFonts w:eastAsiaTheme="minorEastAsia"/>
                <w:lang w:eastAsia="en-AU"/>
              </w:rPr>
            </w:pPr>
            <w:r w:rsidRPr="00A919CB">
              <w:rPr>
                <w:rFonts w:eastAsiaTheme="minorEastAsia"/>
                <w:lang w:eastAsia="en-AU"/>
              </w:rPr>
              <w:t>Responding to ice</w:t>
            </w:r>
            <w:r>
              <w:rPr>
                <w:rFonts w:eastAsiaTheme="minorEastAsia"/>
                <w:lang w:eastAsia="en-AU"/>
              </w:rPr>
              <w:t xml:space="preserve"> – </w:t>
            </w:r>
            <w:r w:rsidRPr="00A919CB">
              <w:rPr>
                <w:rFonts w:eastAsiaTheme="minorEastAsia"/>
                <w:lang w:eastAsia="en-AU"/>
              </w:rPr>
              <w:t>supporting frontline workers</w:t>
            </w:r>
          </w:p>
        </w:tc>
        <w:tc>
          <w:tcPr>
            <w:tcW w:w="879" w:type="dxa"/>
            <w:tcBorders>
              <w:top w:val="nil"/>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79" w:type="dxa"/>
            <w:tcBorders>
              <w:top w:val="nil"/>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1.4</w:t>
            </w:r>
          </w:p>
        </w:tc>
        <w:tc>
          <w:tcPr>
            <w:tcW w:w="880" w:type="dxa"/>
            <w:tcBorders>
              <w:top w:val="nil"/>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1.4</w:t>
            </w:r>
          </w:p>
        </w:tc>
        <w:tc>
          <w:tcPr>
            <w:tcW w:w="879" w:type="dxa"/>
            <w:tcBorders>
              <w:top w:val="nil"/>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1.3</w:t>
            </w:r>
          </w:p>
        </w:tc>
        <w:tc>
          <w:tcPr>
            <w:tcW w:w="880" w:type="dxa"/>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sz w:val="19"/>
                <w:lang w:eastAsia="en-AU"/>
              </w:rPr>
              <w:t>1.4</w:t>
            </w:r>
          </w:p>
        </w:tc>
      </w:tr>
      <w:tr w:rsidR="00E25CC6" w:rsidRPr="00A919CB" w:rsidTr="00A919CB">
        <w:tc>
          <w:tcPr>
            <w:tcW w:w="3379"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text"/>
              <w:rPr>
                <w:rFonts w:eastAsiaTheme="minorEastAsia"/>
                <w:b/>
                <w:bCs/>
                <w:vertAlign w:val="superscript"/>
                <w:lang w:eastAsia="en-AU"/>
              </w:rPr>
            </w:pPr>
            <w:r w:rsidRPr="00A919CB">
              <w:rPr>
                <w:rFonts w:eastAsiaTheme="minorEastAsia"/>
                <w:b/>
                <w:bCs/>
                <w:lang w:eastAsia="en-AU"/>
              </w:rPr>
              <w:t xml:space="preserve">Total output initiatives </w:t>
            </w:r>
            <w:r w:rsidRPr="00A919CB">
              <w:rPr>
                <w:rFonts w:eastAsiaTheme="minorEastAsia"/>
                <w:b/>
                <w:bCs/>
                <w:vertAlign w:val="superscript"/>
                <w:lang w:eastAsia="en-AU"/>
              </w:rPr>
              <w:t>(a)</w:t>
            </w:r>
          </w:p>
        </w:tc>
        <w:tc>
          <w:tcPr>
            <w:tcW w:w="879"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sz w:val="19"/>
                <w:lang w:eastAsia="en-AU"/>
              </w:rPr>
            </w:pPr>
            <w:r w:rsidRPr="00A919CB">
              <w:rPr>
                <w:rFonts w:eastAsiaTheme="minorEastAsia"/>
                <w:b/>
                <w:bCs/>
                <w:sz w:val="19"/>
                <w:lang w:eastAsia="en-AU"/>
              </w:rPr>
              <w:t>..</w:t>
            </w:r>
          </w:p>
        </w:tc>
        <w:tc>
          <w:tcPr>
            <w:tcW w:w="879"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cs="Calibri"/>
                <w:b/>
                <w:bCs/>
                <w:color w:val="000000"/>
                <w:sz w:val="19"/>
                <w:lang w:eastAsia="en-AU"/>
              </w:rPr>
            </w:pPr>
            <w:r w:rsidRPr="00A919CB">
              <w:rPr>
                <w:rFonts w:eastAsiaTheme="minorEastAsia"/>
                <w:b/>
                <w:bCs/>
                <w:sz w:val="19"/>
                <w:lang w:eastAsia="en-AU"/>
              </w:rPr>
              <w:t>6.1</w:t>
            </w:r>
          </w:p>
        </w:tc>
        <w:tc>
          <w:tcPr>
            <w:tcW w:w="88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cs="Calibri"/>
                <w:b/>
                <w:bCs/>
                <w:color w:val="000000"/>
                <w:sz w:val="19"/>
                <w:lang w:eastAsia="en-AU"/>
              </w:rPr>
            </w:pPr>
            <w:r w:rsidRPr="00A919CB">
              <w:rPr>
                <w:rFonts w:eastAsiaTheme="minorEastAsia"/>
                <w:b/>
                <w:bCs/>
                <w:sz w:val="19"/>
                <w:lang w:eastAsia="en-AU"/>
              </w:rPr>
              <w:t>11.2</w:t>
            </w:r>
          </w:p>
        </w:tc>
        <w:tc>
          <w:tcPr>
            <w:tcW w:w="879"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cs="Calibri"/>
                <w:b/>
                <w:bCs/>
                <w:color w:val="000000"/>
                <w:sz w:val="19"/>
                <w:lang w:eastAsia="en-AU"/>
              </w:rPr>
            </w:pPr>
            <w:r w:rsidRPr="00A919CB">
              <w:rPr>
                <w:rFonts w:eastAsiaTheme="minorEastAsia"/>
                <w:b/>
                <w:bCs/>
                <w:sz w:val="19"/>
                <w:lang w:eastAsia="en-AU"/>
              </w:rPr>
              <w:t>11.4</w:t>
            </w:r>
          </w:p>
        </w:tc>
        <w:tc>
          <w:tcPr>
            <w:tcW w:w="880" w:type="dxa"/>
            <w:tcBorders>
              <w:top w:val="single" w:sz="6" w:space="0" w:color="auto"/>
              <w:left w:val="nil"/>
              <w:bottom w:val="single" w:sz="12" w:space="0" w:color="auto"/>
              <w:right w:val="nil"/>
            </w:tcBorders>
            <w:shd w:val="solid" w:color="FFFFFF" w:fill="auto"/>
          </w:tcPr>
          <w:p w:rsidR="00E25CC6" w:rsidRPr="00A919CB" w:rsidRDefault="00E25CC6" w:rsidP="00A919CB">
            <w:pPr>
              <w:autoSpaceDE w:val="0"/>
              <w:autoSpaceDN w:val="0"/>
              <w:adjustRightInd w:val="0"/>
              <w:spacing w:after="0"/>
              <w:jc w:val="right"/>
              <w:rPr>
                <w:rFonts w:ascii="Calibri" w:eastAsiaTheme="minorEastAsia" w:hAnsi="Calibri" w:cs="Calibri"/>
                <w:b/>
                <w:bCs/>
                <w:color w:val="000000"/>
                <w:sz w:val="19"/>
                <w:lang w:eastAsia="en-AU"/>
              </w:rPr>
            </w:pPr>
            <w:r w:rsidRPr="00A919CB">
              <w:rPr>
                <w:rFonts w:ascii="Calibri" w:eastAsiaTheme="minorEastAsia" w:hAnsi="Calibri" w:cs="Calibri"/>
                <w:b/>
                <w:bCs/>
                <w:sz w:val="19"/>
                <w:lang w:eastAsia="en-AU"/>
              </w:rPr>
              <w:t>11.7</w:t>
            </w:r>
          </w:p>
        </w:tc>
      </w:tr>
    </w:tbl>
    <w:p w:rsidR="00E25CC6" w:rsidRDefault="00E25CC6" w:rsidP="00FD236B">
      <w:pPr>
        <w:pStyle w:val="Source"/>
      </w:pPr>
      <w:r>
        <w:t xml:space="preserve">Source: Department of Treasury and Finance </w:t>
      </w:r>
      <w:r>
        <w:fldChar w:fldCharType="begin"/>
      </w:r>
      <w:r>
        <w:instrText xml:space="preserve"> XE "</w:instrText>
      </w:r>
      <w:r w:rsidRPr="00206882">
        <w:instrText>Ice Action Plan – Stage 2:Output initiatives</w:instrText>
      </w:r>
      <w:r>
        <w:instrText xml:space="preserve">" </w:instrText>
      </w:r>
      <w:r>
        <w:fldChar w:fldCharType="end"/>
      </w:r>
    </w:p>
    <w:p w:rsidR="00E25CC6" w:rsidRDefault="00E25CC6" w:rsidP="00FD236B">
      <w:pPr>
        <w:pStyle w:val="Notes"/>
      </w:pPr>
      <w:r>
        <w:t>Note:</w:t>
      </w:r>
    </w:p>
    <w:p w:rsidR="00E25CC6" w:rsidRDefault="00E25CC6" w:rsidP="00FD236B">
      <w:pPr>
        <w:pStyle w:val="Notes"/>
      </w:pPr>
      <w:r>
        <w:t>(a)</w:t>
      </w:r>
      <w:r>
        <w:tab/>
        <w:t>Tables may not add due to rounding.</w:t>
      </w:r>
    </w:p>
    <w:p w:rsidR="00E25CC6" w:rsidRDefault="00E25CC6" w:rsidP="00AE644B">
      <w:pPr>
        <w:pStyle w:val="Heading5"/>
      </w:pPr>
      <w:r w:rsidRPr="00781695">
        <w:t>Ice Action Plan – Expansion of the Drug Court of Victoria</w:t>
      </w:r>
    </w:p>
    <w:p w:rsidR="00E25CC6" w:rsidRDefault="00E25CC6" w:rsidP="00AE644B">
      <w:r w:rsidRPr="00781695">
        <w:t>The Drug Court of Victoria will expand its operations to the Melbourne</w:t>
      </w:r>
      <w:r>
        <w:t xml:space="preserve"> Magistrates’ Court</w:t>
      </w:r>
      <w:r w:rsidRPr="00781695">
        <w:t xml:space="preserve"> enabling an additional 170 participants to access targeted support, address their drug use and reduce </w:t>
      </w:r>
      <w:r>
        <w:t>the cycle of offending. This initiative is delivered by the Department of Justice and Regulation and Court Services Victoria.</w:t>
      </w:r>
    </w:p>
    <w:p w:rsidR="00E25CC6" w:rsidRDefault="00E25CC6" w:rsidP="00312930">
      <w:pPr>
        <w:spacing w:after="80"/>
      </w:pPr>
      <w:r w:rsidRPr="003759D5">
        <w:t>This initiative contributes to the Department of Justice and Regulation</w:t>
      </w:r>
      <w:r>
        <w:t>’</w:t>
      </w:r>
      <w:r w:rsidRPr="003759D5">
        <w:t>s</w:t>
      </w:r>
      <w:r>
        <w:t>:</w:t>
      </w:r>
      <w:r w:rsidRPr="003759D5">
        <w:t xml:space="preserve"> </w:t>
      </w:r>
    </w:p>
    <w:p w:rsidR="00E25CC6" w:rsidRDefault="00E25CC6" w:rsidP="00477F53">
      <w:pPr>
        <w:pStyle w:val="BulletText"/>
        <w:spacing w:after="80"/>
        <w:ind w:left="357" w:hanging="357"/>
      </w:pPr>
      <w:r>
        <w:t xml:space="preserve">Community Based Offender Supervision output; </w:t>
      </w:r>
    </w:p>
    <w:p w:rsidR="00E25CC6" w:rsidRDefault="00E25CC6" w:rsidP="00477F53">
      <w:pPr>
        <w:pStyle w:val="BulletText"/>
        <w:spacing w:after="80"/>
        <w:ind w:left="357" w:hanging="357"/>
      </w:pPr>
      <w:r>
        <w:t xml:space="preserve">Policing Services and Crime Prevention output; </w:t>
      </w:r>
    </w:p>
    <w:p w:rsidR="00E25CC6" w:rsidRDefault="00E25CC6" w:rsidP="00477F53">
      <w:pPr>
        <w:pStyle w:val="BulletText"/>
        <w:spacing w:after="80"/>
        <w:ind w:left="357" w:hanging="357"/>
      </w:pPr>
      <w:r>
        <w:t xml:space="preserve">Prisoner Supervision and Support output; </w:t>
      </w:r>
    </w:p>
    <w:p w:rsidR="00E25CC6" w:rsidRDefault="00E25CC6" w:rsidP="00477F53">
      <w:pPr>
        <w:pStyle w:val="BulletText"/>
        <w:spacing w:after="80"/>
        <w:ind w:left="357" w:hanging="357"/>
      </w:pPr>
      <w:r>
        <w:t>Public Prosecutions and Legal Assistance output; and</w:t>
      </w:r>
    </w:p>
    <w:p w:rsidR="00E25CC6" w:rsidRDefault="00E25CC6" w:rsidP="00477F53">
      <w:pPr>
        <w:pStyle w:val="BulletText"/>
        <w:spacing w:after="80"/>
        <w:ind w:left="357" w:hanging="357"/>
      </w:pPr>
      <w:r>
        <w:t>the Courts output.</w:t>
      </w:r>
    </w:p>
    <w:p w:rsidR="00E25CC6" w:rsidRDefault="00E25CC6" w:rsidP="00AE644B">
      <w:pPr>
        <w:pStyle w:val="Heading5"/>
        <w:rPr>
          <w:lang w:eastAsia="en-AU"/>
        </w:rPr>
      </w:pPr>
      <w:r>
        <w:rPr>
          <w:lang w:eastAsia="en-AU"/>
        </w:rPr>
        <w:t xml:space="preserve">Responding to ice in Aboriginal communities </w:t>
      </w:r>
    </w:p>
    <w:p w:rsidR="00E25CC6" w:rsidRDefault="00E25CC6" w:rsidP="00AE644B">
      <w:pPr>
        <w:rPr>
          <w:lang w:eastAsia="en-AU"/>
        </w:rPr>
      </w:pPr>
      <w:r>
        <w:rPr>
          <w:lang w:eastAsia="en-AU"/>
        </w:rPr>
        <w:t>Targeted measures will seek to address increased ice use in Aboriginal communities. Funding will support continuation and expansion of the Aboriginal Metropolitan Ice partnerships, involving Aboriginal organisations and mainstream drug treatment providers to improve access and supports for Aboriginal people who have ice or other substance concerns. The Aboriginal Ice Partnership Pilot will be expanded to support Aboriginal people with alcohol and drug issues.</w:t>
      </w:r>
    </w:p>
    <w:p w:rsidR="00E25CC6" w:rsidRPr="00312930" w:rsidRDefault="00E25CC6" w:rsidP="00312930">
      <w:pPr>
        <w:rPr>
          <w:lang w:eastAsia="en-AU"/>
        </w:rPr>
      </w:pPr>
      <w:r>
        <w:rPr>
          <w:lang w:eastAsia="en-AU"/>
        </w:rPr>
        <w:t>This initiative contributes to the Department of Health and Human Services’ Drug Treatment and Rehabilitation output.</w:t>
      </w:r>
    </w:p>
    <w:p w:rsidR="00E25CC6" w:rsidRPr="00980AA6" w:rsidRDefault="00E25CC6" w:rsidP="00AE644B">
      <w:pPr>
        <w:pStyle w:val="Heading5"/>
      </w:pPr>
      <w:r w:rsidRPr="00980AA6">
        <w:t>Resp</w:t>
      </w:r>
      <w:r>
        <w:t>onding to ice – supporting fro</w:t>
      </w:r>
      <w:r w:rsidRPr="00980AA6">
        <w:t>ntline workers</w:t>
      </w:r>
    </w:p>
    <w:p w:rsidR="00E25CC6" w:rsidRPr="00980AA6" w:rsidRDefault="00E25CC6" w:rsidP="00AE644B">
      <w:r w:rsidRPr="00980AA6">
        <w:t>Training will be provided for up to 9</w:t>
      </w:r>
      <w:r>
        <w:t> </w:t>
      </w:r>
      <w:r w:rsidRPr="00980AA6">
        <w:t>700 health and human service workers who may have contact with people who are affected by ice. Training and support will be tailored to address the specific needs of vulnerable population groups, including Aboriginal people and LGB</w:t>
      </w:r>
      <w:r>
        <w:t>T</w:t>
      </w:r>
      <w:r w:rsidRPr="00980AA6">
        <w:t xml:space="preserve">I groups. </w:t>
      </w:r>
    </w:p>
    <w:p w:rsidR="00E25CC6" w:rsidRPr="00980AA6" w:rsidRDefault="00E25CC6" w:rsidP="00AE644B">
      <w:r w:rsidRPr="00980AA6">
        <w:t>This initiative contributes to the Department of Health and Human Services</w:t>
      </w:r>
      <w:r>
        <w:t>’</w:t>
      </w:r>
      <w:r w:rsidRPr="00980AA6">
        <w:t xml:space="preserve"> Drug Treatment and Rehabilitation output.</w:t>
      </w:r>
    </w:p>
    <w:p w:rsidR="00E25CC6" w:rsidRDefault="00E25CC6" w:rsidP="00AE644B">
      <w:pPr>
        <w:pStyle w:val="Heading3"/>
      </w:pPr>
      <w:r>
        <w:t>Asset initiatives</w:t>
      </w:r>
    </w:p>
    <w:p w:rsidR="00E25CC6" w:rsidRPr="00FD236B" w:rsidRDefault="00E25CC6" w:rsidP="00FD236B">
      <w:pPr>
        <w:pStyle w:val="Tableheading"/>
      </w:pPr>
      <w:r>
        <w:t>Table 1.9:</w:t>
      </w:r>
      <w:r>
        <w:tab/>
        <w:t>Asset initiatives – Ice Action Plan – Stage 2</w:t>
      </w:r>
    </w:p>
    <w:p w:rsidR="00E25CC6" w:rsidRPr="00A919CB" w:rsidRDefault="00E25CC6" w:rsidP="00A919CB">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495"/>
        <w:gridCol w:w="880"/>
        <w:gridCol w:w="880"/>
        <w:gridCol w:w="880"/>
        <w:gridCol w:w="880"/>
        <w:gridCol w:w="880"/>
        <w:gridCol w:w="881"/>
      </w:tblGrid>
      <w:tr w:rsidR="00E25CC6" w:rsidRPr="00A919CB" w:rsidTr="00A919CB">
        <w:trPr>
          <w:tblHeader/>
        </w:trPr>
        <w:tc>
          <w:tcPr>
            <w:tcW w:w="2495" w:type="dxa"/>
            <w:tcBorders>
              <w:bottom w:val="single" w:sz="4" w:space="0" w:color="auto"/>
              <w:right w:val="nil"/>
            </w:tcBorders>
            <w:shd w:val="clear" w:color="auto" w:fill="000000"/>
            <w:vAlign w:val="bottom"/>
          </w:tcPr>
          <w:p w:rsidR="00E25CC6" w:rsidRPr="00A919CB" w:rsidRDefault="00E25CC6" w:rsidP="00A919CB">
            <w:pPr>
              <w:pStyle w:val="Tabletext"/>
              <w:rPr>
                <w:rFonts w:eastAsiaTheme="minorEastAsia"/>
                <w:color w:val="FFFFFF"/>
                <w:lang w:eastAsia="en-AU"/>
              </w:rPr>
            </w:pPr>
            <w:r w:rsidRPr="00A919CB">
              <w:rPr>
                <w:rFonts w:eastAsiaTheme="minorEastAsia"/>
                <w:color w:val="FFFFFF"/>
                <w:lang w:eastAsia="en-AU"/>
              </w:rPr>
              <w:t xml:space="preserve"> </w:t>
            </w:r>
          </w:p>
        </w:tc>
        <w:tc>
          <w:tcPr>
            <w:tcW w:w="880"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2015</w:t>
            </w:r>
            <w:r>
              <w:rPr>
                <w:rFonts w:eastAsiaTheme="minorEastAsia"/>
                <w:color w:val="FFFFFF"/>
                <w:sz w:val="19"/>
                <w:lang w:eastAsia="en-AU"/>
              </w:rPr>
              <w:noBreakHyphen/>
            </w:r>
            <w:r w:rsidRPr="00A919CB">
              <w:rPr>
                <w:rFonts w:eastAsiaTheme="minorEastAsia"/>
                <w:color w:val="FFFFFF"/>
                <w:sz w:val="19"/>
                <w:lang w:eastAsia="en-AU"/>
              </w:rPr>
              <w:t>16</w:t>
            </w:r>
          </w:p>
        </w:tc>
        <w:tc>
          <w:tcPr>
            <w:tcW w:w="880"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2016</w:t>
            </w:r>
            <w:r>
              <w:rPr>
                <w:rFonts w:eastAsiaTheme="minorEastAsia"/>
                <w:color w:val="FFFFFF"/>
                <w:sz w:val="19"/>
                <w:lang w:eastAsia="en-AU"/>
              </w:rPr>
              <w:noBreakHyphen/>
            </w:r>
            <w:r w:rsidRPr="00A919CB">
              <w:rPr>
                <w:rFonts w:eastAsiaTheme="minorEastAsia"/>
                <w:color w:val="FFFFFF"/>
                <w:sz w:val="19"/>
                <w:lang w:eastAsia="en-AU"/>
              </w:rPr>
              <w:t>17</w:t>
            </w:r>
          </w:p>
        </w:tc>
        <w:tc>
          <w:tcPr>
            <w:tcW w:w="880"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2017</w:t>
            </w:r>
            <w:r>
              <w:rPr>
                <w:rFonts w:eastAsiaTheme="minorEastAsia"/>
                <w:color w:val="FFFFFF"/>
                <w:sz w:val="19"/>
                <w:lang w:eastAsia="en-AU"/>
              </w:rPr>
              <w:noBreakHyphen/>
            </w:r>
            <w:r w:rsidRPr="00A919CB">
              <w:rPr>
                <w:rFonts w:eastAsiaTheme="minorEastAsia"/>
                <w:color w:val="FFFFFF"/>
                <w:sz w:val="19"/>
                <w:lang w:eastAsia="en-AU"/>
              </w:rPr>
              <w:t>18</w:t>
            </w:r>
          </w:p>
        </w:tc>
        <w:tc>
          <w:tcPr>
            <w:tcW w:w="880"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2018</w:t>
            </w:r>
            <w:r>
              <w:rPr>
                <w:rFonts w:eastAsiaTheme="minorEastAsia"/>
                <w:color w:val="FFFFFF"/>
                <w:sz w:val="19"/>
                <w:lang w:eastAsia="en-AU"/>
              </w:rPr>
              <w:noBreakHyphen/>
            </w:r>
            <w:r w:rsidRPr="00A919CB">
              <w:rPr>
                <w:rFonts w:eastAsiaTheme="minorEastAsia"/>
                <w:color w:val="FFFFFF"/>
                <w:sz w:val="19"/>
                <w:lang w:eastAsia="en-AU"/>
              </w:rPr>
              <w:t>19</w:t>
            </w:r>
          </w:p>
        </w:tc>
        <w:tc>
          <w:tcPr>
            <w:tcW w:w="880" w:type="dxa"/>
            <w:tcBorders>
              <w:left w:val="nil"/>
              <w:bottom w:val="single" w:sz="4" w:space="0" w:color="auto"/>
              <w:right w:val="nil"/>
            </w:tcBorders>
            <w:shd w:val="clear" w:color="auto" w:fill="000000"/>
            <w:vAlign w:val="bottom"/>
          </w:tcPr>
          <w:p w:rsidR="00E25CC6" w:rsidRPr="00A919CB" w:rsidRDefault="00E25CC6" w:rsidP="00A919CB">
            <w:pPr>
              <w:pStyle w:val="Tabletextheading"/>
              <w:rPr>
                <w:rFonts w:eastAsiaTheme="minorEastAsia"/>
                <w:color w:val="FFFFFF"/>
                <w:sz w:val="19"/>
                <w:lang w:eastAsia="en-AU"/>
              </w:rPr>
            </w:pPr>
            <w:r w:rsidRPr="00A919CB">
              <w:rPr>
                <w:rFonts w:eastAsiaTheme="minorEastAsia"/>
                <w:color w:val="FFFFFF"/>
                <w:sz w:val="19"/>
                <w:lang w:eastAsia="en-AU"/>
              </w:rPr>
              <w:t>2019</w:t>
            </w:r>
            <w:r>
              <w:rPr>
                <w:rFonts w:eastAsiaTheme="minorEastAsia"/>
                <w:color w:val="FFFFFF"/>
                <w:sz w:val="19"/>
                <w:lang w:eastAsia="en-AU"/>
              </w:rPr>
              <w:noBreakHyphen/>
            </w:r>
            <w:r w:rsidRPr="00A919CB">
              <w:rPr>
                <w:rFonts w:eastAsiaTheme="minorEastAsia"/>
                <w:color w:val="FFFFFF"/>
                <w:sz w:val="19"/>
                <w:lang w:eastAsia="en-AU"/>
              </w:rPr>
              <w:t>20</w:t>
            </w:r>
          </w:p>
        </w:tc>
        <w:tc>
          <w:tcPr>
            <w:tcW w:w="881" w:type="dxa"/>
            <w:tcBorders>
              <w:left w:val="nil"/>
              <w:bottom w:val="single" w:sz="4" w:space="0" w:color="auto"/>
            </w:tcBorders>
            <w:shd w:val="clear" w:color="auto" w:fill="000000"/>
            <w:vAlign w:val="bottom"/>
          </w:tcPr>
          <w:p w:rsidR="00E25CC6" w:rsidRPr="00A919CB" w:rsidRDefault="00E25CC6" w:rsidP="00A919CB">
            <w:pPr>
              <w:pStyle w:val="Tabletextheading"/>
              <w:rPr>
                <w:rFonts w:eastAsiaTheme="minorEastAsia" w:cs="Calibri"/>
                <w:iCs/>
                <w:color w:val="FFFFFF"/>
                <w:sz w:val="19"/>
                <w:lang w:eastAsia="en-AU"/>
              </w:rPr>
            </w:pPr>
            <w:r w:rsidRPr="00A919CB">
              <w:rPr>
                <w:rFonts w:eastAsiaTheme="minorEastAsia" w:cs="Calibri"/>
                <w:iCs/>
                <w:color w:val="FFFFFF"/>
                <w:sz w:val="19"/>
                <w:lang w:eastAsia="en-AU"/>
              </w:rPr>
              <w:t>TEI</w:t>
            </w:r>
          </w:p>
        </w:tc>
      </w:tr>
      <w:tr w:rsidR="00E25CC6" w:rsidRPr="00A919CB" w:rsidTr="00A919CB">
        <w:tc>
          <w:tcPr>
            <w:tcW w:w="2495" w:type="dxa"/>
            <w:tcBorders>
              <w:top w:val="single" w:sz="4" w:space="0" w:color="auto"/>
              <w:left w:val="nil"/>
              <w:bottom w:val="nil"/>
              <w:right w:val="nil"/>
            </w:tcBorders>
          </w:tcPr>
          <w:p w:rsidR="00E25CC6" w:rsidRPr="00A919CB" w:rsidRDefault="00E25CC6" w:rsidP="00A919CB">
            <w:pPr>
              <w:pStyle w:val="Tabletext"/>
              <w:rPr>
                <w:rFonts w:eastAsiaTheme="minorEastAsia"/>
                <w:color w:val="000000"/>
                <w:lang w:eastAsia="en-AU"/>
              </w:rPr>
            </w:pPr>
            <w:r w:rsidRPr="00A919CB">
              <w:rPr>
                <w:rFonts w:eastAsiaTheme="minorEastAsia"/>
                <w:color w:val="000000"/>
                <w:lang w:eastAsia="en-AU"/>
              </w:rPr>
              <w:t>Alcohol and drug residential rehabilitation service</w:t>
            </w:r>
            <w:r>
              <w:rPr>
                <w:rFonts w:eastAsiaTheme="minorEastAsia"/>
                <w:color w:val="000000"/>
                <w:lang w:eastAsia="en-AU"/>
              </w:rPr>
              <w:t xml:space="preserve"> – </w:t>
            </w:r>
            <w:r w:rsidRPr="00A919CB">
              <w:rPr>
                <w:rFonts w:eastAsiaTheme="minorEastAsia"/>
                <w:color w:val="000000"/>
                <w:lang w:eastAsia="en-AU"/>
              </w:rPr>
              <w:t>stage 1</w:t>
            </w:r>
          </w:p>
        </w:tc>
        <w:tc>
          <w:tcPr>
            <w:tcW w:w="880" w:type="dxa"/>
            <w:tcBorders>
              <w:top w:val="single" w:sz="4" w:space="0" w:color="auto"/>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0" w:type="dxa"/>
            <w:tcBorders>
              <w:top w:val="single" w:sz="4" w:space="0" w:color="auto"/>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0.2</w:t>
            </w:r>
          </w:p>
        </w:tc>
        <w:tc>
          <w:tcPr>
            <w:tcW w:w="880" w:type="dxa"/>
            <w:tcBorders>
              <w:top w:val="single" w:sz="4" w:space="0" w:color="auto"/>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3.5</w:t>
            </w:r>
          </w:p>
        </w:tc>
        <w:tc>
          <w:tcPr>
            <w:tcW w:w="880" w:type="dxa"/>
            <w:tcBorders>
              <w:top w:val="single" w:sz="4" w:space="0" w:color="auto"/>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2.4</w:t>
            </w:r>
          </w:p>
        </w:tc>
        <w:tc>
          <w:tcPr>
            <w:tcW w:w="880" w:type="dxa"/>
            <w:tcBorders>
              <w:top w:val="single" w:sz="4" w:space="0" w:color="auto"/>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1" w:type="dxa"/>
            <w:tcBorders>
              <w:top w:val="single" w:sz="4" w:space="0" w:color="auto"/>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sz w:val="19"/>
                <w:lang w:eastAsia="en-AU"/>
              </w:rPr>
              <w:t>6.0</w:t>
            </w:r>
          </w:p>
        </w:tc>
      </w:tr>
      <w:tr w:rsidR="00E25CC6" w:rsidRPr="00A919CB" w:rsidTr="00A919CB">
        <w:tc>
          <w:tcPr>
            <w:tcW w:w="2495" w:type="dxa"/>
            <w:tcBorders>
              <w:top w:val="nil"/>
              <w:left w:val="nil"/>
              <w:bottom w:val="nil"/>
              <w:right w:val="nil"/>
            </w:tcBorders>
            <w:shd w:val="solid" w:color="FFFFFF" w:fill="auto"/>
          </w:tcPr>
          <w:p w:rsidR="00E25CC6" w:rsidRPr="00A919CB" w:rsidRDefault="00E25CC6" w:rsidP="00A919CB">
            <w:pPr>
              <w:pStyle w:val="Tabletext"/>
              <w:rPr>
                <w:rFonts w:eastAsiaTheme="minorEastAsia"/>
                <w:color w:val="000000"/>
                <w:lang w:eastAsia="en-AU"/>
              </w:rPr>
            </w:pPr>
            <w:r w:rsidRPr="00A919CB">
              <w:rPr>
                <w:rFonts w:eastAsiaTheme="minorEastAsia"/>
                <w:color w:val="000000"/>
                <w:lang w:eastAsia="en-AU"/>
              </w:rPr>
              <w:t xml:space="preserve">Ice Action Plan – Expansion of the Drug Court of Victoria </w:t>
            </w:r>
          </w:p>
        </w:tc>
        <w:tc>
          <w:tcPr>
            <w:tcW w:w="880"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0"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1.1</w:t>
            </w:r>
          </w:p>
        </w:tc>
        <w:tc>
          <w:tcPr>
            <w:tcW w:w="880"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0"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0" w:type="dxa"/>
            <w:tcBorders>
              <w:top w:val="nil"/>
              <w:left w:val="nil"/>
              <w:bottom w:val="nil"/>
              <w:right w:val="nil"/>
            </w:tcBorders>
            <w:shd w:val="solid" w:color="FFFFFF" w:fill="auto"/>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1" w:type="dxa"/>
            <w:tcBorders>
              <w:top w:val="nil"/>
              <w:left w:val="nil"/>
              <w:bottom w:val="nil"/>
              <w:right w:val="nil"/>
            </w:tcBorders>
            <w:shd w:val="solid" w:color="FFFFFF" w:fill="auto"/>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sz w:val="19"/>
                <w:lang w:eastAsia="en-AU"/>
              </w:rPr>
              <w:t>1.1</w:t>
            </w:r>
          </w:p>
        </w:tc>
      </w:tr>
      <w:tr w:rsidR="00E25CC6" w:rsidRPr="00A919CB" w:rsidTr="00A919CB">
        <w:tc>
          <w:tcPr>
            <w:tcW w:w="2495" w:type="dxa"/>
            <w:tcBorders>
              <w:top w:val="nil"/>
              <w:left w:val="nil"/>
              <w:bottom w:val="nil"/>
              <w:right w:val="nil"/>
            </w:tcBorders>
          </w:tcPr>
          <w:p w:rsidR="00E25CC6" w:rsidRPr="00A919CB" w:rsidRDefault="00E25CC6" w:rsidP="00A919CB">
            <w:pPr>
              <w:pStyle w:val="Tabletext"/>
              <w:rPr>
                <w:rFonts w:eastAsiaTheme="minorEastAsia"/>
                <w:color w:val="000000"/>
                <w:lang w:eastAsia="en-AU"/>
              </w:rPr>
            </w:pPr>
            <w:r w:rsidRPr="00A919CB">
              <w:rPr>
                <w:rFonts w:eastAsiaTheme="minorEastAsia"/>
                <w:color w:val="000000"/>
                <w:lang w:eastAsia="en-AU"/>
              </w:rPr>
              <w:t>Mental health/alcohol and other drugs facilities renewal</w:t>
            </w:r>
          </w:p>
        </w:tc>
        <w:tc>
          <w:tcPr>
            <w:tcW w:w="880" w:type="dxa"/>
            <w:tcBorders>
              <w:top w:val="nil"/>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0" w:type="dxa"/>
            <w:tcBorders>
              <w:top w:val="nil"/>
              <w:left w:val="nil"/>
              <w:bottom w:val="nil"/>
              <w:right w:val="nil"/>
            </w:tcBorders>
          </w:tcPr>
          <w:p w:rsidR="00E25CC6" w:rsidRPr="00A919CB" w:rsidRDefault="00E25CC6" w:rsidP="00A919CB">
            <w:pPr>
              <w:pStyle w:val="TableofFigures"/>
              <w:rPr>
                <w:rFonts w:eastAsiaTheme="minorEastAsia" w:cs="Calibri"/>
                <w:color w:val="000000"/>
                <w:sz w:val="19"/>
                <w:lang w:eastAsia="en-AU"/>
              </w:rPr>
            </w:pPr>
            <w:r w:rsidRPr="00A919CB">
              <w:rPr>
                <w:rFonts w:eastAsiaTheme="minorEastAsia"/>
                <w:sz w:val="19"/>
                <w:lang w:eastAsia="en-AU"/>
              </w:rPr>
              <w:t>10.0</w:t>
            </w:r>
          </w:p>
        </w:tc>
        <w:tc>
          <w:tcPr>
            <w:tcW w:w="880" w:type="dxa"/>
            <w:tcBorders>
              <w:top w:val="nil"/>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0" w:type="dxa"/>
            <w:tcBorders>
              <w:top w:val="nil"/>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0" w:type="dxa"/>
            <w:tcBorders>
              <w:top w:val="nil"/>
              <w:left w:val="nil"/>
              <w:bottom w:val="nil"/>
              <w:right w:val="nil"/>
            </w:tcBorders>
          </w:tcPr>
          <w:p w:rsidR="00E25CC6" w:rsidRPr="00A919CB" w:rsidRDefault="00E25CC6" w:rsidP="00A919CB">
            <w:pPr>
              <w:pStyle w:val="TableofFigures"/>
              <w:rPr>
                <w:rFonts w:eastAsiaTheme="minorEastAsia"/>
                <w:sz w:val="19"/>
                <w:lang w:eastAsia="en-AU"/>
              </w:rPr>
            </w:pPr>
            <w:r w:rsidRPr="00A919CB">
              <w:rPr>
                <w:rFonts w:eastAsiaTheme="minorEastAsia"/>
                <w:sz w:val="19"/>
                <w:lang w:eastAsia="en-AU"/>
              </w:rPr>
              <w:t>..</w:t>
            </w:r>
          </w:p>
        </w:tc>
        <w:tc>
          <w:tcPr>
            <w:tcW w:w="881" w:type="dxa"/>
            <w:tcBorders>
              <w:top w:val="nil"/>
              <w:left w:val="nil"/>
              <w:bottom w:val="nil"/>
              <w:right w:val="nil"/>
            </w:tcBorders>
          </w:tcPr>
          <w:p w:rsidR="00E25CC6" w:rsidRPr="00A919CB" w:rsidRDefault="00E25CC6" w:rsidP="00A919CB">
            <w:pPr>
              <w:autoSpaceDE w:val="0"/>
              <w:autoSpaceDN w:val="0"/>
              <w:adjustRightInd w:val="0"/>
              <w:spacing w:after="0"/>
              <w:jc w:val="right"/>
              <w:rPr>
                <w:rFonts w:ascii="Calibri" w:eastAsiaTheme="minorEastAsia" w:hAnsi="Calibri" w:cs="Calibri"/>
                <w:color w:val="000000"/>
                <w:sz w:val="19"/>
                <w:lang w:eastAsia="en-AU"/>
              </w:rPr>
            </w:pPr>
            <w:r w:rsidRPr="00A919CB">
              <w:rPr>
                <w:rFonts w:ascii="Calibri" w:eastAsiaTheme="minorEastAsia" w:hAnsi="Calibri" w:cs="Calibri"/>
                <w:sz w:val="19"/>
                <w:lang w:eastAsia="en-AU"/>
              </w:rPr>
              <w:t>10.0</w:t>
            </w:r>
          </w:p>
        </w:tc>
      </w:tr>
      <w:tr w:rsidR="00E25CC6" w:rsidRPr="00A919CB" w:rsidTr="00A919CB">
        <w:tc>
          <w:tcPr>
            <w:tcW w:w="2495"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text"/>
              <w:rPr>
                <w:rFonts w:eastAsiaTheme="minorEastAsia"/>
                <w:b/>
                <w:bCs/>
                <w:color w:val="000000"/>
                <w:vertAlign w:val="superscript"/>
                <w:lang w:eastAsia="en-AU"/>
              </w:rPr>
            </w:pPr>
            <w:r w:rsidRPr="00A919CB">
              <w:rPr>
                <w:rFonts w:eastAsiaTheme="minorEastAsia"/>
                <w:b/>
                <w:bCs/>
                <w:color w:val="000000"/>
                <w:lang w:eastAsia="en-AU"/>
              </w:rPr>
              <w:t xml:space="preserve">Total asset initiatives </w:t>
            </w:r>
            <w:r w:rsidRPr="00A919CB">
              <w:rPr>
                <w:rFonts w:eastAsiaTheme="minorEastAsia"/>
                <w:b/>
                <w:bCs/>
                <w:color w:val="000000"/>
                <w:vertAlign w:val="superscript"/>
                <w:lang w:eastAsia="en-AU"/>
              </w:rPr>
              <w:t>(a)</w:t>
            </w:r>
          </w:p>
        </w:tc>
        <w:tc>
          <w:tcPr>
            <w:tcW w:w="88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sz w:val="19"/>
                <w:lang w:eastAsia="en-AU"/>
              </w:rPr>
            </w:pPr>
            <w:r w:rsidRPr="00A919CB">
              <w:rPr>
                <w:rFonts w:eastAsiaTheme="minorEastAsia"/>
                <w:b/>
                <w:bCs/>
                <w:sz w:val="19"/>
                <w:lang w:eastAsia="en-AU"/>
              </w:rPr>
              <w:t>..</w:t>
            </w:r>
          </w:p>
        </w:tc>
        <w:tc>
          <w:tcPr>
            <w:tcW w:w="88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cs="Calibri"/>
                <w:b/>
                <w:bCs/>
                <w:color w:val="000000"/>
                <w:sz w:val="19"/>
                <w:lang w:eastAsia="en-AU"/>
              </w:rPr>
            </w:pPr>
            <w:r w:rsidRPr="00A919CB">
              <w:rPr>
                <w:rFonts w:eastAsiaTheme="minorEastAsia"/>
                <w:b/>
                <w:bCs/>
                <w:sz w:val="19"/>
                <w:lang w:eastAsia="en-AU"/>
              </w:rPr>
              <w:t>11.3</w:t>
            </w:r>
          </w:p>
        </w:tc>
        <w:tc>
          <w:tcPr>
            <w:tcW w:w="88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cs="Calibri"/>
                <w:b/>
                <w:bCs/>
                <w:color w:val="000000"/>
                <w:sz w:val="19"/>
                <w:lang w:eastAsia="en-AU"/>
              </w:rPr>
            </w:pPr>
            <w:r w:rsidRPr="00A919CB">
              <w:rPr>
                <w:rFonts w:eastAsiaTheme="minorEastAsia"/>
                <w:b/>
                <w:bCs/>
                <w:sz w:val="19"/>
                <w:lang w:eastAsia="en-AU"/>
              </w:rPr>
              <w:t>3.5</w:t>
            </w:r>
          </w:p>
        </w:tc>
        <w:tc>
          <w:tcPr>
            <w:tcW w:w="88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cs="Calibri"/>
                <w:b/>
                <w:bCs/>
                <w:color w:val="000000"/>
                <w:sz w:val="19"/>
                <w:lang w:eastAsia="en-AU"/>
              </w:rPr>
            </w:pPr>
            <w:r w:rsidRPr="00A919CB">
              <w:rPr>
                <w:rFonts w:eastAsiaTheme="minorEastAsia"/>
                <w:b/>
                <w:bCs/>
                <w:sz w:val="19"/>
                <w:lang w:eastAsia="en-AU"/>
              </w:rPr>
              <w:t>2.4</w:t>
            </w:r>
          </w:p>
        </w:tc>
        <w:tc>
          <w:tcPr>
            <w:tcW w:w="880" w:type="dxa"/>
            <w:tcBorders>
              <w:top w:val="single" w:sz="6" w:space="0" w:color="auto"/>
              <w:left w:val="nil"/>
              <w:bottom w:val="single" w:sz="12" w:space="0" w:color="auto"/>
              <w:right w:val="nil"/>
            </w:tcBorders>
            <w:shd w:val="solid" w:color="FFFFFF" w:fill="auto"/>
          </w:tcPr>
          <w:p w:rsidR="00E25CC6" w:rsidRPr="00A919CB" w:rsidRDefault="00E25CC6" w:rsidP="00A919CB">
            <w:pPr>
              <w:pStyle w:val="TableofFigures"/>
              <w:rPr>
                <w:rFonts w:eastAsiaTheme="minorEastAsia"/>
                <w:b/>
                <w:bCs/>
                <w:sz w:val="19"/>
                <w:lang w:eastAsia="en-AU"/>
              </w:rPr>
            </w:pPr>
            <w:r w:rsidRPr="00A919CB">
              <w:rPr>
                <w:rFonts w:eastAsiaTheme="minorEastAsia"/>
                <w:b/>
                <w:bCs/>
                <w:sz w:val="19"/>
                <w:lang w:eastAsia="en-AU"/>
              </w:rPr>
              <w:t>..</w:t>
            </w:r>
          </w:p>
        </w:tc>
        <w:tc>
          <w:tcPr>
            <w:tcW w:w="881" w:type="dxa"/>
            <w:tcBorders>
              <w:top w:val="single" w:sz="6" w:space="0" w:color="auto"/>
              <w:left w:val="nil"/>
              <w:bottom w:val="single" w:sz="12" w:space="0" w:color="auto"/>
              <w:right w:val="nil"/>
            </w:tcBorders>
            <w:shd w:val="solid" w:color="FFFFFF" w:fill="auto"/>
          </w:tcPr>
          <w:p w:rsidR="00E25CC6" w:rsidRPr="00A919CB" w:rsidRDefault="00E25CC6" w:rsidP="00A919CB">
            <w:pPr>
              <w:autoSpaceDE w:val="0"/>
              <w:autoSpaceDN w:val="0"/>
              <w:adjustRightInd w:val="0"/>
              <w:spacing w:after="0"/>
              <w:jc w:val="right"/>
              <w:rPr>
                <w:rFonts w:ascii="Calibri" w:eastAsiaTheme="minorEastAsia" w:hAnsi="Calibri" w:cs="Calibri"/>
                <w:b/>
                <w:bCs/>
                <w:color w:val="000000"/>
                <w:sz w:val="19"/>
                <w:lang w:eastAsia="en-AU"/>
              </w:rPr>
            </w:pPr>
            <w:r w:rsidRPr="00A919CB">
              <w:rPr>
                <w:rFonts w:ascii="Calibri" w:eastAsiaTheme="minorEastAsia" w:hAnsi="Calibri" w:cs="Calibri"/>
                <w:b/>
                <w:bCs/>
                <w:sz w:val="19"/>
                <w:lang w:eastAsia="en-AU"/>
              </w:rPr>
              <w:t>17.1</w:t>
            </w:r>
          </w:p>
        </w:tc>
      </w:tr>
    </w:tbl>
    <w:p w:rsidR="00E25CC6" w:rsidRDefault="00E25CC6" w:rsidP="009F2116">
      <w:pPr>
        <w:pStyle w:val="Source"/>
      </w:pPr>
      <w:r>
        <w:t xml:space="preserve">Source: Department of Treasury and Finance </w:t>
      </w:r>
      <w:r>
        <w:fldChar w:fldCharType="begin"/>
      </w:r>
      <w:r>
        <w:instrText xml:space="preserve"> XE "</w:instrText>
      </w:r>
      <w:r w:rsidRPr="00206882">
        <w:instrText>Ice Action Plan – Stage 2:</w:instrText>
      </w:r>
      <w:r>
        <w:instrText>Asset</w:instrText>
      </w:r>
      <w:r w:rsidRPr="00206882">
        <w:instrText xml:space="preserve"> initiatives</w:instrText>
      </w:r>
      <w:r>
        <w:instrText xml:space="preserve">" </w:instrText>
      </w:r>
      <w:r>
        <w:fldChar w:fldCharType="end"/>
      </w:r>
    </w:p>
    <w:p w:rsidR="00E25CC6" w:rsidRDefault="00E25CC6" w:rsidP="009F2116">
      <w:pPr>
        <w:pStyle w:val="Notes"/>
      </w:pPr>
      <w:r>
        <w:t>Note:</w:t>
      </w:r>
    </w:p>
    <w:p w:rsidR="00E25CC6" w:rsidRDefault="00E25CC6" w:rsidP="009F2116">
      <w:pPr>
        <w:pStyle w:val="Notes"/>
      </w:pPr>
      <w:r>
        <w:t>(a)</w:t>
      </w:r>
      <w:r>
        <w:tab/>
        <w:t>Tables may not add due to rounding.</w:t>
      </w:r>
    </w:p>
    <w:p w:rsidR="00E25CC6" w:rsidRPr="00FD236B" w:rsidRDefault="00E25CC6" w:rsidP="009F2116">
      <w:pPr>
        <w:pStyle w:val="Notes"/>
      </w:pPr>
    </w:p>
    <w:p w:rsidR="00E25CC6" w:rsidRPr="00980AA6" w:rsidRDefault="00E25CC6" w:rsidP="00AE644B">
      <w:pPr>
        <w:pStyle w:val="Heading5"/>
      </w:pPr>
      <w:r w:rsidRPr="00980AA6">
        <w:t>Alcohol and drug residential rehabilitation service</w:t>
      </w:r>
      <w:r>
        <w:t xml:space="preserve"> – </w:t>
      </w:r>
      <w:r w:rsidRPr="00980AA6">
        <w:t>stage 1</w:t>
      </w:r>
    </w:p>
    <w:p w:rsidR="00E25CC6" w:rsidRPr="00980AA6" w:rsidRDefault="00E25CC6" w:rsidP="00AE644B">
      <w:pPr>
        <w:autoSpaceDE w:val="0"/>
        <w:autoSpaceDN w:val="0"/>
        <w:adjustRightInd w:val="0"/>
      </w:pPr>
      <w:r>
        <w:t xml:space="preserve">Alcohol and drug </w:t>
      </w:r>
      <w:r w:rsidRPr="00980AA6">
        <w:t>residential rehabilitation services across the State</w:t>
      </w:r>
      <w:r>
        <w:t xml:space="preserve"> will be expanded</w:t>
      </w:r>
      <w:r w:rsidRPr="00980AA6">
        <w:t xml:space="preserve"> by </w:t>
      </w:r>
      <w:r>
        <w:t>developing an 18</w:t>
      </w:r>
      <w:r>
        <w:noBreakHyphen/>
        <w:t xml:space="preserve">20 bed </w:t>
      </w:r>
      <w:r w:rsidRPr="00980AA6">
        <w:t>residential alcohol and drug rehabilitation facility</w:t>
      </w:r>
      <w:r>
        <w:t xml:space="preserve"> in the Grampians region servicing the Ballarat community</w:t>
      </w:r>
      <w:r w:rsidRPr="00980AA6">
        <w:t xml:space="preserve">. </w:t>
      </w:r>
    </w:p>
    <w:p w:rsidR="00E25CC6" w:rsidRPr="00980AA6" w:rsidRDefault="00E25CC6" w:rsidP="00AE644B">
      <w:r w:rsidRPr="00980AA6">
        <w:t>This initiative contributes to the Department of Health and Human Services</w:t>
      </w:r>
      <w:r>
        <w:t>’</w:t>
      </w:r>
      <w:r w:rsidRPr="00980AA6">
        <w:t xml:space="preserve"> Clinical Care output.</w:t>
      </w:r>
    </w:p>
    <w:p w:rsidR="00E25CC6" w:rsidRDefault="00E25CC6" w:rsidP="00AE644B">
      <w:pPr>
        <w:autoSpaceDE w:val="0"/>
        <w:autoSpaceDN w:val="0"/>
        <w:adjustRightInd w:val="0"/>
        <w:rPr>
          <w:szCs w:val="22"/>
        </w:rPr>
      </w:pPr>
      <w:r w:rsidRPr="00980AA6">
        <w:rPr>
          <w:szCs w:val="22"/>
        </w:rPr>
        <w:t>This initiative contributes to the Department of Health and Human Services</w:t>
      </w:r>
      <w:r>
        <w:rPr>
          <w:szCs w:val="22"/>
        </w:rPr>
        <w:t>’</w:t>
      </w:r>
      <w:r w:rsidRPr="00980AA6">
        <w:rPr>
          <w:szCs w:val="22"/>
        </w:rPr>
        <w:t xml:space="preserve"> Residential Aged Care output.</w:t>
      </w:r>
    </w:p>
    <w:p w:rsidR="00E25CC6" w:rsidRPr="00FE72FB" w:rsidRDefault="00E25CC6" w:rsidP="00FE72FB">
      <w:pPr>
        <w:pStyle w:val="Heading5"/>
      </w:pPr>
      <w:r w:rsidRPr="00FE72FB">
        <w:t>Ice Action Plan – Expansion of the Drug Court of Victoria</w:t>
      </w:r>
    </w:p>
    <w:p w:rsidR="00E25CC6" w:rsidRPr="00980AA6" w:rsidRDefault="00E25CC6" w:rsidP="00911AE2">
      <w:r>
        <w:t xml:space="preserve">Refer to the output initiative for a description of this initiative. </w:t>
      </w:r>
    </w:p>
    <w:p w:rsidR="00E25CC6" w:rsidRPr="00980AA6" w:rsidRDefault="00E25CC6" w:rsidP="00AE644B">
      <w:pPr>
        <w:pStyle w:val="Heading5"/>
      </w:pPr>
      <w:r w:rsidRPr="00980AA6">
        <w:t>Mental health and alcohol and other drugs facilities renewal</w:t>
      </w:r>
    </w:p>
    <w:p w:rsidR="00E25CC6" w:rsidRPr="00980AA6" w:rsidRDefault="00E25CC6" w:rsidP="00AE644B">
      <w:r>
        <w:t>T</w:t>
      </w:r>
      <w:r w:rsidRPr="00980AA6">
        <w:t>he highest risk infrastructure and functional issues</w:t>
      </w:r>
      <w:r>
        <w:t xml:space="preserve"> will be addressed</w:t>
      </w:r>
      <w:r w:rsidRPr="00980AA6">
        <w:t xml:space="preserve"> in state</w:t>
      </w:r>
      <w:r>
        <w:noBreakHyphen/>
      </w:r>
      <w:r w:rsidRPr="00980AA6">
        <w:t>owned mental health and alcohol and other drugs facilities.</w:t>
      </w:r>
      <w:r>
        <w:t xml:space="preserve"> </w:t>
      </w:r>
      <w:r w:rsidRPr="00980AA6">
        <w:t>Investment will be in selected facilities</w:t>
      </w:r>
      <w:r>
        <w:t xml:space="preserve"> that support inpatient clinical services and community</w:t>
      </w:r>
      <w:r>
        <w:noBreakHyphen/>
        <w:t>based clinical services</w:t>
      </w:r>
      <w:r w:rsidRPr="00980AA6">
        <w:t>.</w:t>
      </w:r>
      <w:r>
        <w:t xml:space="preserve"> </w:t>
      </w:r>
      <w:r w:rsidRPr="00980AA6">
        <w:t>This will achieve more therapeutic and safe environments for patients and enable better support for the delivery of current and emerging models of care.</w:t>
      </w:r>
    </w:p>
    <w:p w:rsidR="00E25CC6" w:rsidRPr="00980AA6" w:rsidRDefault="00E25CC6" w:rsidP="00AE644B">
      <w:r w:rsidRPr="00980AA6">
        <w:t>This initiative contributes to the Department of Health and Human Services</w:t>
      </w:r>
      <w:r>
        <w:t>’</w:t>
      </w:r>
      <w:r w:rsidRPr="00980AA6">
        <w:t xml:space="preserve"> Clinical Care output.</w:t>
      </w:r>
    </w:p>
    <w:p w:rsidR="00E25CC6" w:rsidRDefault="00E25CC6">
      <w:pPr>
        <w:spacing w:after="0"/>
      </w:pPr>
      <w:r>
        <w:br w:type="page"/>
      </w:r>
    </w:p>
    <w:p w:rsidR="00E25CC6" w:rsidRPr="00F16216" w:rsidRDefault="00E25CC6" w:rsidP="00F16216">
      <w:pPr>
        <w:pStyle w:val="Heading1"/>
      </w:pPr>
      <w:bookmarkStart w:id="14" w:name="_Toc449109425"/>
      <w:r w:rsidRPr="00F16216">
        <w:t>Whole of Government – Jobs</w:t>
      </w:r>
      <w:bookmarkEnd w:id="14"/>
    </w:p>
    <w:p w:rsidR="00E25CC6" w:rsidRDefault="00E25CC6" w:rsidP="00F2364E">
      <w:pPr>
        <w:pStyle w:val="Heading3"/>
      </w:pPr>
      <w:r>
        <w:t>Output initiatives</w:t>
      </w:r>
    </w:p>
    <w:p w:rsidR="00E25CC6" w:rsidRDefault="00E25CC6" w:rsidP="00341B58">
      <w:pPr>
        <w:pStyle w:val="Tableheading"/>
      </w:pPr>
      <w:r>
        <w:t>Table 1.10:</w:t>
      </w:r>
      <w:r>
        <w:tab/>
        <w:t>Output initiatives –</w:t>
      </w:r>
      <w:r w:rsidRPr="00FA2145">
        <w:rPr>
          <w:rFonts w:eastAsiaTheme="minorHAnsi"/>
        </w:rPr>
        <w:t xml:space="preserve"> </w:t>
      </w:r>
      <w:r>
        <w:rPr>
          <w:rFonts w:eastAsiaTheme="minorHAnsi"/>
        </w:rPr>
        <w:t>J</w:t>
      </w:r>
      <w:r w:rsidRPr="00FA2145">
        <w:rPr>
          <w:rFonts w:eastAsiaTheme="minorHAnsi"/>
        </w:rPr>
        <w:t>obs</w:t>
      </w:r>
    </w:p>
    <w:p w:rsidR="00E25CC6" w:rsidRDefault="00E25CC6" w:rsidP="001101B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499"/>
        <w:gridCol w:w="855"/>
        <w:gridCol w:w="855"/>
        <w:gridCol w:w="856"/>
        <w:gridCol w:w="855"/>
        <w:gridCol w:w="856"/>
      </w:tblGrid>
      <w:tr w:rsidR="00E25CC6" w:rsidRPr="001101B0" w:rsidTr="001101B0">
        <w:trPr>
          <w:cantSplit/>
          <w:tblHeader/>
        </w:trPr>
        <w:tc>
          <w:tcPr>
            <w:tcW w:w="3499"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1101B0">
            <w:pPr>
              <w:pStyle w:val="Tabletext"/>
              <w:rPr>
                <w:rFonts w:eastAsiaTheme="minorEastAsia"/>
                <w:lang w:eastAsia="en-AU"/>
              </w:rPr>
            </w:pPr>
          </w:p>
        </w:tc>
        <w:tc>
          <w:tcPr>
            <w:tcW w:w="855"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55"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56"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55"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56" w:type="dxa"/>
            <w:tcBorders>
              <w:top w:val="single" w:sz="4" w:space="0" w:color="auto"/>
              <w:left w:val="nil"/>
              <w:bottom w:val="single" w:sz="4" w:space="0" w:color="auto"/>
              <w:right w:val="single" w:sz="4" w:space="0" w:color="auto"/>
            </w:tcBorders>
            <w:shd w:val="clear" w:color="auto" w:fill="000000"/>
          </w:tcPr>
          <w:p w:rsidR="00E25CC6" w:rsidRPr="001101B0" w:rsidRDefault="00E25CC6" w:rsidP="001101B0">
            <w:pPr>
              <w:pStyle w:val="Tabletextheading"/>
              <w:rPr>
                <w:rFonts w:eastAsiaTheme="minorEastAsia" w:cs="Calibri"/>
                <w:iCs/>
                <w:lang w:eastAsia="en-AU"/>
              </w:rPr>
            </w:pPr>
            <w:r w:rsidRPr="001101B0">
              <w:rPr>
                <w:rFonts w:eastAsiaTheme="minorEastAsia" w:cs="Calibri"/>
                <w:iCs/>
                <w:lang w:eastAsia="en-AU"/>
              </w:rPr>
              <w:t>2019</w:t>
            </w:r>
            <w:r>
              <w:rPr>
                <w:rFonts w:eastAsiaTheme="minorEastAsia" w:cs="Calibri"/>
                <w:iCs/>
                <w:lang w:eastAsia="en-AU"/>
              </w:rPr>
              <w:noBreakHyphen/>
            </w:r>
            <w:r w:rsidRPr="001101B0">
              <w:rPr>
                <w:rFonts w:eastAsiaTheme="minorEastAsia" w:cs="Calibri"/>
                <w:iCs/>
                <w:lang w:eastAsia="en-AU"/>
              </w:rPr>
              <w:t>20</w:t>
            </w:r>
          </w:p>
        </w:tc>
      </w:tr>
      <w:tr w:rsidR="00E25CC6" w:rsidRPr="001101B0" w:rsidTr="001101B0">
        <w:trPr>
          <w:cantSplit/>
        </w:trPr>
        <w:tc>
          <w:tcPr>
            <w:tcW w:w="3499" w:type="dxa"/>
            <w:tcBorders>
              <w:top w:val="single" w:sz="4" w:space="0" w:color="auto"/>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Back to Work</w:t>
            </w:r>
            <w:r>
              <w:rPr>
                <w:rFonts w:eastAsiaTheme="minorEastAsia"/>
                <w:lang w:eastAsia="en-AU"/>
              </w:rPr>
              <w:t xml:space="preserve"> – </w:t>
            </w:r>
            <w:r w:rsidRPr="001101B0">
              <w:rPr>
                <w:rFonts w:eastAsiaTheme="minorEastAsia"/>
                <w:lang w:eastAsia="en-AU"/>
              </w:rPr>
              <w:t>Automotive workers</w:t>
            </w:r>
          </w:p>
        </w:tc>
        <w:tc>
          <w:tcPr>
            <w:tcW w:w="855"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10.0</w:t>
            </w:r>
          </w:p>
        </w:tc>
        <w:tc>
          <w:tcPr>
            <w:tcW w:w="856"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single" w:sz="4" w:space="0" w:color="auto"/>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Ballarat Innovation Lab and Digital Space</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1.5</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0.9</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0.9</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Bendigo Arts Precinct</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3.1</w:t>
            </w:r>
          </w:p>
        </w:tc>
        <w:tc>
          <w:tcPr>
            <w:tcW w:w="856"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1.9</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1.5</w:t>
            </w:r>
          </w:p>
        </w:tc>
        <w:tc>
          <w:tcPr>
            <w:tcW w:w="856"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0.5</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Business Events Fund</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4.5</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4.5</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shd w:val="solid" w:color="FFFFFF" w:fill="auto"/>
          </w:tcPr>
          <w:p w:rsidR="00E25CC6" w:rsidRPr="001101B0" w:rsidRDefault="00E25CC6" w:rsidP="001101B0">
            <w:pPr>
              <w:pStyle w:val="Tabletext"/>
              <w:rPr>
                <w:rFonts w:eastAsiaTheme="minorEastAsia"/>
                <w:lang w:eastAsia="en-AU"/>
              </w:rPr>
            </w:pPr>
            <w:r w:rsidRPr="001101B0">
              <w:rPr>
                <w:rFonts w:eastAsiaTheme="minorEastAsia"/>
                <w:lang w:eastAsia="en-AU"/>
              </w:rPr>
              <w:t>Climate Change Innovation and Jobs</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1.4</w:t>
            </w:r>
          </w:p>
        </w:tc>
        <w:tc>
          <w:tcPr>
            <w:tcW w:w="856"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1.5</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2.1</w:t>
            </w:r>
          </w:p>
        </w:tc>
        <w:tc>
          <w:tcPr>
            <w:tcW w:w="856"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2.4</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 xml:space="preserve">Community Revitalisation </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2.7</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2.7</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2.7</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2.7</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Driving Growth in Renewable Energy</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3.4</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3.7</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3.1</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2.1</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Future Industries Fund extension and sector</w:t>
            </w:r>
            <w:r>
              <w:rPr>
                <w:rFonts w:eastAsiaTheme="minorEastAsia"/>
                <w:lang w:eastAsia="en-AU"/>
              </w:rPr>
              <w:noBreakHyphen/>
            </w:r>
            <w:r w:rsidRPr="001101B0">
              <w:rPr>
                <w:rFonts w:eastAsiaTheme="minorEastAsia"/>
                <w:lang w:eastAsia="en-AU"/>
              </w:rPr>
              <w:t>strategic projects</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20.0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29.5</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35.3</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26.6</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Globally Connecting Business</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6.0</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6.0</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International Education Sector Strategy</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6.6</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7.7</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8.7</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8.9</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International Victorian Government Business Office Network</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14.0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16.0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18.0</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18.0</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Investment Attraction and Assistance Program</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55.0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55.0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3.0</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3.0</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Investor Migration and Global talent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2.5</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2.5</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2.5</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2.5</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Jobs and innovation in resource recovery</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3.8</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4.5</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7.0</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5.8</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Jobs Victoria</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13.3</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13.3</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13.3</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13.3</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Latrobe Valley Transition Program</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4.5</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10.2</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12.6</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12.6</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Managing rising groundwater risks in Bendigo</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5.7</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3.8</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2.3</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2.3</w:t>
            </w:r>
          </w:p>
        </w:tc>
      </w:tr>
      <w:tr w:rsidR="00E25CC6" w:rsidRPr="001101B0" w:rsidTr="001101B0">
        <w:trPr>
          <w:cantSplit/>
        </w:trPr>
        <w:tc>
          <w:tcPr>
            <w:tcW w:w="3499" w:type="dxa"/>
            <w:tcBorders>
              <w:top w:val="nil"/>
              <w:left w:val="nil"/>
              <w:bottom w:val="nil"/>
              <w:right w:val="nil"/>
            </w:tcBorders>
            <w:shd w:val="solid" w:color="FFFFFF" w:fill="auto"/>
          </w:tcPr>
          <w:p w:rsidR="00E25CC6" w:rsidRPr="001101B0" w:rsidRDefault="00E25CC6" w:rsidP="001101B0">
            <w:pPr>
              <w:pStyle w:val="Tabletext"/>
              <w:rPr>
                <w:rFonts w:eastAsiaTheme="minorEastAsia"/>
                <w:lang w:eastAsia="en-AU"/>
              </w:rPr>
            </w:pPr>
            <w:r w:rsidRPr="001101B0">
              <w:rPr>
                <w:rFonts w:eastAsiaTheme="minorEastAsia"/>
                <w:lang w:eastAsia="en-AU"/>
              </w:rPr>
              <w:t>Planning support for councils</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4.2</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Positioning Victoria as the Leader in Asia capability</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Premier</w:t>
            </w:r>
            <w:r>
              <w:rPr>
                <w:rFonts w:eastAsiaTheme="minorEastAsia"/>
                <w:lang w:eastAsia="en-AU"/>
              </w:rPr>
              <w:t>’</w:t>
            </w:r>
            <w:r w:rsidRPr="001101B0">
              <w:rPr>
                <w:rFonts w:eastAsiaTheme="minorEastAsia"/>
                <w:lang w:eastAsia="en-AU"/>
              </w:rPr>
              <w:t>s Jobs and Investment Fund Extension</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25.0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25.0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vertAlign w:val="superscript"/>
                <w:lang w:eastAsia="en-AU"/>
              </w:rPr>
            </w:pPr>
            <w:r w:rsidRPr="001101B0">
              <w:rPr>
                <w:rFonts w:eastAsiaTheme="minorEastAsia"/>
                <w:lang w:eastAsia="en-AU"/>
              </w:rPr>
              <w:t xml:space="preserve">Regional Tourism Infrastructure Fund </w:t>
            </w:r>
            <w:r w:rsidRPr="001101B0">
              <w:rPr>
                <w:rFonts w:eastAsiaTheme="minorEastAsia"/>
                <w:vertAlign w:val="superscript"/>
                <w:lang w:eastAsia="en-AU"/>
              </w:rPr>
              <w:t>(a)</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43.0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vertAlign w:val="superscript"/>
                <w:lang w:eastAsia="en-AU"/>
              </w:rPr>
            </w:pPr>
            <w:r w:rsidRPr="001101B0">
              <w:rPr>
                <w:rFonts w:eastAsiaTheme="minorEastAsia"/>
                <w:lang w:eastAsia="en-AU"/>
              </w:rPr>
              <w:t>Regional Tourism Infrastructure Fund: Enhancing Victoria</w:t>
            </w:r>
            <w:r>
              <w:rPr>
                <w:rFonts w:eastAsiaTheme="minorEastAsia"/>
                <w:lang w:eastAsia="en-AU"/>
              </w:rPr>
              <w:t>’</w:t>
            </w:r>
            <w:r w:rsidRPr="001101B0">
              <w:rPr>
                <w:rFonts w:eastAsiaTheme="minorEastAsia"/>
                <w:lang w:eastAsia="en-AU"/>
              </w:rPr>
              <w:t xml:space="preserve">s world class nature based tourism destinations </w:t>
            </w:r>
            <w:r w:rsidRPr="001101B0">
              <w:rPr>
                <w:rFonts w:eastAsiaTheme="minorEastAsia"/>
                <w:vertAlign w:val="superscript"/>
                <w:lang w:eastAsia="en-AU"/>
              </w:rPr>
              <w:t>(a)</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Regional Water Infrastructure</w:t>
            </w:r>
            <w:r>
              <w:rPr>
                <w:rFonts w:eastAsiaTheme="minorEastAsia"/>
                <w:lang w:eastAsia="en-AU"/>
              </w:rPr>
              <w:t xml:space="preserve"> – </w:t>
            </w:r>
            <w:r w:rsidRPr="001101B0">
              <w:rPr>
                <w:rFonts w:eastAsiaTheme="minorEastAsia"/>
                <w:lang w:eastAsia="en-AU"/>
              </w:rPr>
              <w:t>Water Infrastructure and Irrigation</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0.9</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0.9</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0.9</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1.8</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Revitalising Geelong</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5.5</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Saving Energy Growing Jobs</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8.6</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9.1</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6.6</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Screen Industry and Business Development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7.1</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7.1</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Small Business Festival Victoria and Small Business Commission Farm Debt Mediation</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2.1</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2.1</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Smart Planning Program</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12.1</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4.6</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1.0</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1.0</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Strengthening the Victorian Industry Participation Policy</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3.0</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3.0</w:t>
            </w:r>
          </w:p>
        </w:tc>
      </w:tr>
    </w:tbl>
    <w:p w:rsidR="00E25CC6" w:rsidRDefault="00E25CC6" w:rsidP="005461B0">
      <w:pPr>
        <w:pStyle w:val="Tableheading"/>
      </w:pPr>
      <w:r>
        <w:t>Table 1.10:</w:t>
      </w:r>
      <w:r>
        <w:tab/>
        <w:t>Output initiatives –</w:t>
      </w:r>
      <w:r w:rsidRPr="00FA2145">
        <w:rPr>
          <w:rFonts w:eastAsiaTheme="minorHAnsi"/>
        </w:rPr>
        <w:t xml:space="preserve"> </w:t>
      </w:r>
      <w:r>
        <w:rPr>
          <w:rFonts w:eastAsiaTheme="minorHAnsi"/>
        </w:rPr>
        <w:t>J</w:t>
      </w:r>
      <w:r w:rsidRPr="00FA2145">
        <w:rPr>
          <w:rFonts w:eastAsiaTheme="minorHAnsi"/>
        </w:rPr>
        <w:t>obs</w:t>
      </w:r>
      <w:r>
        <w:rPr>
          <w:rFonts w:eastAsiaTheme="minorHAnsi"/>
        </w:rPr>
        <w:t xml:space="preserve"> </w:t>
      </w:r>
      <w:r w:rsidRPr="005461B0">
        <w:rPr>
          <w:rFonts w:eastAsiaTheme="minorHAnsi"/>
          <w:i/>
        </w:rPr>
        <w:t>(continued)</w:t>
      </w:r>
    </w:p>
    <w:p w:rsidR="00E25CC6" w:rsidRPr="005461B0" w:rsidRDefault="00E25CC6" w:rsidP="005461B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499"/>
        <w:gridCol w:w="855"/>
        <w:gridCol w:w="855"/>
        <w:gridCol w:w="856"/>
        <w:gridCol w:w="855"/>
        <w:gridCol w:w="856"/>
      </w:tblGrid>
      <w:tr w:rsidR="00E25CC6" w:rsidRPr="001101B0" w:rsidTr="00237767">
        <w:trPr>
          <w:cantSplit/>
          <w:tblHeader/>
        </w:trPr>
        <w:tc>
          <w:tcPr>
            <w:tcW w:w="3499"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237767">
            <w:pPr>
              <w:pStyle w:val="Tabletext"/>
              <w:rPr>
                <w:rFonts w:eastAsiaTheme="minorEastAsia"/>
                <w:lang w:eastAsia="en-AU"/>
              </w:rPr>
            </w:pPr>
          </w:p>
        </w:tc>
        <w:tc>
          <w:tcPr>
            <w:tcW w:w="855"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55"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56"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55"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56" w:type="dxa"/>
            <w:tcBorders>
              <w:top w:val="single" w:sz="4" w:space="0" w:color="auto"/>
              <w:left w:val="nil"/>
              <w:bottom w:val="single" w:sz="4" w:space="0" w:color="auto"/>
              <w:right w:val="single" w:sz="4" w:space="0" w:color="auto"/>
            </w:tcBorders>
            <w:shd w:val="clear" w:color="auto" w:fill="000000"/>
          </w:tcPr>
          <w:p w:rsidR="00E25CC6" w:rsidRPr="001101B0" w:rsidRDefault="00E25CC6" w:rsidP="00237767">
            <w:pPr>
              <w:pStyle w:val="Tabletextheading"/>
              <w:rPr>
                <w:rFonts w:eastAsiaTheme="minorEastAsia" w:cs="Calibri"/>
                <w:iCs/>
                <w:lang w:eastAsia="en-AU"/>
              </w:rPr>
            </w:pPr>
            <w:r w:rsidRPr="001101B0">
              <w:rPr>
                <w:rFonts w:eastAsiaTheme="minorEastAsia" w:cs="Calibri"/>
                <w:iCs/>
                <w:lang w:eastAsia="en-AU"/>
              </w:rPr>
              <w:t>2019</w:t>
            </w:r>
            <w:r>
              <w:rPr>
                <w:rFonts w:eastAsiaTheme="minorEastAsia" w:cs="Calibri"/>
                <w:iCs/>
                <w:lang w:eastAsia="en-AU"/>
              </w:rPr>
              <w:noBreakHyphen/>
            </w:r>
            <w:r w:rsidRPr="001101B0">
              <w:rPr>
                <w:rFonts w:eastAsiaTheme="minorEastAsia" w:cs="Calibri"/>
                <w:iCs/>
                <w:lang w:eastAsia="en-AU"/>
              </w:rPr>
              <w:t>20</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Supporting growth through effective planning</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0.9</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0.9</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0.6</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0.6</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Victoria Design Leader</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3.8</w:t>
            </w:r>
          </w:p>
        </w:tc>
        <w:tc>
          <w:tcPr>
            <w:tcW w:w="856"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5.3</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4.2</w:t>
            </w:r>
          </w:p>
        </w:tc>
        <w:tc>
          <w:tcPr>
            <w:tcW w:w="856"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3.2</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Victorian Mobile Project – Phase 2</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3.3</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3.3</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4.3</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0.1</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Victoria</w:t>
            </w:r>
            <w:r>
              <w:rPr>
                <w:rFonts w:eastAsiaTheme="minorEastAsia"/>
                <w:lang w:eastAsia="en-AU"/>
              </w:rPr>
              <w:t>’</w:t>
            </w:r>
            <w:r w:rsidRPr="001101B0">
              <w:rPr>
                <w:rFonts w:eastAsiaTheme="minorEastAsia"/>
                <w:lang w:eastAsia="en-AU"/>
              </w:rPr>
              <w:t>s Creative State Strategy</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12.7</w:t>
            </w:r>
          </w:p>
        </w:tc>
        <w:tc>
          <w:tcPr>
            <w:tcW w:w="856"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11.6</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5.8</w:t>
            </w:r>
          </w:p>
        </w:tc>
        <w:tc>
          <w:tcPr>
            <w:tcW w:w="856"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3.7</w:t>
            </w:r>
          </w:p>
        </w:tc>
      </w:tr>
      <w:tr w:rsidR="00E25CC6" w:rsidRPr="001101B0" w:rsidTr="001101B0">
        <w:trPr>
          <w:cantSplit/>
        </w:trPr>
        <w:tc>
          <w:tcPr>
            <w:tcW w:w="3499" w:type="dxa"/>
            <w:tcBorders>
              <w:top w:val="nil"/>
              <w:left w:val="nil"/>
              <w:bottom w:val="nil"/>
              <w:right w:val="nil"/>
            </w:tcBorders>
            <w:shd w:val="solid" w:color="FFFFFF" w:fill="auto"/>
          </w:tcPr>
          <w:p w:rsidR="00E25CC6" w:rsidRPr="001101B0" w:rsidRDefault="00E25CC6" w:rsidP="00477F53">
            <w:pPr>
              <w:pStyle w:val="Tabletext"/>
              <w:rPr>
                <w:rFonts w:eastAsiaTheme="minorEastAsia"/>
                <w:lang w:eastAsia="en-AU"/>
              </w:rPr>
            </w:pPr>
            <w:r w:rsidRPr="001101B0">
              <w:rPr>
                <w:rFonts w:eastAsiaTheme="minorEastAsia"/>
                <w:lang w:eastAsia="en-AU"/>
              </w:rPr>
              <w:t>Victoria</w:t>
            </w:r>
            <w:r>
              <w:rPr>
                <w:rFonts w:eastAsiaTheme="minorEastAsia"/>
                <w:lang w:eastAsia="en-AU"/>
              </w:rPr>
              <w:t>’</w:t>
            </w:r>
            <w:r w:rsidRPr="001101B0">
              <w:rPr>
                <w:rFonts w:eastAsiaTheme="minorEastAsia"/>
                <w:lang w:eastAsia="en-AU"/>
              </w:rPr>
              <w:t xml:space="preserve">s Health and Medical Research Strategy </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4.9</w:t>
            </w:r>
          </w:p>
        </w:tc>
        <w:tc>
          <w:tcPr>
            <w:tcW w:w="856"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4.9</w:t>
            </w:r>
          </w:p>
        </w:tc>
        <w:tc>
          <w:tcPr>
            <w:tcW w:w="855"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5.0</w:t>
            </w:r>
          </w:p>
        </w:tc>
        <w:tc>
          <w:tcPr>
            <w:tcW w:w="856"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5.0</w:t>
            </w:r>
          </w:p>
        </w:tc>
      </w:tr>
      <w:tr w:rsidR="00E25CC6" w:rsidRPr="001101B0" w:rsidTr="001101B0">
        <w:trPr>
          <w:cantSplit/>
        </w:trPr>
        <w:tc>
          <w:tcPr>
            <w:tcW w:w="3499" w:type="dxa"/>
            <w:tcBorders>
              <w:top w:val="nil"/>
              <w:left w:val="nil"/>
              <w:bottom w:val="nil"/>
              <w:right w:val="nil"/>
            </w:tcBorders>
          </w:tcPr>
          <w:p w:rsidR="00E25CC6" w:rsidRPr="001101B0" w:rsidRDefault="00E25CC6" w:rsidP="001101B0">
            <w:pPr>
              <w:pStyle w:val="Tabletext"/>
              <w:rPr>
                <w:rFonts w:eastAsiaTheme="minorEastAsia"/>
                <w:lang w:eastAsia="en-AU"/>
              </w:rPr>
            </w:pPr>
            <w:r w:rsidRPr="001101B0">
              <w:rPr>
                <w:rFonts w:eastAsiaTheme="minorEastAsia"/>
                <w:lang w:eastAsia="en-AU"/>
              </w:rPr>
              <w:t>Visit Victoria Marketing</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19.0</w:t>
            </w:r>
          </w:p>
        </w:tc>
        <w:tc>
          <w:tcPr>
            <w:tcW w:w="856"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19.0</w:t>
            </w:r>
          </w:p>
        </w:tc>
        <w:tc>
          <w:tcPr>
            <w:tcW w:w="855" w:type="dxa"/>
            <w:tcBorders>
              <w:top w:val="nil"/>
              <w:left w:val="nil"/>
              <w:bottom w:val="nil"/>
              <w:right w:val="nil"/>
            </w:tcBorders>
          </w:tcPr>
          <w:p w:rsidR="00E25CC6" w:rsidRPr="001101B0" w:rsidRDefault="00E25CC6" w:rsidP="001101B0">
            <w:pPr>
              <w:pStyle w:val="TableofFigures"/>
              <w:rPr>
                <w:rFonts w:eastAsiaTheme="minorEastAsia"/>
                <w:lang w:eastAsia="en-AU"/>
              </w:rPr>
            </w:pPr>
            <w:r w:rsidRPr="001101B0">
              <w:rPr>
                <w:rFonts w:eastAsiaTheme="minorEastAsia"/>
                <w:lang w:eastAsia="en-AU"/>
              </w:rPr>
              <w:t>..</w:t>
            </w:r>
          </w:p>
        </w:tc>
        <w:tc>
          <w:tcPr>
            <w:tcW w:w="856"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1101B0">
        <w:trPr>
          <w:cantSplit/>
        </w:trPr>
        <w:tc>
          <w:tcPr>
            <w:tcW w:w="3499"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text"/>
              <w:rPr>
                <w:rFonts w:eastAsiaTheme="minorEastAsia"/>
                <w:b/>
                <w:bCs/>
                <w:vertAlign w:val="superscript"/>
                <w:lang w:eastAsia="en-AU"/>
              </w:rPr>
            </w:pPr>
            <w:r w:rsidRPr="001101B0">
              <w:rPr>
                <w:rFonts w:eastAsiaTheme="minorEastAsia"/>
                <w:b/>
                <w:bCs/>
                <w:lang w:eastAsia="en-AU"/>
              </w:rPr>
              <w:t xml:space="preserve">Total output initiatives </w:t>
            </w:r>
            <w:r w:rsidRPr="001101B0">
              <w:rPr>
                <w:rFonts w:eastAsiaTheme="minorEastAsia"/>
                <w:b/>
                <w:bCs/>
                <w:vertAlign w:val="superscript"/>
                <w:lang w:eastAsia="en-AU"/>
              </w:rPr>
              <w:t>(b)</w:t>
            </w:r>
          </w:p>
        </w:tc>
        <w:tc>
          <w:tcPr>
            <w:tcW w:w="855"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43.0</w:t>
            </w:r>
          </w:p>
        </w:tc>
        <w:tc>
          <w:tcPr>
            <w:tcW w:w="855"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274.5</w:t>
            </w:r>
          </w:p>
        </w:tc>
        <w:tc>
          <w:tcPr>
            <w:tcW w:w="856"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263.2</w:t>
            </w:r>
          </w:p>
        </w:tc>
        <w:tc>
          <w:tcPr>
            <w:tcW w:w="855"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lang w:eastAsia="en-AU"/>
              </w:rPr>
            </w:pPr>
            <w:r w:rsidRPr="001101B0">
              <w:rPr>
                <w:rFonts w:eastAsiaTheme="minorEastAsia"/>
                <w:b/>
                <w:bCs/>
                <w:lang w:eastAsia="en-AU"/>
              </w:rPr>
              <w:t xml:space="preserve"> 150.4</w:t>
            </w:r>
          </w:p>
        </w:tc>
        <w:tc>
          <w:tcPr>
            <w:tcW w:w="856" w:type="dxa"/>
            <w:tcBorders>
              <w:top w:val="single" w:sz="6" w:space="0" w:color="auto"/>
              <w:left w:val="nil"/>
              <w:bottom w:val="single" w:sz="12" w:space="0" w:color="auto"/>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b/>
                <w:bCs/>
                <w:color w:val="000000"/>
                <w:sz w:val="20"/>
                <w:lang w:eastAsia="en-AU"/>
              </w:rPr>
            </w:pPr>
            <w:r w:rsidRPr="001101B0">
              <w:rPr>
                <w:rFonts w:ascii="Calibri" w:eastAsiaTheme="minorEastAsia" w:hAnsi="Calibri" w:cs="Calibri"/>
                <w:b/>
                <w:bCs/>
                <w:color w:val="000000"/>
                <w:sz w:val="20"/>
                <w:lang w:eastAsia="en-AU"/>
              </w:rPr>
              <w:t xml:space="preserve"> 125.9</w:t>
            </w:r>
          </w:p>
        </w:tc>
      </w:tr>
    </w:tbl>
    <w:p w:rsidR="00E25CC6" w:rsidRDefault="00E25CC6" w:rsidP="00793A0A">
      <w:pPr>
        <w:pStyle w:val="Source"/>
      </w:pPr>
      <w:r>
        <w:t>Source: Department of Treasury and Finance</w:t>
      </w:r>
    </w:p>
    <w:p w:rsidR="00E25CC6" w:rsidRDefault="00E25CC6" w:rsidP="005C3267">
      <w:pPr>
        <w:pStyle w:val="Notes"/>
      </w:pPr>
      <w:r>
        <w:t>Notes:</w:t>
      </w:r>
    </w:p>
    <w:p w:rsidR="00E25CC6" w:rsidRDefault="00E25CC6" w:rsidP="005C3267">
      <w:pPr>
        <w:pStyle w:val="Notes"/>
        <w:rPr>
          <w:rFonts w:asciiTheme="minorHAnsi" w:hAnsiTheme="minorHAnsi" w:cs="Helv"/>
          <w:color w:val="000000"/>
          <w:szCs w:val="15"/>
          <w:lang w:eastAsia="en-AU"/>
        </w:rPr>
      </w:pPr>
      <w:r>
        <w:t>(a)</w:t>
      </w:r>
      <w:r>
        <w:tab/>
      </w:r>
      <w:r w:rsidRPr="00C61FEE">
        <w:rPr>
          <w:rFonts w:asciiTheme="minorHAnsi" w:hAnsiTheme="minorHAnsi" w:cs="Helv"/>
          <w:color w:val="000000"/>
          <w:szCs w:val="15"/>
          <w:lang w:eastAsia="en-AU"/>
        </w:rPr>
        <w:t>Forms part of the $</w:t>
      </w:r>
      <w:r>
        <w:rPr>
          <w:rFonts w:asciiTheme="minorHAnsi" w:hAnsiTheme="minorHAnsi" w:cs="Helv"/>
          <w:color w:val="000000"/>
          <w:szCs w:val="15"/>
          <w:lang w:eastAsia="en-AU"/>
        </w:rPr>
        <w:t>101 million Regional Tourism</w:t>
      </w:r>
      <w:r w:rsidRPr="00C61FEE">
        <w:rPr>
          <w:rFonts w:asciiTheme="minorHAnsi" w:hAnsiTheme="minorHAnsi" w:cs="Helv"/>
          <w:color w:val="000000"/>
          <w:szCs w:val="15"/>
          <w:lang w:eastAsia="en-AU"/>
        </w:rPr>
        <w:t xml:space="preserve"> Infrastructure Fund.</w:t>
      </w:r>
    </w:p>
    <w:p w:rsidR="00E25CC6" w:rsidRPr="005C3267" w:rsidRDefault="00E25CC6" w:rsidP="005C3267">
      <w:pPr>
        <w:pStyle w:val="Notes"/>
      </w:pPr>
      <w:r>
        <w:rPr>
          <w:rFonts w:asciiTheme="minorHAnsi" w:hAnsiTheme="minorHAnsi" w:cs="Helv"/>
          <w:color w:val="000000"/>
          <w:szCs w:val="15"/>
          <w:lang w:eastAsia="en-AU"/>
        </w:rPr>
        <w:t>(b)</w:t>
      </w:r>
      <w:r>
        <w:rPr>
          <w:rFonts w:asciiTheme="minorHAnsi" w:hAnsiTheme="minorHAnsi" w:cs="Helv"/>
          <w:color w:val="000000"/>
          <w:szCs w:val="15"/>
          <w:lang w:eastAsia="en-AU"/>
        </w:rPr>
        <w:tab/>
        <w:t>Tables may not add due to rounding.</w:t>
      </w:r>
    </w:p>
    <w:p w:rsidR="00E25CC6" w:rsidRPr="00CD63A7" w:rsidRDefault="00E25CC6" w:rsidP="00566998">
      <w:pPr>
        <w:pStyle w:val="Notes"/>
      </w:pPr>
    </w:p>
    <w:p w:rsidR="00E25CC6" w:rsidRPr="00AC7732" w:rsidRDefault="00E25CC6" w:rsidP="004D0CAC">
      <w:pPr>
        <w:pStyle w:val="Heading5"/>
      </w:pPr>
      <w:r w:rsidRPr="00AC7732">
        <w:t>Back to Work – Automotive workers</w:t>
      </w:r>
    </w:p>
    <w:p w:rsidR="00E25CC6" w:rsidRDefault="00E25CC6" w:rsidP="004D0CAC">
      <w:r>
        <w:t>The Back to Work Scheme assists businesses that employ disadvantaged job seekers. Additional funding will support</w:t>
      </w:r>
      <w:r w:rsidRPr="003724B0">
        <w:t xml:space="preserve"> </w:t>
      </w:r>
      <w:r>
        <w:t xml:space="preserve">businesses that hire automotive industry workers affected by the upcoming closure of major car manufacturers. </w:t>
      </w:r>
    </w:p>
    <w:p w:rsidR="00E25CC6" w:rsidRPr="00C8741B" w:rsidRDefault="00E25CC6" w:rsidP="004D0CAC">
      <w:r w:rsidRPr="00D3786B">
        <w:t>This initiative contributes to the Department of Treasury and Finance</w:t>
      </w:r>
      <w:r>
        <w:t>’</w:t>
      </w:r>
      <w:r w:rsidRPr="00D3786B">
        <w:t>s Revenue Management Services to Government</w:t>
      </w:r>
      <w:r>
        <w:t xml:space="preserve"> output</w:t>
      </w:r>
      <w:r w:rsidRPr="00D3786B">
        <w:t xml:space="preserve">. </w:t>
      </w:r>
    </w:p>
    <w:p w:rsidR="00E25CC6" w:rsidRPr="00930465" w:rsidRDefault="00E25CC6" w:rsidP="00AB237D">
      <w:pPr>
        <w:pStyle w:val="Heading5"/>
      </w:pPr>
      <w:r w:rsidRPr="00EC3785">
        <w:t xml:space="preserve">Ballarat Innovation </w:t>
      </w:r>
      <w:r>
        <w:t>Lab and Digital Space</w:t>
      </w:r>
    </w:p>
    <w:p w:rsidR="00E25CC6" w:rsidRPr="00B9471A" w:rsidRDefault="00E25CC6" w:rsidP="00076EEB">
      <w:pPr>
        <w:spacing w:before="60" w:after="60"/>
        <w:rPr>
          <w:bCs/>
          <w:szCs w:val="24"/>
        </w:rPr>
      </w:pPr>
      <w:r w:rsidRPr="00B9471A">
        <w:t xml:space="preserve">The Government </w:t>
      </w:r>
      <w:r>
        <w:rPr>
          <w:bCs/>
        </w:rPr>
        <w:t xml:space="preserve">will </w:t>
      </w:r>
      <w:r w:rsidRPr="00B9471A">
        <w:rPr>
          <w:bCs/>
        </w:rPr>
        <w:t xml:space="preserve">stimulate </w:t>
      </w:r>
      <w:r>
        <w:rPr>
          <w:bCs/>
        </w:rPr>
        <w:t>i</w:t>
      </w:r>
      <w:r w:rsidRPr="00C3622B">
        <w:rPr>
          <w:bCs/>
        </w:rPr>
        <w:t xml:space="preserve">nformation and communications technology </w:t>
      </w:r>
      <w:r>
        <w:rPr>
          <w:bCs/>
        </w:rPr>
        <w:t>(</w:t>
      </w:r>
      <w:r>
        <w:rPr>
          <w:bCs/>
          <w:szCs w:val="24"/>
        </w:rPr>
        <w:t xml:space="preserve">ICT) sector growth and </w:t>
      </w:r>
      <w:r w:rsidRPr="00B9471A">
        <w:rPr>
          <w:bCs/>
          <w:szCs w:val="24"/>
        </w:rPr>
        <w:t>technology innovation in the Ballarat region</w:t>
      </w:r>
      <w:r>
        <w:t xml:space="preserve"> through funding</w:t>
      </w:r>
      <w:r w:rsidRPr="00B9471A">
        <w:t xml:space="preserve"> the </w:t>
      </w:r>
      <w:r w:rsidRPr="00B9471A">
        <w:rPr>
          <w:bCs/>
        </w:rPr>
        <w:t xml:space="preserve">Ballarat Innovation </w:t>
      </w:r>
      <w:r>
        <w:rPr>
          <w:bCs/>
        </w:rPr>
        <w:t xml:space="preserve">Lab </w:t>
      </w:r>
      <w:r w:rsidRPr="00B9471A">
        <w:rPr>
          <w:bCs/>
        </w:rPr>
        <w:t xml:space="preserve">and Digital </w:t>
      </w:r>
      <w:r>
        <w:rPr>
          <w:bCs/>
        </w:rPr>
        <w:t>Space.</w:t>
      </w:r>
    </w:p>
    <w:p w:rsidR="00E25CC6" w:rsidRDefault="00E25CC6" w:rsidP="00AB237D">
      <w:r w:rsidRPr="00B9471A">
        <w:t>This initiative contributes to the Department of Economic Development, Jobs, Transport and Resources</w:t>
      </w:r>
      <w:r>
        <w:t>’</w:t>
      </w:r>
      <w:r w:rsidRPr="00B9471A">
        <w:t xml:space="preserve"> Regional Development output.</w:t>
      </w:r>
    </w:p>
    <w:p w:rsidR="00E25CC6" w:rsidRPr="00EC3785" w:rsidRDefault="00E25CC6" w:rsidP="00AB237D">
      <w:pPr>
        <w:pStyle w:val="Heading5"/>
      </w:pPr>
      <w:r w:rsidRPr="00EC3785">
        <w:t>Bendigo Arts Precinct</w:t>
      </w:r>
    </w:p>
    <w:p w:rsidR="00E25CC6" w:rsidRPr="00EC3785" w:rsidRDefault="00E25CC6" w:rsidP="00076EEB">
      <w:r w:rsidRPr="00EC3785">
        <w:t xml:space="preserve">Bendigo and surrounds </w:t>
      </w:r>
      <w:r>
        <w:t>will be</w:t>
      </w:r>
      <w:r w:rsidRPr="00EC3785">
        <w:t xml:space="preserve"> Victoria</w:t>
      </w:r>
      <w:r>
        <w:t>’</w:t>
      </w:r>
      <w:r w:rsidRPr="00EC3785">
        <w:t>s newest arts precinct</w:t>
      </w:r>
      <w:r>
        <w:t>, creating new jobs in the region</w:t>
      </w:r>
      <w:r w:rsidRPr="00EC3785">
        <w:t>. Coordination with the Regional Centre Culture program will ensure that creative organisations and regional communities can participate in a year</w:t>
      </w:r>
      <w:r>
        <w:noBreakHyphen/>
      </w:r>
      <w:r w:rsidRPr="00EC3785">
        <w:t>long program of arts and culture in 2018</w:t>
      </w:r>
      <w:r>
        <w:t xml:space="preserve"> highlighting Victoria’s regions</w:t>
      </w:r>
      <w:r w:rsidRPr="00EC3785">
        <w:t>.</w:t>
      </w:r>
    </w:p>
    <w:p w:rsidR="00E25CC6" w:rsidRDefault="00E25CC6" w:rsidP="00AB237D">
      <w:r w:rsidRPr="00EC3785">
        <w:t>This initiative contributes to the Department of Economic Development, Jobs, Transport and Resources</w:t>
      </w:r>
      <w:r>
        <w:t>’</w:t>
      </w:r>
      <w:r w:rsidRPr="00EC3785">
        <w:t xml:space="preserve"> Access, Industry Development and Innovation output.</w:t>
      </w:r>
    </w:p>
    <w:p w:rsidR="00E25CC6" w:rsidRPr="00EC3785" w:rsidRDefault="00E25CC6" w:rsidP="00AB237D">
      <w:pPr>
        <w:pStyle w:val="Heading5"/>
      </w:pPr>
      <w:r w:rsidRPr="00EC3785">
        <w:t>Business Events Fund</w:t>
      </w:r>
    </w:p>
    <w:p w:rsidR="00E25CC6" w:rsidRPr="00EC3785" w:rsidRDefault="00E25CC6" w:rsidP="00076EEB">
      <w:r w:rsidRPr="0036123A">
        <w:t xml:space="preserve">The Government will </w:t>
      </w:r>
      <w:r>
        <w:t xml:space="preserve">attract new business events to Victoria, supporting jobs growth through increased business tourism. This </w:t>
      </w:r>
      <w:r w:rsidRPr="0036123A">
        <w:t>complements</w:t>
      </w:r>
      <w:r>
        <w:t xml:space="preserve"> investments in Victoria’s world class infrastructure by </w:t>
      </w:r>
      <w:r w:rsidRPr="0036123A">
        <w:t>coincidi</w:t>
      </w:r>
      <w:r>
        <w:t>ng</w:t>
      </w:r>
      <w:r w:rsidRPr="0036123A">
        <w:t xml:space="preserve"> with the expansion of the Melbourne Convention and Exhibition Centre.</w:t>
      </w:r>
      <w:r w:rsidRPr="00EC3785">
        <w:t xml:space="preserve"> </w:t>
      </w:r>
    </w:p>
    <w:p w:rsidR="00E25CC6" w:rsidRDefault="00E25CC6" w:rsidP="00AB237D">
      <w:r w:rsidRPr="00EC3785">
        <w:t>This initiative contributes to the Department of Economic Development, Jobs, Transport and Resources</w:t>
      </w:r>
      <w:r>
        <w:t>’</w:t>
      </w:r>
      <w:r w:rsidRPr="00EC3785">
        <w:t xml:space="preserve"> Tourism, Major Events and International Education output.</w:t>
      </w:r>
    </w:p>
    <w:p w:rsidR="00E25CC6" w:rsidRDefault="00E25CC6" w:rsidP="00A60660">
      <w:pPr>
        <w:pStyle w:val="Heading5"/>
      </w:pPr>
      <w:r w:rsidRPr="00874F59">
        <w:t>Climate Change Innovation and Jobs</w:t>
      </w:r>
    </w:p>
    <w:p w:rsidR="00E25CC6" w:rsidRDefault="00E25CC6" w:rsidP="00A60660">
      <w:r w:rsidRPr="009469A2">
        <w:t xml:space="preserve">Victoria will </w:t>
      </w:r>
      <w:r>
        <w:t xml:space="preserve">establish a Virtual Centre for Climate Change Innovation based on the successful European Climate Knowledge Information Community model. </w:t>
      </w:r>
    </w:p>
    <w:p w:rsidR="00E25CC6" w:rsidRDefault="00E25CC6" w:rsidP="00C521CD">
      <w:r>
        <w:t xml:space="preserve">To further grow jobs in new energy technology, Victoria will also construct a facility that </w:t>
      </w:r>
      <w:r w:rsidRPr="009469A2">
        <w:t>process</w:t>
      </w:r>
      <w:r>
        <w:t>es</w:t>
      </w:r>
      <w:r w:rsidRPr="009469A2">
        <w:t xml:space="preserve"> </w:t>
      </w:r>
      <w:r>
        <w:t xml:space="preserve">the </w:t>
      </w:r>
      <w:r w:rsidRPr="009469A2">
        <w:t xml:space="preserve">excess food waste </w:t>
      </w:r>
      <w:r>
        <w:t xml:space="preserve">generated </w:t>
      </w:r>
      <w:r w:rsidRPr="009469A2">
        <w:t xml:space="preserve">from </w:t>
      </w:r>
      <w:r>
        <w:t xml:space="preserve">the commercial and industrial sector into energy. </w:t>
      </w:r>
    </w:p>
    <w:p w:rsidR="00E25CC6" w:rsidRDefault="00E25CC6" w:rsidP="00C521CD">
      <w:pPr>
        <w:rPr>
          <w:lang w:eastAsia="en-AU"/>
        </w:rPr>
      </w:pPr>
      <w:r>
        <w:rPr>
          <w:lang w:eastAsia="en-AU"/>
        </w:rPr>
        <w:t>This initiative will be funded from the Sustainability Fund.</w:t>
      </w:r>
    </w:p>
    <w:p w:rsidR="00E25CC6" w:rsidRDefault="00E25CC6" w:rsidP="00A60660">
      <w:r>
        <w:t>This initiative contributes to the Department of Environment, Land, Water and Planning’s Environment, Biodiversity and Climate Change output.</w:t>
      </w:r>
    </w:p>
    <w:p w:rsidR="00E25CC6" w:rsidRPr="00930465" w:rsidRDefault="00E25CC6" w:rsidP="00AB237D">
      <w:pPr>
        <w:pStyle w:val="Heading5"/>
      </w:pPr>
      <w:r w:rsidRPr="00930465">
        <w:t xml:space="preserve">Community Revitalisation </w:t>
      </w:r>
    </w:p>
    <w:p w:rsidR="00E25CC6" w:rsidRPr="00EC3785" w:rsidRDefault="00E25CC6" w:rsidP="00AB237D">
      <w:r w:rsidRPr="00EC3785">
        <w:t>The Government will establish a Community Revitalisation function. This will increase local workf</w:t>
      </w:r>
      <w:r>
        <w:t xml:space="preserve">orce and economic opportunities for Victorians in areas of entrenched disadvantage. It will respond to interrelated economic, social and other challenges facing particular areas of Victoria, providing local solutions. </w:t>
      </w:r>
    </w:p>
    <w:p w:rsidR="00E25CC6" w:rsidRDefault="00E25CC6" w:rsidP="00AB237D">
      <w:r w:rsidRPr="00EC3785">
        <w:t>This initiative contributes to the Department of Economic Development, Jobs, Transport and Resources</w:t>
      </w:r>
      <w:r>
        <w:t>’</w:t>
      </w:r>
      <w:r w:rsidRPr="00EC3785">
        <w:t xml:space="preserve"> Employment and Investment output.</w:t>
      </w:r>
    </w:p>
    <w:p w:rsidR="00E25CC6" w:rsidRPr="004918BC" w:rsidRDefault="00E25CC6" w:rsidP="00AB237D">
      <w:pPr>
        <w:pStyle w:val="Heading5"/>
      </w:pPr>
      <w:r w:rsidRPr="004918BC">
        <w:t>Driving Growth in Renewable Energy</w:t>
      </w:r>
    </w:p>
    <w:p w:rsidR="00E25CC6" w:rsidRDefault="00E25CC6" w:rsidP="00076EEB">
      <w:pPr>
        <w:rPr>
          <w:lang w:eastAsia="en-AU"/>
        </w:rPr>
      </w:pPr>
      <w:r>
        <w:rPr>
          <w:lang w:eastAsia="en-AU"/>
        </w:rPr>
        <w:t>The Government will assist with the transition from brown coal to renewable technology and reduce barriers to entry for renewable energy and energy storage technologies, supporting jobs in these emerging industries. Funding will enable the implementation of the Renewable Energy Action Plan to address critical market and regulatory barriers to investment in large and small</w:t>
      </w:r>
      <w:r>
        <w:rPr>
          <w:lang w:eastAsia="en-AU"/>
        </w:rPr>
        <w:noBreakHyphen/>
        <w:t>scale renewable energy. The plan will create investment growth, new jobs and environmental benefits for Victoria.</w:t>
      </w:r>
    </w:p>
    <w:p w:rsidR="00E25CC6" w:rsidRDefault="00E25CC6" w:rsidP="001F5803">
      <w:pPr>
        <w:rPr>
          <w:lang w:eastAsia="en-AU"/>
        </w:rPr>
      </w:pPr>
      <w:r>
        <w:rPr>
          <w:lang w:eastAsia="en-AU"/>
        </w:rPr>
        <w:t>This initiative will include:</w:t>
      </w:r>
    </w:p>
    <w:p w:rsidR="00E25CC6" w:rsidRDefault="00E25CC6" w:rsidP="001F5803">
      <w:pPr>
        <w:pStyle w:val="BulletText"/>
        <w:rPr>
          <w:lang w:eastAsia="en-AU"/>
        </w:rPr>
      </w:pPr>
      <w:r>
        <w:rPr>
          <w:lang w:eastAsia="en-AU"/>
        </w:rPr>
        <w:t>large scale renewable transition: to strengthen incentives for businesses to transition to renewable energy;</w:t>
      </w:r>
    </w:p>
    <w:p w:rsidR="00E25CC6" w:rsidRDefault="00E25CC6" w:rsidP="001F5803">
      <w:pPr>
        <w:pStyle w:val="BulletText"/>
        <w:rPr>
          <w:lang w:eastAsia="en-AU"/>
        </w:rPr>
      </w:pPr>
      <w:r>
        <w:rPr>
          <w:lang w:eastAsia="en-AU"/>
        </w:rPr>
        <w:t>integrating local generation: remove barriers to entry for commercial solar, assist community renewable energy projects and expand Victoria Energy Compare to include solar and storage offers; and</w:t>
      </w:r>
    </w:p>
    <w:p w:rsidR="00E25CC6" w:rsidRDefault="00E25CC6" w:rsidP="001F5803">
      <w:pPr>
        <w:pStyle w:val="BulletText"/>
        <w:rPr>
          <w:lang w:eastAsia="en-AU"/>
        </w:rPr>
      </w:pPr>
      <w:r>
        <w:rPr>
          <w:lang w:eastAsia="en-AU"/>
        </w:rPr>
        <w:t>energy storage: the establishment of a policy and regulatory framework for storage technology, including standards, accreditation and customer information.</w:t>
      </w:r>
    </w:p>
    <w:p w:rsidR="00E25CC6" w:rsidRDefault="00E25CC6" w:rsidP="001F5803">
      <w:pPr>
        <w:rPr>
          <w:lang w:eastAsia="en-AU"/>
        </w:rPr>
      </w:pPr>
      <w:r>
        <w:rPr>
          <w:lang w:eastAsia="en-AU"/>
        </w:rPr>
        <w:t>This initiative will be funded from the Sustainability Fund.</w:t>
      </w:r>
    </w:p>
    <w:p w:rsidR="00E25CC6" w:rsidRDefault="00E25CC6" w:rsidP="001F5803">
      <w:pPr>
        <w:rPr>
          <w:lang w:eastAsia="en-AU"/>
        </w:rPr>
      </w:pPr>
      <w:r>
        <w:rPr>
          <w:lang w:eastAsia="en-AU"/>
        </w:rPr>
        <w:t>This initiative contributes to the Department of Economic Development, Jobs, Transport and Resources’ Energy and Resources output.</w:t>
      </w:r>
    </w:p>
    <w:p w:rsidR="00E25CC6" w:rsidRDefault="00E25CC6">
      <w:pPr>
        <w:spacing w:after="0"/>
        <w:rPr>
          <w:rFonts w:ascii="Calibri" w:hAnsi="Calibri"/>
          <w:b/>
        </w:rPr>
      </w:pPr>
      <w:r>
        <w:br w:type="page"/>
      </w:r>
    </w:p>
    <w:p w:rsidR="00E25CC6" w:rsidRDefault="00E25CC6" w:rsidP="001F5803">
      <w:pPr>
        <w:pStyle w:val="Heading5"/>
      </w:pPr>
      <w:r w:rsidRPr="00782C4C">
        <w:t>Future Industries Fund extension</w:t>
      </w:r>
      <w:r>
        <w:t xml:space="preserve"> and sector</w:t>
      </w:r>
      <w:r>
        <w:noBreakHyphen/>
        <w:t>strategic projects</w:t>
      </w:r>
    </w:p>
    <w:p w:rsidR="00E25CC6" w:rsidRDefault="00E25CC6" w:rsidP="00076EEB">
      <w:r>
        <w:t>T</w:t>
      </w:r>
      <w:r w:rsidRPr="007A12DF">
        <w:t>he Future Industries Fund will</w:t>
      </w:r>
      <w:r>
        <w:t xml:space="preserve"> be bolstered to</w:t>
      </w:r>
      <w:r w:rsidRPr="007A12DF">
        <w:t xml:space="preserve"> </w:t>
      </w:r>
      <w:r>
        <w:t>fund</w:t>
      </w:r>
      <w:r w:rsidRPr="007A12DF">
        <w:t xml:space="preserve"> strategic projects</w:t>
      </w:r>
      <w:r>
        <w:t xml:space="preserve"> aligned with the Future Industries Sector Strategies, and enhance competitive advantage for Victoria’s six priority growth sectors:</w:t>
      </w:r>
    </w:p>
    <w:p w:rsidR="00E25CC6" w:rsidRDefault="00E25CC6" w:rsidP="00076EEB">
      <w:pPr>
        <w:pStyle w:val="BulletText"/>
      </w:pPr>
      <w:r>
        <w:t xml:space="preserve">medical technologies and pharmaceuticals; </w:t>
      </w:r>
    </w:p>
    <w:p w:rsidR="00E25CC6" w:rsidRDefault="00E25CC6" w:rsidP="00076EEB">
      <w:pPr>
        <w:pStyle w:val="BulletText"/>
      </w:pPr>
      <w:r>
        <w:t xml:space="preserve">food and fibre; </w:t>
      </w:r>
    </w:p>
    <w:p w:rsidR="00E25CC6" w:rsidRDefault="00E25CC6" w:rsidP="00076EEB">
      <w:pPr>
        <w:pStyle w:val="BulletText"/>
      </w:pPr>
      <w:r>
        <w:t xml:space="preserve">professional services; </w:t>
      </w:r>
    </w:p>
    <w:p w:rsidR="00E25CC6" w:rsidRDefault="00E25CC6" w:rsidP="00076EEB">
      <w:pPr>
        <w:pStyle w:val="BulletText"/>
      </w:pPr>
      <w:r>
        <w:t xml:space="preserve">transport, defence and construction technologies; </w:t>
      </w:r>
    </w:p>
    <w:p w:rsidR="00E25CC6" w:rsidRDefault="00E25CC6" w:rsidP="00076EEB">
      <w:pPr>
        <w:pStyle w:val="BulletText"/>
      </w:pPr>
      <w:r>
        <w:t xml:space="preserve">international education; and </w:t>
      </w:r>
    </w:p>
    <w:p w:rsidR="00E25CC6" w:rsidRDefault="00E25CC6" w:rsidP="00076EEB">
      <w:pPr>
        <w:pStyle w:val="BulletText"/>
      </w:pPr>
      <w:r>
        <w:t xml:space="preserve">new energy technologies. </w:t>
      </w:r>
    </w:p>
    <w:p w:rsidR="00E25CC6" w:rsidRPr="007A12DF" w:rsidRDefault="00E25CC6" w:rsidP="00076EEB">
      <w:pPr>
        <w:pStyle w:val="BulletText"/>
        <w:numPr>
          <w:ilvl w:val="0"/>
          <w:numId w:val="0"/>
        </w:numPr>
      </w:pPr>
      <w:r>
        <w:t xml:space="preserve">These strategic projects, together with the grants provided to Victorian businesses from the $20 million Sector Growth Program, the $20 million New Energy Jobs Fund, and the $5 million Manufacturing Program will support growth in new jobs and investment into the future. Additional funding will also be provided to Ethical Clothing Australia over three years as part of the extension. </w:t>
      </w:r>
    </w:p>
    <w:p w:rsidR="00E25CC6" w:rsidRPr="007A12DF" w:rsidRDefault="00E25CC6" w:rsidP="00780E83">
      <w:r w:rsidRPr="007A12DF">
        <w:t>This initiative contributes to the Department of Economic Development,</w:t>
      </w:r>
      <w:r>
        <w:t xml:space="preserve"> Jobs, Transport and Resources’ </w:t>
      </w:r>
      <w:r w:rsidRPr="007A12DF">
        <w:t>Industry and En</w:t>
      </w:r>
      <w:r>
        <w:t>terprise Innovation output.</w:t>
      </w:r>
    </w:p>
    <w:p w:rsidR="00E25CC6" w:rsidRDefault="00E25CC6" w:rsidP="00AB237D">
      <w:pPr>
        <w:pStyle w:val="Heading5"/>
      </w:pPr>
      <w:r w:rsidRPr="00782C4C">
        <w:t>Globally Connecting Business</w:t>
      </w:r>
    </w:p>
    <w:p w:rsidR="00E25CC6" w:rsidRDefault="00E25CC6" w:rsidP="00076EEB">
      <w:pPr>
        <w:rPr>
          <w:lang w:eastAsia="en-AU"/>
        </w:rPr>
      </w:pPr>
      <w:r>
        <w:rPr>
          <w:lang w:eastAsia="en-AU"/>
        </w:rPr>
        <w:t>As a strategic component of the new Trade and Investment Victoria agenda, businesses will be supported through an Outbound Trade Mission Program, Export Skills Program and the Governor of Victoria Export Awards. Trade missions will be targeted and sector</w:t>
      </w:r>
      <w:r>
        <w:rPr>
          <w:lang w:eastAsia="en-AU"/>
        </w:rPr>
        <w:noBreakHyphen/>
        <w:t xml:space="preserve">based, providing Victoria businesses with access to key export markets. </w:t>
      </w:r>
    </w:p>
    <w:p w:rsidR="00E25CC6" w:rsidRDefault="00E25CC6" w:rsidP="00076EEB">
      <w:pPr>
        <w:rPr>
          <w:lang w:eastAsia="en-AU"/>
        </w:rPr>
      </w:pPr>
      <w:r>
        <w:rPr>
          <w:lang w:eastAsia="en-AU"/>
        </w:rPr>
        <w:t xml:space="preserve">The initiative will support the growth of inbound trade missions and ensure an integrated approach to managing trade and export opportunities. </w:t>
      </w:r>
    </w:p>
    <w:p w:rsidR="00E25CC6" w:rsidRDefault="00E25CC6" w:rsidP="00076EEB">
      <w:pPr>
        <w:rPr>
          <w:lang w:eastAsia="en-AU"/>
        </w:rPr>
      </w:pPr>
      <w:r>
        <w:rPr>
          <w:lang w:eastAsia="en-AU"/>
        </w:rPr>
        <w:t>In order to capitalise and promote Victoria’s world</w:t>
      </w:r>
      <w:r>
        <w:rPr>
          <w:lang w:eastAsia="en-AU"/>
        </w:rPr>
        <w:noBreakHyphen/>
        <w:t xml:space="preserve">leading liveability, the new Liveability </w:t>
      </w:r>
      <w:r w:rsidRPr="00D555E6">
        <w:rPr>
          <w:lang w:eastAsia="en-AU"/>
        </w:rPr>
        <w:t>Victoria</w:t>
      </w:r>
      <w:r>
        <w:rPr>
          <w:lang w:eastAsia="en-AU"/>
        </w:rPr>
        <w:t xml:space="preserve"> International Information Hub will be established to provide information, services and contacts for local and international businesses, promoting Victoria’s liveability credentials and capabilities. </w:t>
      </w:r>
    </w:p>
    <w:p w:rsidR="00E25CC6" w:rsidRDefault="00E25CC6" w:rsidP="00374FA3">
      <w:pPr>
        <w:rPr>
          <w:lang w:eastAsia="en-AU"/>
        </w:rPr>
      </w:pPr>
      <w:r>
        <w:rPr>
          <w:lang w:eastAsia="en-AU"/>
        </w:rPr>
        <w:t>This initiative contributes to the Department of Economic Development, Jobs, Transport and Resources’ Employment and Investment output.</w:t>
      </w:r>
    </w:p>
    <w:p w:rsidR="00E25CC6" w:rsidRPr="00F1593D" w:rsidRDefault="00E25CC6" w:rsidP="005C405B">
      <w:r w:rsidRPr="005006A4">
        <w:t>The initiative also contributes to the</w:t>
      </w:r>
      <w:r w:rsidRPr="00F1593D">
        <w:t xml:space="preserve"> Department of Environment, Land, Water and Planning</w:t>
      </w:r>
      <w:r>
        <w:t>’</w:t>
      </w:r>
      <w:r w:rsidRPr="00F1593D">
        <w:t>s Environment, Biodiversity and Climate Change output.</w:t>
      </w:r>
    </w:p>
    <w:p w:rsidR="00E25CC6" w:rsidRDefault="00E25CC6">
      <w:pPr>
        <w:spacing w:after="0"/>
        <w:rPr>
          <w:rFonts w:ascii="Calibri" w:hAnsi="Calibri"/>
          <w:b/>
        </w:rPr>
      </w:pPr>
      <w:r>
        <w:br w:type="page"/>
      </w:r>
    </w:p>
    <w:p w:rsidR="00E25CC6" w:rsidRPr="00930465" w:rsidRDefault="00E25CC6" w:rsidP="00AB237D">
      <w:pPr>
        <w:pStyle w:val="Heading5"/>
      </w:pPr>
      <w:r w:rsidRPr="00EC3785">
        <w:t>International Education Sector Strategy</w:t>
      </w:r>
    </w:p>
    <w:p w:rsidR="00E25CC6" w:rsidRDefault="00E25CC6" w:rsidP="00076EEB">
      <w:pPr>
        <w:rPr>
          <w:lang w:eastAsia="en-AU"/>
        </w:rPr>
      </w:pPr>
      <w:r>
        <w:rPr>
          <w:lang w:eastAsia="en-AU"/>
        </w:rPr>
        <w:t>Victoria’s position as</w:t>
      </w:r>
      <w:r w:rsidRPr="008342E8">
        <w:rPr>
          <w:lang w:eastAsia="en-AU"/>
        </w:rPr>
        <w:t xml:space="preserve"> </w:t>
      </w:r>
      <w:r>
        <w:rPr>
          <w:lang w:eastAsia="en-AU"/>
        </w:rPr>
        <w:t xml:space="preserve">the number one destination for international students will be further strengthened through funding for Education Service managers, and the Study Melbourne student centre to strengthen international students’ experiences. This will encourage more students to study in Victoria and boost economic activity within the State. </w:t>
      </w:r>
    </w:p>
    <w:p w:rsidR="00E25CC6" w:rsidRDefault="00E25CC6" w:rsidP="00A50F9E">
      <w:pPr>
        <w:rPr>
          <w:lang w:eastAsia="en-AU"/>
        </w:rPr>
      </w:pPr>
      <w:r>
        <w:rPr>
          <w:lang w:eastAsia="en-AU"/>
        </w:rPr>
        <w:t>This initiative contributes to the Department of Economic Development, Jobs, Transport and Resources’ Tourism, Major Events and International Education output.</w:t>
      </w:r>
    </w:p>
    <w:p w:rsidR="00E25CC6" w:rsidRPr="00455067" w:rsidRDefault="00E25CC6" w:rsidP="00455067">
      <w:pPr>
        <w:pStyle w:val="Heading5"/>
      </w:pPr>
      <w:r w:rsidRPr="00455067">
        <w:t>International Victorian Government Business Office Network</w:t>
      </w:r>
    </w:p>
    <w:p w:rsidR="00E25CC6" w:rsidRDefault="00E25CC6" w:rsidP="00076EEB">
      <w:pPr>
        <w:rPr>
          <w:lang w:eastAsia="en-AU"/>
        </w:rPr>
      </w:pPr>
      <w:r>
        <w:rPr>
          <w:lang w:eastAsia="en-AU"/>
        </w:rPr>
        <w:t>The Government is supporting Victorian businesses seeking to export to key international markets, including the high growth and emerging markets of Asia, through the International Victorian Government Business Office Network. The Network includes 18 offices and a further three to be established in Singapore, Turkey and South America. The Network will also support overseas businesses seeking to access Victorian markets. A new Deputy Commissioner for Victoria will be appointed to focus on opportunities in Western China.</w:t>
      </w:r>
    </w:p>
    <w:p w:rsidR="00E25CC6" w:rsidRDefault="00E25CC6" w:rsidP="0063135B">
      <w:pPr>
        <w:rPr>
          <w:lang w:eastAsia="en-AU"/>
        </w:rPr>
      </w:pPr>
      <w:r>
        <w:rPr>
          <w:lang w:eastAsia="en-AU"/>
        </w:rPr>
        <w:t>This initiative contributes to the Department of Economic Development, Jobs, Transport and Resources’:</w:t>
      </w:r>
    </w:p>
    <w:p w:rsidR="00E25CC6" w:rsidRDefault="00E25CC6" w:rsidP="0063135B">
      <w:pPr>
        <w:pStyle w:val="BulletText"/>
        <w:rPr>
          <w:lang w:eastAsia="en-AU"/>
        </w:rPr>
      </w:pPr>
      <w:r>
        <w:rPr>
          <w:lang w:eastAsia="en-AU"/>
        </w:rPr>
        <w:t>Employment and Investment output; and</w:t>
      </w:r>
    </w:p>
    <w:p w:rsidR="00E25CC6" w:rsidRDefault="00E25CC6" w:rsidP="0063135B">
      <w:pPr>
        <w:pStyle w:val="BulletText"/>
        <w:rPr>
          <w:lang w:eastAsia="en-AU"/>
        </w:rPr>
      </w:pPr>
      <w:r>
        <w:rPr>
          <w:lang w:eastAsia="en-AU"/>
        </w:rPr>
        <w:t>Trade output.</w:t>
      </w:r>
    </w:p>
    <w:p w:rsidR="00E25CC6" w:rsidRPr="00930465" w:rsidRDefault="00E25CC6" w:rsidP="0063135B">
      <w:pPr>
        <w:pStyle w:val="Heading5"/>
      </w:pPr>
      <w:r w:rsidRPr="00930465">
        <w:t>Investment Attraction and Assistance Program</w:t>
      </w:r>
      <w:r>
        <w:t xml:space="preserve"> </w:t>
      </w:r>
    </w:p>
    <w:p w:rsidR="00E25CC6" w:rsidRDefault="00E25CC6" w:rsidP="00076EEB">
      <w:pPr>
        <w:rPr>
          <w:lang w:eastAsia="en-AU"/>
        </w:rPr>
      </w:pPr>
      <w:r>
        <w:rPr>
          <w:lang w:eastAsia="en-AU"/>
        </w:rPr>
        <w:t>The Government will establish a dedicated investment attraction and assistance fund to attract strategic and footloose investment, including a new business centre for potential foreign investors to build a presence and scale up operations in Victoria. This will support strategic investment in key Government priority areas, including the growth of future industries and facilitation of targeted investment opportunities to alleviate difficulties in locations with high levels of social disadvantage.</w:t>
      </w:r>
    </w:p>
    <w:p w:rsidR="00E25CC6" w:rsidRDefault="00E25CC6" w:rsidP="000E5EB3">
      <w:pPr>
        <w:rPr>
          <w:lang w:eastAsia="en-AU"/>
        </w:rPr>
      </w:pPr>
      <w:r>
        <w:t xml:space="preserve">This initiative will be supported by Marketing Victoria for Investment and Trade, a global </w:t>
      </w:r>
      <w:r w:rsidRPr="004918BC">
        <w:t xml:space="preserve">business marketing campaign </w:t>
      </w:r>
      <w:r>
        <w:t>that will</w:t>
      </w:r>
      <w:r w:rsidRPr="004918BC">
        <w:t xml:space="preserve"> promote Victoria</w:t>
      </w:r>
      <w:r>
        <w:t>’</w:t>
      </w:r>
      <w:r w:rsidRPr="004918BC">
        <w:t>s investment</w:t>
      </w:r>
      <w:r>
        <w:t xml:space="preserve"> credentials and opportunities, including the Government’s </w:t>
      </w:r>
      <w:r w:rsidRPr="004918BC">
        <w:t>inbound and outbound missions</w:t>
      </w:r>
      <w:r>
        <w:t xml:space="preserve"> and</w:t>
      </w:r>
      <w:r w:rsidRPr="004918BC">
        <w:t xml:space="preserve"> the international Victorian Gov</w:t>
      </w:r>
      <w:r>
        <w:t>ernment Business Office Network.</w:t>
      </w:r>
    </w:p>
    <w:p w:rsidR="00E25CC6" w:rsidRDefault="00E25CC6" w:rsidP="005C0D5D">
      <w:pPr>
        <w:rPr>
          <w:lang w:eastAsia="en-AU"/>
        </w:rPr>
      </w:pPr>
      <w:r>
        <w:rPr>
          <w:lang w:eastAsia="en-AU"/>
        </w:rPr>
        <w:t xml:space="preserve">This initiative contributes to the Department of Economic Development, Jobs, Transport and Resources’: </w:t>
      </w:r>
    </w:p>
    <w:p w:rsidR="00E25CC6" w:rsidRDefault="00E25CC6" w:rsidP="00FF0C6E">
      <w:pPr>
        <w:pStyle w:val="BulletText"/>
        <w:rPr>
          <w:lang w:eastAsia="en-AU"/>
        </w:rPr>
      </w:pPr>
      <w:r>
        <w:rPr>
          <w:lang w:eastAsia="en-AU"/>
        </w:rPr>
        <w:t>Employment and Investment output;</w:t>
      </w:r>
    </w:p>
    <w:p w:rsidR="00E25CC6" w:rsidRDefault="00E25CC6" w:rsidP="00FF0C6E">
      <w:pPr>
        <w:pStyle w:val="BulletText"/>
        <w:rPr>
          <w:lang w:eastAsia="en-AU"/>
        </w:rPr>
      </w:pPr>
      <w:r>
        <w:rPr>
          <w:lang w:eastAsia="en-AU"/>
        </w:rPr>
        <w:t>Regional Development output;</w:t>
      </w:r>
    </w:p>
    <w:p w:rsidR="00E25CC6" w:rsidRDefault="00E25CC6" w:rsidP="00FF0C6E">
      <w:pPr>
        <w:pStyle w:val="BulletText"/>
        <w:rPr>
          <w:lang w:eastAsia="en-AU"/>
        </w:rPr>
      </w:pPr>
      <w:r>
        <w:rPr>
          <w:lang w:eastAsia="en-AU"/>
        </w:rPr>
        <w:t>Trade output; and</w:t>
      </w:r>
    </w:p>
    <w:p w:rsidR="00E25CC6" w:rsidRDefault="00E25CC6" w:rsidP="00FF0C6E">
      <w:pPr>
        <w:pStyle w:val="BulletText"/>
        <w:rPr>
          <w:lang w:eastAsia="en-AU"/>
        </w:rPr>
      </w:pPr>
      <w:r>
        <w:rPr>
          <w:lang w:eastAsia="en-AU"/>
        </w:rPr>
        <w:t>Industry and Enterprise Innovation output.</w:t>
      </w:r>
    </w:p>
    <w:p w:rsidR="00E25CC6" w:rsidRDefault="00E25CC6">
      <w:pPr>
        <w:spacing w:after="0"/>
        <w:rPr>
          <w:rFonts w:ascii="Calibri" w:hAnsi="Calibri"/>
          <w:b/>
        </w:rPr>
      </w:pPr>
      <w:r>
        <w:br w:type="page"/>
      </w:r>
    </w:p>
    <w:p w:rsidR="00E25CC6" w:rsidRPr="00355A8D" w:rsidRDefault="00E25CC6" w:rsidP="00355A8D">
      <w:pPr>
        <w:pStyle w:val="Heading5"/>
      </w:pPr>
      <w:r w:rsidRPr="00355A8D">
        <w:t>Investor Migration and Global Talent</w:t>
      </w:r>
    </w:p>
    <w:p w:rsidR="00E25CC6" w:rsidRDefault="00E25CC6" w:rsidP="00355A8D">
      <w:r w:rsidRPr="00355A8D">
        <w:t>The Government will strengthen Victoria</w:t>
      </w:r>
      <w:r>
        <w:t>’</w:t>
      </w:r>
      <w:r w:rsidRPr="00355A8D">
        <w:t>s current position as the clear destination of choice for investors to stimulate domestic economic activity and grow local jobs. Funding for the Investor Migration and Global Talent program will facilitate investment from business migrants in Victoria, and attract knowledge and skilled workers to the State.</w:t>
      </w:r>
    </w:p>
    <w:p w:rsidR="00E25CC6" w:rsidRDefault="00E25CC6" w:rsidP="00AB237D">
      <w:r>
        <w:t>This initiative contributes to the Department of Economic Development, Jobs, Transport and Resources’ Employment and Investment output.</w:t>
      </w:r>
    </w:p>
    <w:p w:rsidR="00E25CC6" w:rsidRPr="00810992" w:rsidRDefault="00E25CC6" w:rsidP="00A70D9A">
      <w:pPr>
        <w:pStyle w:val="Heading5"/>
      </w:pPr>
      <w:r>
        <w:t>Jobs and i</w:t>
      </w:r>
      <w:r w:rsidRPr="00810992">
        <w:t xml:space="preserve">nnovation in </w:t>
      </w:r>
      <w:r>
        <w:t>r</w:t>
      </w:r>
      <w:r w:rsidRPr="00810992">
        <w:t xml:space="preserve">esource </w:t>
      </w:r>
      <w:r>
        <w:t>r</w:t>
      </w:r>
      <w:r w:rsidRPr="00810992">
        <w:t>ecovery</w:t>
      </w:r>
    </w:p>
    <w:p w:rsidR="00E25CC6" w:rsidRDefault="00E25CC6" w:rsidP="00076EEB">
      <w:pPr>
        <w:rPr>
          <w:szCs w:val="22"/>
        </w:rPr>
      </w:pPr>
      <w:r w:rsidRPr="00810992">
        <w:rPr>
          <w:szCs w:val="22"/>
        </w:rPr>
        <w:t>Innovation, job creation and improved liveability for Victorians will be delivered through investment in the waste and resource recovery sector.</w:t>
      </w:r>
      <w:r>
        <w:rPr>
          <w:szCs w:val="22"/>
        </w:rPr>
        <w:t xml:space="preserve"> </w:t>
      </w:r>
      <w:r w:rsidRPr="00810992">
        <w:rPr>
          <w:szCs w:val="22"/>
        </w:rPr>
        <w:t xml:space="preserve">The Government will establish an Infrastructure Fund to leverage private investment </w:t>
      </w:r>
      <w:r>
        <w:rPr>
          <w:szCs w:val="22"/>
        </w:rPr>
        <w:t>and help create</w:t>
      </w:r>
      <w:r w:rsidRPr="00810992">
        <w:rPr>
          <w:szCs w:val="22"/>
        </w:rPr>
        <w:t xml:space="preserve"> jobs. The Household Chemical Collection program will continue to be supported and the </w:t>
      </w:r>
      <w:r>
        <w:rPr>
          <w:szCs w:val="22"/>
        </w:rPr>
        <w:t xml:space="preserve">regional </w:t>
      </w:r>
      <w:r w:rsidRPr="00810992">
        <w:rPr>
          <w:szCs w:val="22"/>
        </w:rPr>
        <w:t xml:space="preserve">Waste and Resource Recovery Groups will </w:t>
      </w:r>
      <w:r>
        <w:rPr>
          <w:szCs w:val="22"/>
        </w:rPr>
        <w:t>receive additional funding</w:t>
      </w:r>
      <w:r w:rsidRPr="00810992">
        <w:rPr>
          <w:szCs w:val="22"/>
        </w:rPr>
        <w:t xml:space="preserve"> to allow them to deliver essential waste management services. Funding will implement the Government</w:t>
      </w:r>
      <w:r>
        <w:rPr>
          <w:szCs w:val="22"/>
        </w:rPr>
        <w:t>’</w:t>
      </w:r>
      <w:r w:rsidRPr="00810992">
        <w:rPr>
          <w:szCs w:val="22"/>
        </w:rPr>
        <w:t>s commitment to ban e</w:t>
      </w:r>
      <w:r>
        <w:rPr>
          <w:szCs w:val="22"/>
        </w:rPr>
        <w:noBreakHyphen/>
      </w:r>
      <w:r w:rsidRPr="00810992">
        <w:rPr>
          <w:szCs w:val="22"/>
        </w:rPr>
        <w:t xml:space="preserve">waste from landfill. </w:t>
      </w:r>
    </w:p>
    <w:p w:rsidR="00E25CC6" w:rsidRDefault="00E25CC6" w:rsidP="00A70D9A">
      <w:pPr>
        <w:rPr>
          <w:szCs w:val="22"/>
        </w:rPr>
      </w:pPr>
      <w:r>
        <w:rPr>
          <w:szCs w:val="22"/>
        </w:rPr>
        <w:t xml:space="preserve">This initiative will be funded from the Sustainability Fund. </w:t>
      </w:r>
    </w:p>
    <w:p w:rsidR="00E25CC6" w:rsidRDefault="00E25CC6" w:rsidP="00A70D9A">
      <w:pPr>
        <w:rPr>
          <w:szCs w:val="22"/>
        </w:rPr>
      </w:pPr>
      <w:r w:rsidRPr="00810992">
        <w:rPr>
          <w:szCs w:val="22"/>
        </w:rPr>
        <w:t>This initiative contributes to the Department of Environment, Land, Water and Planning</w:t>
      </w:r>
      <w:r>
        <w:rPr>
          <w:szCs w:val="22"/>
        </w:rPr>
        <w:t>’</w:t>
      </w:r>
      <w:r w:rsidRPr="00810992">
        <w:rPr>
          <w:szCs w:val="22"/>
        </w:rPr>
        <w:t>s Environment, Biodiversity and Climate Change output.</w:t>
      </w:r>
      <w:r>
        <w:rPr>
          <w:szCs w:val="22"/>
        </w:rPr>
        <w:t xml:space="preserve"> </w:t>
      </w:r>
    </w:p>
    <w:p w:rsidR="00E25CC6" w:rsidRPr="00930465" w:rsidRDefault="00E25CC6" w:rsidP="00AB237D">
      <w:pPr>
        <w:pStyle w:val="Heading5"/>
      </w:pPr>
      <w:r w:rsidRPr="00EC3785">
        <w:t>Jobs Victoria</w:t>
      </w:r>
    </w:p>
    <w:p w:rsidR="00E25CC6" w:rsidRDefault="00E25CC6" w:rsidP="00455067">
      <w:pPr>
        <w:rPr>
          <w:lang w:eastAsia="en-AU"/>
        </w:rPr>
      </w:pPr>
      <w:r>
        <w:rPr>
          <w:lang w:eastAsia="en-AU"/>
        </w:rPr>
        <w:t>Jobs Victoria will coordinate all Victorian employment programs. It will provide employment outcomes and work experience to Victoria’s most disadvantaged and marginalised job seekers, and expand on the current support the State provides to unemployed job seekers.</w:t>
      </w:r>
    </w:p>
    <w:p w:rsidR="00E25CC6" w:rsidRPr="00455067" w:rsidRDefault="00E25CC6" w:rsidP="00455067">
      <w:pPr>
        <w:rPr>
          <w:lang w:eastAsia="en-AU"/>
        </w:rPr>
      </w:pPr>
      <w:r w:rsidRPr="00455067">
        <w:rPr>
          <w:lang w:eastAsia="en-AU"/>
        </w:rPr>
        <w:t>This initiative contributes to the Department of Economic Development, Jobs, Transport and Resources</w:t>
      </w:r>
      <w:r>
        <w:rPr>
          <w:lang w:eastAsia="en-AU"/>
        </w:rPr>
        <w:t>’</w:t>
      </w:r>
      <w:r w:rsidRPr="00455067">
        <w:rPr>
          <w:lang w:eastAsia="en-AU"/>
        </w:rPr>
        <w:t xml:space="preserve"> Employment and Investment output.</w:t>
      </w:r>
    </w:p>
    <w:p w:rsidR="00E25CC6" w:rsidRPr="00930465" w:rsidRDefault="00E25CC6" w:rsidP="00455067">
      <w:pPr>
        <w:pStyle w:val="Heading5"/>
      </w:pPr>
      <w:r w:rsidRPr="00EC3785">
        <w:t>Latrobe Valley Transition Program</w:t>
      </w:r>
    </w:p>
    <w:p w:rsidR="00E25CC6" w:rsidRDefault="00E25CC6" w:rsidP="00B51338">
      <w:pPr>
        <w:rPr>
          <w:lang w:eastAsia="en-AU"/>
        </w:rPr>
      </w:pPr>
      <w:r>
        <w:rPr>
          <w:lang w:eastAsia="en-AU"/>
        </w:rPr>
        <w:t xml:space="preserve">The Government is working to diversify the local economy and grow future industries within the Latrobe Valley through funding a Morwell Hi Tech precinct, Skills for the Future training program, and investment attraction grants as part of the Latrobe Valley Transition Program. </w:t>
      </w:r>
    </w:p>
    <w:p w:rsidR="00E25CC6" w:rsidRDefault="00E25CC6" w:rsidP="00B51338">
      <w:pPr>
        <w:rPr>
          <w:lang w:eastAsia="en-AU"/>
        </w:rPr>
      </w:pPr>
      <w:r>
        <w:rPr>
          <w:lang w:eastAsia="en-AU"/>
        </w:rPr>
        <w:t>This initiative contributes to the Department of Economic Development, Jobs, Transport and Resources’:</w:t>
      </w:r>
    </w:p>
    <w:p w:rsidR="00E25CC6" w:rsidRDefault="00E25CC6" w:rsidP="004D28C8">
      <w:pPr>
        <w:pStyle w:val="BulletText"/>
      </w:pPr>
      <w:r>
        <w:t xml:space="preserve">Industry and Enterprise Innovation output; and </w:t>
      </w:r>
    </w:p>
    <w:p w:rsidR="00E25CC6" w:rsidRDefault="00E25CC6" w:rsidP="004D28C8">
      <w:pPr>
        <w:pStyle w:val="BulletText"/>
      </w:pPr>
      <w:r>
        <w:t xml:space="preserve">Regional Development output. </w:t>
      </w:r>
    </w:p>
    <w:p w:rsidR="00E25CC6" w:rsidRDefault="00E25CC6">
      <w:pPr>
        <w:spacing w:after="0"/>
        <w:rPr>
          <w:rFonts w:ascii="Calibri" w:hAnsi="Calibri"/>
          <w:b/>
        </w:rPr>
      </w:pPr>
      <w:r>
        <w:br w:type="page"/>
      </w:r>
    </w:p>
    <w:p w:rsidR="00E25CC6" w:rsidRDefault="00E25CC6" w:rsidP="00996832">
      <w:pPr>
        <w:pStyle w:val="Heading5"/>
      </w:pPr>
      <w:r w:rsidRPr="00E631DD">
        <w:t>Managing rising groundwater risks in Bendigo</w:t>
      </w:r>
    </w:p>
    <w:p w:rsidR="00E25CC6" w:rsidRDefault="00E25CC6" w:rsidP="00996832">
      <w:r>
        <w:t>Shallow and rising poor quality groundwater has historically affected Bendigo, with treatment required to mitigate negative impacts on the community. This initiative will address the immediate risks of rising groundwater and develop a permanent solution to this long</w:t>
      </w:r>
      <w:r>
        <w:noBreakHyphen/>
        <w:t xml:space="preserve">standing issue to help protect and grow tourism jobs in Bendigo. </w:t>
      </w:r>
    </w:p>
    <w:p w:rsidR="00E25CC6" w:rsidRDefault="00E25CC6" w:rsidP="00996832">
      <w:r>
        <w:t>This initiative contributes to the Department of Environment, Land, Water and Planning’s Effective Water Management and Supply output.</w:t>
      </w:r>
    </w:p>
    <w:p w:rsidR="00E25CC6" w:rsidRPr="00BC6ABC" w:rsidRDefault="00E25CC6" w:rsidP="00122CC5">
      <w:pPr>
        <w:pStyle w:val="Heading5"/>
      </w:pPr>
      <w:r>
        <w:t xml:space="preserve">Planning </w:t>
      </w:r>
      <w:r w:rsidRPr="003D56AD">
        <w:t>support</w:t>
      </w:r>
      <w:r>
        <w:t xml:space="preserve"> for councils </w:t>
      </w:r>
    </w:p>
    <w:p w:rsidR="00E25CC6" w:rsidRDefault="00E25CC6" w:rsidP="00122CC5">
      <w:r>
        <w:t xml:space="preserve">Targeted assistance will be provided to regional and metropolitan councils </w:t>
      </w:r>
      <w:r w:rsidRPr="00991B44">
        <w:t xml:space="preserve">to support priority strategic </w:t>
      </w:r>
      <w:r>
        <w:t xml:space="preserve">and statutory </w:t>
      </w:r>
      <w:r w:rsidRPr="00991B44">
        <w:t>planning work, and build capability and skills of council planners</w:t>
      </w:r>
      <w:r>
        <w:t>. Councils will also be supported to overcome planning backlogs and ensure smooth delivery of new subdivisions.</w:t>
      </w:r>
    </w:p>
    <w:p w:rsidR="00E25CC6" w:rsidRDefault="00E25CC6" w:rsidP="00122CC5">
      <w:r>
        <w:t>This initiative contributes to the Department of Environment, Land, Water and Planning’s Planning, Building and Heritage output.</w:t>
      </w:r>
    </w:p>
    <w:p w:rsidR="00E25CC6" w:rsidRDefault="00E25CC6" w:rsidP="004D0CAC">
      <w:pPr>
        <w:pStyle w:val="Heading5"/>
      </w:pPr>
      <w:r>
        <w:t>Positioning Victoria as a leader in Asia capability</w:t>
      </w:r>
    </w:p>
    <w:p w:rsidR="00E25CC6" w:rsidRDefault="00E25CC6" w:rsidP="00076EEB">
      <w:r w:rsidRPr="00091361">
        <w:t>The Government will establish</w:t>
      </w:r>
      <w:r>
        <w:t xml:space="preserve"> a new initiative to </w:t>
      </w:r>
      <w:r w:rsidRPr="00BE6536">
        <w:t xml:space="preserve">help Victorian businesses develop the capabilities and connections needed to </w:t>
      </w:r>
      <w:r>
        <w:t xml:space="preserve">access and expand into Asian markets. The initiative will </w:t>
      </w:r>
      <w:r w:rsidRPr="00BE6536">
        <w:t>drive a coordinated approach between government and the business and education sectors to promote innovation and build knowledge and capabilities</w:t>
      </w:r>
      <w:r>
        <w:t xml:space="preserve"> to successfully tap into Asian markets. </w:t>
      </w:r>
    </w:p>
    <w:p w:rsidR="00E25CC6" w:rsidRDefault="00E25CC6" w:rsidP="004D0CAC">
      <w:r>
        <w:t>This initiative contributes to the Department of Premier and Cabinet’s Government</w:t>
      </w:r>
      <w:r>
        <w:noBreakHyphen/>
        <w:t>wide Leadership, Reform and Implementation output.</w:t>
      </w:r>
    </w:p>
    <w:p w:rsidR="00E25CC6" w:rsidRPr="00930465" w:rsidRDefault="00E25CC6" w:rsidP="00AB237D">
      <w:pPr>
        <w:pStyle w:val="Heading5"/>
      </w:pPr>
      <w:r w:rsidRPr="00930465">
        <w:t>Premier</w:t>
      </w:r>
      <w:r>
        <w:t>’</w:t>
      </w:r>
      <w:r w:rsidRPr="00930465">
        <w:t>s Jobs and Investment Fund Extension</w:t>
      </w:r>
    </w:p>
    <w:p w:rsidR="00E25CC6" w:rsidRDefault="00E25CC6" w:rsidP="00E535DA">
      <w:r>
        <w:t xml:space="preserve">The Government will help innovative businesses to develop business cases, deal with government, and attract investment through expanding the </w:t>
      </w:r>
      <w:r w:rsidRPr="00C177CA">
        <w:t>Premier</w:t>
      </w:r>
      <w:r>
        <w:t>’</w:t>
      </w:r>
      <w:r w:rsidRPr="00C177CA">
        <w:t>s Jobs and Investment Fund</w:t>
      </w:r>
      <w:r>
        <w:t xml:space="preserve">. </w:t>
      </w:r>
    </w:p>
    <w:p w:rsidR="00E25CC6" w:rsidRDefault="00E25CC6" w:rsidP="00E535DA">
      <w:r>
        <w:t xml:space="preserve">This initiative contributes to the </w:t>
      </w:r>
      <w:r w:rsidRPr="00EC3785">
        <w:t>Department of Economic Development,</w:t>
      </w:r>
      <w:r>
        <w:t xml:space="preserve"> Jobs, Transport and Resources’:</w:t>
      </w:r>
    </w:p>
    <w:p w:rsidR="00E25CC6" w:rsidRDefault="00E25CC6" w:rsidP="00AE4EB9">
      <w:pPr>
        <w:pStyle w:val="BulletText"/>
      </w:pPr>
      <w:r w:rsidRPr="00EC3785">
        <w:t xml:space="preserve">Employment </w:t>
      </w:r>
      <w:r>
        <w:t>and Investment output; and</w:t>
      </w:r>
    </w:p>
    <w:p w:rsidR="00E25CC6" w:rsidRDefault="00E25CC6" w:rsidP="00AE4EB9">
      <w:pPr>
        <w:pStyle w:val="BulletText"/>
      </w:pPr>
      <w:r>
        <w:t>Trade output.</w:t>
      </w:r>
    </w:p>
    <w:p w:rsidR="00E25CC6" w:rsidRPr="00E05601" w:rsidRDefault="00E25CC6" w:rsidP="00E05601">
      <w:pPr>
        <w:pStyle w:val="Heading5"/>
      </w:pPr>
      <w:r w:rsidRPr="00E05601">
        <w:t xml:space="preserve">Regional Tourism Infrastructure Fund </w:t>
      </w:r>
    </w:p>
    <w:p w:rsidR="00E25CC6" w:rsidRDefault="00E25CC6" w:rsidP="00AB237D">
      <w:pPr>
        <w:spacing w:before="60" w:after="60"/>
      </w:pPr>
      <w:r w:rsidRPr="00074358">
        <w:t xml:space="preserve">The Government will </w:t>
      </w:r>
      <w:r w:rsidRPr="0017154C">
        <w:t>support regional tourism infrastructure initiatives to boost jobs and</w:t>
      </w:r>
      <w:r>
        <w:t xml:space="preserve"> </w:t>
      </w:r>
      <w:r w:rsidRPr="0017154C">
        <w:t>employment in the regional tourism sector by enhancing visitor experiences, increasing visitor nights</w:t>
      </w:r>
      <w:r>
        <w:t xml:space="preserve"> </w:t>
      </w:r>
      <w:r w:rsidRPr="0017154C">
        <w:t>and regional tourism yield.</w:t>
      </w:r>
      <w:r>
        <w:t xml:space="preserve"> </w:t>
      </w:r>
    </w:p>
    <w:p w:rsidR="00E25CC6" w:rsidRDefault="00E25CC6" w:rsidP="00D82773">
      <w:r>
        <w:t>The Fund includes the ‘</w:t>
      </w:r>
      <w:r w:rsidRPr="008B74A6">
        <w:t>Enhancing Victoria</w:t>
      </w:r>
      <w:r>
        <w:t>’</w:t>
      </w:r>
      <w:r w:rsidRPr="008B74A6">
        <w:t>s world class nature based tourism destinations</w:t>
      </w:r>
      <w:r>
        <w:t>’</w:t>
      </w:r>
      <w:r>
        <w:rPr>
          <w:i/>
        </w:rPr>
        <w:t xml:space="preserve"> </w:t>
      </w:r>
      <w:r w:rsidRPr="00E23C26">
        <w:t>initiative</w:t>
      </w:r>
      <w:r>
        <w:t>,</w:t>
      </w:r>
      <w:r>
        <w:rPr>
          <w:i/>
        </w:rPr>
        <w:t xml:space="preserve"> </w:t>
      </w:r>
      <w:r w:rsidRPr="00D82773">
        <w:t>the</w:t>
      </w:r>
      <w:r>
        <w:rPr>
          <w:i/>
        </w:rPr>
        <w:t xml:space="preserve"> </w:t>
      </w:r>
      <w:r w:rsidRPr="00437E7E">
        <w:t>Penguin Parade Visitors Centre</w:t>
      </w:r>
      <w:r>
        <w:t>.</w:t>
      </w:r>
    </w:p>
    <w:p w:rsidR="00E25CC6" w:rsidRDefault="00E25CC6" w:rsidP="00D82773">
      <w:r>
        <w:t>This forms part of the $101 million Regional Tourism Infrastructure Fund.</w:t>
      </w:r>
    </w:p>
    <w:p w:rsidR="00E25CC6" w:rsidRDefault="00E25CC6" w:rsidP="00AB237D">
      <w:pPr>
        <w:spacing w:before="60" w:after="60"/>
      </w:pPr>
      <w:r w:rsidRPr="00FB6DE6">
        <w:t>This initiative contributes to the Department of Economic Development, Jobs, Transport and Resources</w:t>
      </w:r>
      <w:r>
        <w:t>’</w:t>
      </w:r>
      <w:r w:rsidRPr="00FB6DE6">
        <w:t xml:space="preserve"> Regional Development output.</w:t>
      </w:r>
    </w:p>
    <w:p w:rsidR="00E25CC6" w:rsidRDefault="00E25CC6" w:rsidP="00F24BAB">
      <w:pPr>
        <w:pStyle w:val="Heading5"/>
      </w:pPr>
      <w:r>
        <w:t>Regional Tourism Infrastructure Fund: Enhancing Victoria’s world class nature based tourism destinations</w:t>
      </w:r>
    </w:p>
    <w:p w:rsidR="00E25CC6" w:rsidRDefault="00E25CC6" w:rsidP="00F24BAB">
      <w:r>
        <w:t>Refer to the asset initiative for a description of this initiative.</w:t>
      </w:r>
    </w:p>
    <w:p w:rsidR="00E25CC6" w:rsidRPr="00A70D9A" w:rsidRDefault="00E25CC6" w:rsidP="00B93308">
      <w:pPr>
        <w:pStyle w:val="Heading5"/>
      </w:pPr>
      <w:r w:rsidRPr="00A70D9A">
        <w:t>Regional Water Infrastructure</w:t>
      </w:r>
      <w:r>
        <w:t xml:space="preserve"> – </w:t>
      </w:r>
      <w:r w:rsidRPr="00A70D9A">
        <w:t>Water Infrastructure and Irrigation</w:t>
      </w:r>
    </w:p>
    <w:p w:rsidR="00E25CC6" w:rsidRDefault="00E25CC6" w:rsidP="00122CC5">
      <w:r>
        <w:t xml:space="preserve">Refer to asset initiative for description of this initiative. </w:t>
      </w:r>
    </w:p>
    <w:p w:rsidR="00E25CC6" w:rsidRPr="00BC6ABC" w:rsidRDefault="00E25CC6" w:rsidP="00122CC5">
      <w:pPr>
        <w:pStyle w:val="Heading5"/>
      </w:pPr>
      <w:r>
        <w:t xml:space="preserve">Revitalising Geelong </w:t>
      </w:r>
    </w:p>
    <w:p w:rsidR="00E25CC6" w:rsidRPr="00C05C0B" w:rsidRDefault="00E25CC6" w:rsidP="00122CC5">
      <w:r>
        <w:t>Investment in Geelong will support the delivery of the</w:t>
      </w:r>
      <w:r w:rsidRPr="00CB037A">
        <w:t xml:space="preserve"> revitalisation of Geelong and the work of the Geelong Authority</w:t>
      </w:r>
      <w:r>
        <w:t xml:space="preserve">. Outdoor spaces and streetscapes will be improved to unlock investment and drive economic activity in central Geelong. </w:t>
      </w:r>
    </w:p>
    <w:p w:rsidR="00E25CC6" w:rsidRDefault="00E25CC6" w:rsidP="00122CC5">
      <w:r>
        <w:t>This initiative contributes to the Department of Environment, Land, Water and Planning’s Planning, Building and Heritage output.</w:t>
      </w:r>
    </w:p>
    <w:p w:rsidR="00E25CC6" w:rsidRPr="001F5803" w:rsidRDefault="00E25CC6" w:rsidP="001F5803">
      <w:pPr>
        <w:pStyle w:val="Heading5"/>
      </w:pPr>
      <w:r w:rsidRPr="001F5803">
        <w:t>Saving Energy Growing Jobs</w:t>
      </w:r>
    </w:p>
    <w:p w:rsidR="00E25CC6" w:rsidRDefault="00E25CC6" w:rsidP="00076EEB">
      <w:r>
        <w:t xml:space="preserve">The Government will provide improved energy efficiency outcomes and reduce energy price pressure on homes and businesses by delivering the Victorian Energy Efficiency and Productivity Strategy. The Strategy will include a range of measures such as enhancing the capability of community service providers to help vulnerable households to improve their energy efficiency and reduce energy bills. </w:t>
      </w:r>
    </w:p>
    <w:p w:rsidR="00E25CC6" w:rsidRDefault="00E25CC6" w:rsidP="00076EEB">
      <w:r>
        <w:t>The initiative will support the creation of jobs and reduce greenhouse gas emissions.</w:t>
      </w:r>
    </w:p>
    <w:p w:rsidR="00E25CC6" w:rsidRDefault="00E25CC6" w:rsidP="00076EEB">
      <w:r>
        <w:t>This initiative will be funded from the Sustainability Fund.</w:t>
      </w:r>
    </w:p>
    <w:p w:rsidR="00E25CC6" w:rsidRDefault="00E25CC6" w:rsidP="001F5803">
      <w:r>
        <w:t>This initiative contributes to the Department of Economic Development, Jobs, Transport and Resources’ Energy and Resources output.</w:t>
      </w:r>
    </w:p>
    <w:p w:rsidR="00E25CC6" w:rsidRPr="00930465" w:rsidRDefault="00E25CC6" w:rsidP="001F5803">
      <w:pPr>
        <w:pStyle w:val="Heading5"/>
      </w:pPr>
      <w:r w:rsidRPr="00930465">
        <w:t>Screen Industry and Business Development</w:t>
      </w:r>
    </w:p>
    <w:p w:rsidR="00E25CC6" w:rsidRDefault="00E25CC6" w:rsidP="00076EEB">
      <w:pPr>
        <w:autoSpaceDE w:val="0"/>
        <w:autoSpaceDN w:val="0"/>
        <w:adjustRightInd w:val="0"/>
        <w:rPr>
          <w:rFonts w:cs="Garamond"/>
          <w:color w:val="000000"/>
          <w:szCs w:val="22"/>
          <w:lang w:eastAsia="en-AU"/>
        </w:rPr>
      </w:pPr>
      <w:r>
        <w:rPr>
          <w:rFonts w:cs="Garamond"/>
          <w:color w:val="000000"/>
          <w:szCs w:val="22"/>
          <w:lang w:eastAsia="en-AU"/>
        </w:rPr>
        <w:t xml:space="preserve">The Government will build on Victoria’s leadership in the screen industry through supporting the Melbourne International Film Festival, the Indian Film Festival and the Chinese Film Festival. Support is also provided for </w:t>
      </w:r>
      <w:r w:rsidRPr="00810992">
        <w:rPr>
          <w:rFonts w:cs="Garamond"/>
          <w:color w:val="000000"/>
          <w:szCs w:val="22"/>
          <w:lang w:eastAsia="en-AU"/>
        </w:rPr>
        <w:t xml:space="preserve">games development and production, film and television development and production and industry development. </w:t>
      </w:r>
    </w:p>
    <w:p w:rsidR="00E25CC6" w:rsidRDefault="00E25CC6" w:rsidP="00AB237D">
      <w:pPr>
        <w:autoSpaceDE w:val="0"/>
        <w:autoSpaceDN w:val="0"/>
        <w:adjustRightInd w:val="0"/>
        <w:rPr>
          <w:rFonts w:cs="Garamond"/>
          <w:color w:val="000000"/>
          <w:szCs w:val="22"/>
          <w:lang w:eastAsia="en-AU"/>
        </w:rPr>
      </w:pPr>
      <w:r w:rsidRPr="00B87A19">
        <w:rPr>
          <w:rFonts w:cs="Garamond"/>
          <w:color w:val="000000"/>
          <w:szCs w:val="22"/>
          <w:lang w:eastAsia="en-AU"/>
        </w:rPr>
        <w:t>This initiative contributes to the Department of Economic Development, Jobs, Transport and Resources</w:t>
      </w:r>
      <w:r>
        <w:rPr>
          <w:rFonts w:cs="Garamond"/>
          <w:color w:val="000000"/>
          <w:szCs w:val="22"/>
          <w:lang w:eastAsia="en-AU"/>
        </w:rPr>
        <w:t>’</w:t>
      </w:r>
      <w:r w:rsidRPr="00B87A19">
        <w:rPr>
          <w:rFonts w:cs="Garamond"/>
          <w:color w:val="000000"/>
          <w:szCs w:val="22"/>
          <w:lang w:eastAsia="en-AU"/>
        </w:rPr>
        <w:t xml:space="preserve"> Creative Industries Portfolio Agencies output.</w:t>
      </w:r>
    </w:p>
    <w:p w:rsidR="00E25CC6" w:rsidRPr="005B62E9" w:rsidRDefault="00E25CC6" w:rsidP="005B62E9">
      <w:pPr>
        <w:pStyle w:val="Heading5"/>
      </w:pPr>
      <w:r w:rsidRPr="005B62E9">
        <w:t>Small Business Festival Victoria and Small Business Commission Farm Debt Mediation</w:t>
      </w:r>
    </w:p>
    <w:p w:rsidR="00E25CC6" w:rsidRPr="00F1593D" w:rsidRDefault="00E25CC6" w:rsidP="00076EEB">
      <w:r w:rsidRPr="00F1593D">
        <w:t>The Small Business Festival Victoria will support small businesses</w:t>
      </w:r>
      <w:r>
        <w:t xml:space="preserve"> to grow, increase their productivity and create jobs</w:t>
      </w:r>
      <w:r w:rsidRPr="00F1593D">
        <w:t xml:space="preserve">. The Festival </w:t>
      </w:r>
      <w:r>
        <w:t>provides</w:t>
      </w:r>
      <w:r w:rsidRPr="00F1593D">
        <w:t xml:space="preserve"> practical information, advice and networking opportunities for Victorians who are seeking to start or grow a small business.</w:t>
      </w:r>
      <w:r w:rsidRPr="00131695">
        <w:t xml:space="preserve"> </w:t>
      </w:r>
      <w:r>
        <w:t>This initiative will provide scope to adapt the festival program to digital delivery channels.</w:t>
      </w:r>
    </w:p>
    <w:p w:rsidR="00E25CC6" w:rsidRPr="009D2A18" w:rsidRDefault="00E25CC6" w:rsidP="00AB237D">
      <w:r w:rsidRPr="009D2A18">
        <w:t>The Victorian Small Business Commission</w:t>
      </w:r>
      <w:r>
        <w:t>’</w:t>
      </w:r>
      <w:r w:rsidRPr="009D2A18">
        <w:t>s farm debt mediation services will continue to support Victorian farmers who are undertaking financial mediation with creditors. This includes arranging mediations and maintaining a list of external mediators across</w:t>
      </w:r>
      <w:r>
        <w:t> </w:t>
      </w:r>
      <w:r w:rsidRPr="009D2A18">
        <w:t>Victoria.</w:t>
      </w:r>
    </w:p>
    <w:p w:rsidR="00E25CC6" w:rsidRPr="00B93308" w:rsidRDefault="00E25CC6" w:rsidP="00B93308">
      <w:r>
        <w:t>This initiative contributes to the Department of Economic Development, Jobs, Transport and Resources’ Industry Enterprise and Innovation output.</w:t>
      </w:r>
    </w:p>
    <w:p w:rsidR="00E25CC6" w:rsidRPr="004276E7" w:rsidRDefault="00E25CC6" w:rsidP="00B93308">
      <w:pPr>
        <w:pStyle w:val="Heading5"/>
      </w:pPr>
      <w:r w:rsidRPr="004276E7">
        <w:t xml:space="preserve">Smart Planning </w:t>
      </w:r>
      <w:r>
        <w:t>P</w:t>
      </w:r>
      <w:r w:rsidRPr="004276E7">
        <w:t>rogram</w:t>
      </w:r>
    </w:p>
    <w:p w:rsidR="00E25CC6" w:rsidRDefault="00E25CC6" w:rsidP="00B93308">
      <w:r>
        <w:t>Refer to asset initiative for a description of this initiative.</w:t>
      </w:r>
    </w:p>
    <w:p w:rsidR="00E25CC6" w:rsidRPr="005B62E9" w:rsidRDefault="00E25CC6" w:rsidP="005B62E9">
      <w:pPr>
        <w:pStyle w:val="Heading5"/>
      </w:pPr>
      <w:r w:rsidRPr="005B62E9">
        <w:t xml:space="preserve">Strengthening </w:t>
      </w:r>
      <w:r>
        <w:t xml:space="preserve">the </w:t>
      </w:r>
      <w:r w:rsidRPr="005B62E9">
        <w:t>Victorian Industry Participation Policy</w:t>
      </w:r>
    </w:p>
    <w:p w:rsidR="00E25CC6" w:rsidRPr="00B357BA" w:rsidRDefault="00E25CC6" w:rsidP="00AB237D">
      <w:r w:rsidRPr="00B357BA">
        <w:t xml:space="preserve">The Victorian Industry Participation Policy will be strengthened through the implementation of key reforms designed to enhance awareness, compliance and reporting to government. Market facilitation services will be continued to ensure local small business can compete for </w:t>
      </w:r>
      <w:r>
        <w:t>g</w:t>
      </w:r>
      <w:r w:rsidRPr="00B357BA">
        <w:t xml:space="preserve">overnment procurement. </w:t>
      </w:r>
      <w:r>
        <w:t>T</w:t>
      </w:r>
      <w:r w:rsidRPr="00B357BA">
        <w:t>he use of 100</w:t>
      </w:r>
      <w:r>
        <w:t> per cent</w:t>
      </w:r>
      <w:r w:rsidRPr="00B357BA">
        <w:t xml:space="preserve"> Australian steel in the </w:t>
      </w:r>
      <w:r>
        <w:t>Level Crossings Removal Program is an example of the Government’s commitment to this policy.</w:t>
      </w:r>
    </w:p>
    <w:p w:rsidR="00E25CC6" w:rsidRDefault="00E25CC6" w:rsidP="00AB237D">
      <w:r>
        <w:t>This initiative contributes to the Department of Economic Development, Jobs, Transport and Resources’ Industry and Enterprise Innovation output.</w:t>
      </w:r>
    </w:p>
    <w:p w:rsidR="00E25CC6" w:rsidRPr="00BC6ABC" w:rsidRDefault="00E25CC6" w:rsidP="00B93308">
      <w:pPr>
        <w:pStyle w:val="Heading5"/>
      </w:pPr>
      <w:r>
        <w:t>Supporting growth through effective planning</w:t>
      </w:r>
    </w:p>
    <w:p w:rsidR="00E25CC6" w:rsidRDefault="00E25CC6" w:rsidP="00B93308">
      <w:pPr>
        <w:rPr>
          <w:lang w:eastAsia="en-AU"/>
        </w:rPr>
      </w:pPr>
      <w:r>
        <w:rPr>
          <w:lang w:eastAsia="en-AU"/>
        </w:rPr>
        <w:t>The critical planning capacity of the Department of Environment, Land, Water and Planning will be enhanced to respond to the increased decision</w:t>
      </w:r>
      <w:r>
        <w:rPr>
          <w:lang w:eastAsia="en-AU"/>
        </w:rPr>
        <w:noBreakHyphen/>
        <w:t>making responsibilities of the Minister for Planning. This includes significant developments in the Geelong CBD and Moolap waterfront precinct and future interventions to fast track State or regionally significant developments to boost jobs and local economies. This investment will realise the streamlining benefits of the Minister becoming the decision</w:t>
      </w:r>
      <w:r>
        <w:rPr>
          <w:lang w:eastAsia="en-AU"/>
        </w:rPr>
        <w:noBreakHyphen/>
        <w:t>maker on important projects across the State.</w:t>
      </w:r>
    </w:p>
    <w:p w:rsidR="00E25CC6" w:rsidRDefault="00E25CC6" w:rsidP="00AB237D">
      <w:r>
        <w:t>This initiative contributes to the Department of Environment, Land, Water and Planning’s Planning, Building and Heritage output.</w:t>
      </w:r>
    </w:p>
    <w:p w:rsidR="00E25CC6" w:rsidRPr="005B62E9" w:rsidRDefault="00E25CC6" w:rsidP="005B62E9">
      <w:pPr>
        <w:pStyle w:val="Heading5"/>
      </w:pPr>
      <w:r w:rsidRPr="005B62E9">
        <w:t>Victoria Design Leader</w:t>
      </w:r>
    </w:p>
    <w:p w:rsidR="00E25CC6" w:rsidRDefault="00E25CC6" w:rsidP="00076EEB">
      <w:pPr>
        <w:autoSpaceDE w:val="0"/>
        <w:autoSpaceDN w:val="0"/>
        <w:adjustRightInd w:val="0"/>
        <w:rPr>
          <w:rFonts w:cs="Garamond"/>
          <w:color w:val="000000"/>
          <w:szCs w:val="22"/>
          <w:lang w:eastAsia="en-AU"/>
        </w:rPr>
      </w:pPr>
      <w:r>
        <w:rPr>
          <w:rFonts w:cs="Garamond"/>
          <w:color w:val="000000"/>
          <w:szCs w:val="22"/>
          <w:lang w:eastAsia="en-AU"/>
        </w:rPr>
        <w:t>Victoria’s position as a global design leader will be enhanced through t</w:t>
      </w:r>
      <w:r w:rsidRPr="00C177CA">
        <w:rPr>
          <w:rFonts w:cs="Garamond"/>
          <w:color w:val="000000"/>
          <w:szCs w:val="22"/>
          <w:lang w:eastAsia="en-AU"/>
        </w:rPr>
        <w:t>he Government</w:t>
      </w:r>
      <w:r>
        <w:rPr>
          <w:rFonts w:cs="Garamond"/>
          <w:color w:val="000000"/>
          <w:szCs w:val="22"/>
          <w:lang w:eastAsia="en-AU"/>
        </w:rPr>
        <w:t xml:space="preserve">’s </w:t>
      </w:r>
      <w:r w:rsidRPr="00C177CA">
        <w:rPr>
          <w:rFonts w:cs="Garamond"/>
          <w:color w:val="000000"/>
          <w:szCs w:val="22"/>
          <w:lang w:eastAsia="en-AU"/>
        </w:rPr>
        <w:t>support the Melbourne Design week, the Premier</w:t>
      </w:r>
      <w:r>
        <w:rPr>
          <w:rFonts w:cs="Garamond"/>
          <w:color w:val="000000"/>
          <w:szCs w:val="22"/>
          <w:lang w:eastAsia="en-AU"/>
        </w:rPr>
        <w:t>’</w:t>
      </w:r>
      <w:r w:rsidRPr="00C177CA">
        <w:rPr>
          <w:rFonts w:cs="Garamond"/>
          <w:color w:val="000000"/>
          <w:szCs w:val="22"/>
          <w:lang w:eastAsia="en-AU"/>
        </w:rPr>
        <w:t>s Design Awards, the Desi</w:t>
      </w:r>
      <w:r>
        <w:rPr>
          <w:rFonts w:cs="Garamond"/>
          <w:color w:val="000000"/>
          <w:szCs w:val="22"/>
          <w:lang w:eastAsia="en-AU"/>
        </w:rPr>
        <w:t xml:space="preserve">gn to Business program and the </w:t>
      </w:r>
      <w:r w:rsidRPr="00C177CA">
        <w:rPr>
          <w:rFonts w:cs="Garamond"/>
          <w:color w:val="000000"/>
          <w:szCs w:val="22"/>
          <w:lang w:eastAsia="en-AU"/>
        </w:rPr>
        <w:t>Pavillion.</w:t>
      </w:r>
      <w:r>
        <w:rPr>
          <w:rFonts w:cs="Garamond"/>
          <w:color w:val="000000"/>
          <w:szCs w:val="22"/>
          <w:lang w:eastAsia="en-AU"/>
        </w:rPr>
        <w:t xml:space="preserve"> </w:t>
      </w:r>
      <w:r w:rsidRPr="00C177CA">
        <w:rPr>
          <w:rFonts w:cs="Garamond"/>
          <w:color w:val="000000"/>
          <w:szCs w:val="22"/>
          <w:lang w:eastAsia="en-AU"/>
        </w:rPr>
        <w:t xml:space="preserve">Support is also provided for a Design Enterprise program, a Design in Bendigo program and for </w:t>
      </w:r>
      <w:r w:rsidRPr="005B62E9">
        <w:rPr>
          <w:rFonts w:cs="Garamond"/>
          <w:color w:val="000000"/>
          <w:szCs w:val="22"/>
          <w:lang w:eastAsia="en-AU"/>
        </w:rPr>
        <w:t>Melbourne to bid to be the partner city for the Hong Kong Business of Design week in</w:t>
      </w:r>
      <w:r>
        <w:rPr>
          <w:rFonts w:cs="Garamond"/>
          <w:color w:val="000000"/>
          <w:szCs w:val="22"/>
          <w:lang w:eastAsia="en-AU"/>
        </w:rPr>
        <w:t> </w:t>
      </w:r>
      <w:r w:rsidRPr="005B62E9">
        <w:rPr>
          <w:rFonts w:cs="Garamond"/>
          <w:color w:val="000000"/>
          <w:szCs w:val="22"/>
          <w:lang w:eastAsia="en-AU"/>
        </w:rPr>
        <w:t xml:space="preserve">2017. </w:t>
      </w:r>
    </w:p>
    <w:p w:rsidR="00E25CC6" w:rsidRDefault="00E25CC6" w:rsidP="004B6C4F">
      <w:r w:rsidRPr="00CF19EF">
        <w:rPr>
          <w:lang w:eastAsia="en-AU"/>
        </w:rPr>
        <w:t>This initiative contributes to the Department of Economic Development, Jobs, Transport and Resources</w:t>
      </w:r>
      <w:r>
        <w:rPr>
          <w:lang w:eastAsia="en-AU"/>
        </w:rPr>
        <w:t>’</w:t>
      </w:r>
      <w:r w:rsidRPr="00CF19EF">
        <w:rPr>
          <w:lang w:eastAsia="en-AU"/>
        </w:rPr>
        <w:t xml:space="preserve"> Access, Industry Development and Innovation output</w:t>
      </w:r>
      <w:r w:rsidRPr="00CF19EF">
        <w:rPr>
          <w:rFonts w:cs="Helv"/>
          <w:sz w:val="18"/>
          <w:lang w:eastAsia="en-AU"/>
        </w:rPr>
        <w:t>.</w:t>
      </w:r>
      <w:r w:rsidRPr="00CF19EF">
        <w:t xml:space="preserve"> </w:t>
      </w:r>
    </w:p>
    <w:p w:rsidR="00E25CC6" w:rsidRPr="005502B4" w:rsidRDefault="00E25CC6" w:rsidP="00790C10">
      <w:pPr>
        <w:keepNext/>
        <w:tabs>
          <w:tab w:val="left" w:pos="504"/>
        </w:tabs>
        <w:spacing w:before="120" w:after="60"/>
        <w:outlineLvl w:val="4"/>
        <w:rPr>
          <w:rFonts w:ascii="Calibri" w:hAnsi="Calibri"/>
          <w:b/>
        </w:rPr>
      </w:pPr>
      <w:r w:rsidRPr="005502B4">
        <w:rPr>
          <w:rFonts w:ascii="Calibri" w:hAnsi="Calibri"/>
          <w:b/>
        </w:rPr>
        <w:t>Victorian Mobile Project – Phase 2</w:t>
      </w:r>
    </w:p>
    <w:p w:rsidR="00E25CC6" w:rsidRDefault="00E25CC6" w:rsidP="00076EEB">
      <w:pPr>
        <w:rPr>
          <w:highlight w:val="yellow"/>
        </w:rPr>
      </w:pPr>
      <w:r w:rsidRPr="0073233E">
        <w:t>The Victorian Mobile Project – Phase 2 will remove mobile black spots in fire</w:t>
      </w:r>
      <w:r>
        <w:noBreakHyphen/>
      </w:r>
      <w:r w:rsidRPr="0073233E">
        <w:t>and</w:t>
      </w:r>
      <w:r>
        <w:noBreakHyphen/>
      </w:r>
      <w:r w:rsidRPr="0073233E">
        <w:t>flood</w:t>
      </w:r>
      <w:r>
        <w:noBreakHyphen/>
      </w:r>
      <w:r w:rsidRPr="0073233E">
        <w:t>prone areas of regional Victoria</w:t>
      </w:r>
      <w:r>
        <w:t>, supporting productivity and jobs growth with h</w:t>
      </w:r>
      <w:r w:rsidRPr="0031142B">
        <w:t>igh</w:t>
      </w:r>
      <w:r>
        <w:noBreakHyphen/>
      </w:r>
      <w:r w:rsidRPr="0031142B">
        <w:t>quality telecommunications infrastructure and services</w:t>
      </w:r>
      <w:r w:rsidRPr="0073233E">
        <w:t xml:space="preserve">. </w:t>
      </w:r>
      <w:r w:rsidRPr="002A50DE">
        <w:t xml:space="preserve">This project will be jointly delivered by the Victorian </w:t>
      </w:r>
      <w:r>
        <w:t xml:space="preserve">and Commonwealth governments </w:t>
      </w:r>
      <w:r w:rsidRPr="002A50DE">
        <w:t>and a telecommunications carrier. It will provide mobile coverage to high</w:t>
      </w:r>
      <w:r>
        <w:noBreakHyphen/>
      </w:r>
      <w:r w:rsidRPr="002A50DE">
        <w:t>risk areas prone to natural disaster, increasing public safety and supporting the economy of regional communities.</w:t>
      </w:r>
    </w:p>
    <w:p w:rsidR="00E25CC6" w:rsidRDefault="00E25CC6" w:rsidP="00790C10">
      <w:r w:rsidRPr="00F1593D">
        <w:t>This initiative contributes to the Department of Economic Development, Jobs, Transport and Resources</w:t>
      </w:r>
      <w:r>
        <w:t>’</w:t>
      </w:r>
      <w:r w:rsidRPr="00F1593D">
        <w:t xml:space="preserve"> </w:t>
      </w:r>
      <w:r>
        <w:t>Regional Development</w:t>
      </w:r>
      <w:r w:rsidRPr="00F1593D">
        <w:t xml:space="preserve"> output.</w:t>
      </w:r>
    </w:p>
    <w:p w:rsidR="00E25CC6" w:rsidRPr="00EC3785" w:rsidRDefault="00E25CC6" w:rsidP="00790C10">
      <w:pPr>
        <w:pStyle w:val="Heading5"/>
      </w:pPr>
      <w:r w:rsidRPr="00EC3785">
        <w:t>Victoria</w:t>
      </w:r>
      <w:r>
        <w:t>’</w:t>
      </w:r>
      <w:r w:rsidRPr="00EC3785">
        <w:t xml:space="preserve">s Creative </w:t>
      </w:r>
      <w:r>
        <w:t>State</w:t>
      </w:r>
      <w:r w:rsidRPr="00EC3785">
        <w:t xml:space="preserve"> Strategy</w:t>
      </w:r>
    </w:p>
    <w:p w:rsidR="00E25CC6" w:rsidRDefault="00E25CC6" w:rsidP="00790C10">
      <w:r>
        <w:t>The Government will deliver its first Creative State Strategy targeted at generating productivity, income, jobs and export earnings for Victoria’s creative industries</w:t>
      </w:r>
      <w:r w:rsidRPr="00AB7A0E">
        <w:t xml:space="preserve">. Funding will be provided for 42 new actions including Aboriginal arts and culture, establishment of a Creators Fund, landmark artworks, talent development and screen professional development. The strategy will </w:t>
      </w:r>
      <w:r>
        <w:t>support</w:t>
      </w:r>
      <w:r w:rsidRPr="00AB7A0E">
        <w:t xml:space="preserve"> the sustainability and growth of</w:t>
      </w:r>
      <w:r>
        <w:t xml:space="preserve"> creative industries, by building skills, increasing the pool of creative practitioners, reaching overseas audiences, increasing cultural production and stimulating engagement and participation.</w:t>
      </w:r>
    </w:p>
    <w:p w:rsidR="00E25CC6" w:rsidRPr="008A785E" w:rsidRDefault="00E25CC6" w:rsidP="008A785E">
      <w:r w:rsidRPr="00EC3785">
        <w:t>This initiative contributes to the Department of Economic Development, Jobs, Transport and Resources</w:t>
      </w:r>
      <w:r>
        <w:t xml:space="preserve">’ </w:t>
      </w:r>
      <w:r w:rsidRPr="00EC3785">
        <w:t>Access, Industry Development and Innovation</w:t>
      </w:r>
      <w:r>
        <w:t xml:space="preserve"> output. </w:t>
      </w:r>
    </w:p>
    <w:p w:rsidR="00E25CC6" w:rsidRDefault="00E25CC6" w:rsidP="00A60660">
      <w:pPr>
        <w:pStyle w:val="Heading5"/>
      </w:pPr>
      <w:r w:rsidRPr="00374E33">
        <w:t>Victoria</w:t>
      </w:r>
      <w:r>
        <w:t>’</w:t>
      </w:r>
      <w:r w:rsidRPr="00374E33">
        <w:t xml:space="preserve">s </w:t>
      </w:r>
      <w:r>
        <w:t>Health and Medical Research S</w:t>
      </w:r>
      <w:r w:rsidRPr="00374E33">
        <w:t xml:space="preserve">trategy </w:t>
      </w:r>
    </w:p>
    <w:p w:rsidR="00E25CC6" w:rsidRDefault="00E25CC6" w:rsidP="00076EEB">
      <w:r>
        <w:t>Melbourne is one the world’s leading medical research cities. The Government will</w:t>
      </w:r>
      <w:r w:rsidRPr="00F70315">
        <w:t xml:space="preserve"> accelerate the translation of medical research into clinical practice, commercial outcomes and Victorian jobs</w:t>
      </w:r>
      <w:r>
        <w:t xml:space="preserve"> through a range of measures, including through streamlining the clinical trial research program</w:t>
      </w:r>
      <w:r w:rsidRPr="00E0236C">
        <w:t>.</w:t>
      </w:r>
      <w:r>
        <w:t xml:space="preserve"> </w:t>
      </w:r>
    </w:p>
    <w:p w:rsidR="00E25CC6" w:rsidRPr="00B000F0" w:rsidRDefault="00E25CC6" w:rsidP="00B000F0">
      <w:r>
        <w:t>This initiative contributes to the Department of Health and Human Services’ Public Health Development, Research and Support output.</w:t>
      </w:r>
    </w:p>
    <w:p w:rsidR="00E25CC6" w:rsidRPr="00EC3785" w:rsidRDefault="00E25CC6" w:rsidP="00107135">
      <w:pPr>
        <w:pStyle w:val="Heading5"/>
      </w:pPr>
      <w:r w:rsidRPr="00EC3785">
        <w:t>Visit Victoria marketing</w:t>
      </w:r>
    </w:p>
    <w:p w:rsidR="00E25CC6" w:rsidRPr="00F1593D" w:rsidRDefault="00E25CC6" w:rsidP="00076EEB">
      <w:r w:rsidRPr="00F1593D">
        <w:t xml:space="preserve">The Government will support the </w:t>
      </w:r>
      <w:r>
        <w:t>new</w:t>
      </w:r>
      <w:r w:rsidRPr="00F1593D">
        <w:t xml:space="preserve"> Visit Victoria</w:t>
      </w:r>
      <w:r>
        <w:t xml:space="preserve"> embarking on an ambitious new marketing push to attract visitors to Australia from around the world, with an emphasis on attracting visitors from intrastate, interstate and international markets</w:t>
      </w:r>
      <w:r w:rsidRPr="00BA165C">
        <w:t xml:space="preserve"> </w:t>
      </w:r>
      <w:r>
        <w:t xml:space="preserve">to drive jobs growth in Victoria’s visitor economy. </w:t>
      </w:r>
    </w:p>
    <w:p w:rsidR="00E25CC6" w:rsidRPr="00BA6CBA" w:rsidRDefault="00E25CC6" w:rsidP="00BA6CBA">
      <w:r w:rsidRPr="00F1593D">
        <w:t>This initiative contributes to the Department of Economic Development, Jobs, Transport and Resources</w:t>
      </w:r>
      <w:r>
        <w:t>’</w:t>
      </w:r>
      <w:r w:rsidRPr="00F1593D">
        <w:t xml:space="preserve"> Tourism, Major Events and </w:t>
      </w:r>
      <w:r>
        <w:t>International Education output.</w:t>
      </w:r>
    </w:p>
    <w:p w:rsidR="00E25CC6" w:rsidRDefault="00E25CC6">
      <w:pPr>
        <w:spacing w:after="0"/>
        <w:rPr>
          <w:rFonts w:ascii="Calibri" w:hAnsi="Calibri"/>
          <w:b/>
          <w:i/>
          <w:kern w:val="28"/>
          <w:sz w:val="24"/>
          <w:szCs w:val="22"/>
        </w:rPr>
      </w:pPr>
      <w:r>
        <w:br w:type="page"/>
      </w:r>
    </w:p>
    <w:p w:rsidR="00E25CC6" w:rsidRDefault="00E25CC6" w:rsidP="007761BB">
      <w:pPr>
        <w:pStyle w:val="Heading3"/>
      </w:pPr>
      <w:r>
        <w:t>Asset initiatives</w:t>
      </w:r>
    </w:p>
    <w:p w:rsidR="00E25CC6" w:rsidRDefault="00E25CC6" w:rsidP="00341B58">
      <w:pPr>
        <w:pStyle w:val="Tableheading"/>
      </w:pPr>
      <w:r>
        <w:t>Table 1.11:</w:t>
      </w:r>
      <w:r>
        <w:tab/>
        <w:t>Asset initiatives –</w:t>
      </w:r>
      <w:r w:rsidRPr="00FA2145">
        <w:rPr>
          <w:rFonts w:eastAsiaTheme="minorHAnsi"/>
        </w:rPr>
        <w:t xml:space="preserve"> Jobs</w:t>
      </w:r>
    </w:p>
    <w:p w:rsidR="00E25CC6" w:rsidRDefault="00E25CC6" w:rsidP="001101B0">
      <w:pPr>
        <w:pStyle w:val="million"/>
        <w:rPr>
          <w:rFonts w:ascii="Times New Roman" w:hAnsi="Times New Roman"/>
          <w:sz w:val="20"/>
          <w:lang w:eastAsia="en-AU"/>
        </w:rPr>
      </w:pPr>
      <w:r>
        <w:t>($ million</w:t>
      </w:r>
      <w:r w:rsidRPr="005540C3">
        <w:t>)</w:t>
      </w:r>
    </w:p>
    <w:tbl>
      <w:tblPr>
        <w:tblW w:w="7776" w:type="dxa"/>
        <w:tblInd w:w="29" w:type="dxa"/>
        <w:tblLayout w:type="fixed"/>
        <w:tblCellMar>
          <w:left w:w="43" w:type="dxa"/>
          <w:right w:w="43" w:type="dxa"/>
        </w:tblCellMar>
        <w:tblLook w:val="0000" w:firstRow="0" w:lastRow="0" w:firstColumn="0" w:lastColumn="0" w:noHBand="0" w:noVBand="0"/>
      </w:tblPr>
      <w:tblGrid>
        <w:gridCol w:w="2708"/>
        <w:gridCol w:w="844"/>
        <w:gridCol w:w="845"/>
        <w:gridCol w:w="845"/>
        <w:gridCol w:w="844"/>
        <w:gridCol w:w="845"/>
        <w:gridCol w:w="845"/>
      </w:tblGrid>
      <w:tr w:rsidR="00E25CC6" w:rsidRPr="001101B0" w:rsidTr="00A85608">
        <w:trPr>
          <w:cantSplit/>
        </w:trPr>
        <w:tc>
          <w:tcPr>
            <w:tcW w:w="2708" w:type="dxa"/>
            <w:tcBorders>
              <w:top w:val="single" w:sz="4" w:space="0" w:color="auto"/>
              <w:left w:val="single" w:sz="4" w:space="0" w:color="auto"/>
              <w:bottom w:val="single" w:sz="4" w:space="0" w:color="auto"/>
              <w:right w:val="nil"/>
            </w:tcBorders>
            <w:shd w:val="clear" w:color="auto" w:fill="000000"/>
          </w:tcPr>
          <w:p w:rsidR="00E25CC6" w:rsidRPr="00FA1D35" w:rsidRDefault="00E25CC6" w:rsidP="001101B0">
            <w:pPr>
              <w:pStyle w:val="Tabletext"/>
              <w:rPr>
                <w:rFonts w:eastAsiaTheme="minorEastAsia"/>
                <w:lang w:eastAsia="en-AU"/>
              </w:rPr>
            </w:pPr>
            <w:r w:rsidRPr="00FA1D35">
              <w:rPr>
                <w:rFonts w:eastAsiaTheme="minorEastAsia"/>
                <w:lang w:eastAsia="en-AU"/>
              </w:rPr>
              <w:t xml:space="preserve"> </w:t>
            </w:r>
          </w:p>
        </w:tc>
        <w:tc>
          <w:tcPr>
            <w:tcW w:w="844" w:type="dxa"/>
            <w:tcBorders>
              <w:top w:val="single" w:sz="4" w:space="0" w:color="auto"/>
              <w:left w:val="nil"/>
              <w:bottom w:val="single" w:sz="4" w:space="0" w:color="auto"/>
              <w:right w:val="nil"/>
            </w:tcBorders>
            <w:shd w:val="clear" w:color="auto" w:fill="000000"/>
          </w:tcPr>
          <w:p w:rsidR="00E25CC6" w:rsidRPr="00FA1D35" w:rsidRDefault="00E25CC6" w:rsidP="001101B0">
            <w:pPr>
              <w:pStyle w:val="Tabletextheading"/>
              <w:rPr>
                <w:rFonts w:eastAsiaTheme="minorEastAsia"/>
                <w:lang w:eastAsia="en-AU"/>
              </w:rPr>
            </w:pPr>
            <w:r w:rsidRPr="00FA1D35">
              <w:rPr>
                <w:rFonts w:eastAsiaTheme="minorEastAsia"/>
                <w:lang w:eastAsia="en-AU"/>
              </w:rPr>
              <w:t>2015</w:t>
            </w:r>
            <w:r>
              <w:rPr>
                <w:rFonts w:eastAsiaTheme="minorEastAsia"/>
                <w:lang w:eastAsia="en-AU"/>
              </w:rPr>
              <w:noBreakHyphen/>
            </w:r>
            <w:r w:rsidRPr="00FA1D35">
              <w:rPr>
                <w:rFonts w:eastAsiaTheme="minorEastAsia"/>
                <w:lang w:eastAsia="en-AU"/>
              </w:rPr>
              <w:t>16</w:t>
            </w:r>
          </w:p>
        </w:tc>
        <w:tc>
          <w:tcPr>
            <w:tcW w:w="845" w:type="dxa"/>
            <w:tcBorders>
              <w:top w:val="single" w:sz="4" w:space="0" w:color="auto"/>
              <w:left w:val="nil"/>
              <w:bottom w:val="single" w:sz="4" w:space="0" w:color="auto"/>
              <w:right w:val="nil"/>
            </w:tcBorders>
            <w:shd w:val="clear" w:color="auto" w:fill="000000"/>
          </w:tcPr>
          <w:p w:rsidR="00E25CC6" w:rsidRPr="00FA1D35" w:rsidRDefault="00E25CC6" w:rsidP="001101B0">
            <w:pPr>
              <w:pStyle w:val="Tabletextheading"/>
              <w:rPr>
                <w:rFonts w:eastAsiaTheme="minorEastAsia"/>
                <w:lang w:eastAsia="en-AU"/>
              </w:rPr>
            </w:pPr>
            <w:r w:rsidRPr="00FA1D35">
              <w:rPr>
                <w:rFonts w:eastAsiaTheme="minorEastAsia"/>
                <w:lang w:eastAsia="en-AU"/>
              </w:rPr>
              <w:t>2016</w:t>
            </w:r>
            <w:r>
              <w:rPr>
                <w:rFonts w:eastAsiaTheme="minorEastAsia"/>
                <w:lang w:eastAsia="en-AU"/>
              </w:rPr>
              <w:noBreakHyphen/>
            </w:r>
            <w:r w:rsidRPr="00FA1D35">
              <w:rPr>
                <w:rFonts w:eastAsiaTheme="minorEastAsia"/>
                <w:lang w:eastAsia="en-AU"/>
              </w:rPr>
              <w:t>17</w:t>
            </w:r>
          </w:p>
        </w:tc>
        <w:tc>
          <w:tcPr>
            <w:tcW w:w="845" w:type="dxa"/>
            <w:tcBorders>
              <w:top w:val="single" w:sz="4" w:space="0" w:color="auto"/>
              <w:left w:val="nil"/>
              <w:bottom w:val="single" w:sz="4" w:space="0" w:color="auto"/>
              <w:right w:val="nil"/>
            </w:tcBorders>
            <w:shd w:val="clear" w:color="auto" w:fill="000000"/>
          </w:tcPr>
          <w:p w:rsidR="00E25CC6" w:rsidRPr="00FA1D35" w:rsidRDefault="00E25CC6" w:rsidP="001101B0">
            <w:pPr>
              <w:pStyle w:val="Tabletextheading"/>
              <w:rPr>
                <w:rFonts w:eastAsiaTheme="minorEastAsia"/>
                <w:lang w:eastAsia="en-AU"/>
              </w:rPr>
            </w:pPr>
            <w:r w:rsidRPr="00FA1D35">
              <w:rPr>
                <w:rFonts w:eastAsiaTheme="minorEastAsia"/>
                <w:lang w:eastAsia="en-AU"/>
              </w:rPr>
              <w:t>2017</w:t>
            </w:r>
            <w:r>
              <w:rPr>
                <w:rFonts w:eastAsiaTheme="minorEastAsia"/>
                <w:lang w:eastAsia="en-AU"/>
              </w:rPr>
              <w:noBreakHyphen/>
            </w:r>
            <w:r w:rsidRPr="00FA1D35">
              <w:rPr>
                <w:rFonts w:eastAsiaTheme="minorEastAsia"/>
                <w:lang w:eastAsia="en-AU"/>
              </w:rPr>
              <w:t>18</w:t>
            </w:r>
          </w:p>
        </w:tc>
        <w:tc>
          <w:tcPr>
            <w:tcW w:w="844" w:type="dxa"/>
            <w:tcBorders>
              <w:top w:val="single" w:sz="4" w:space="0" w:color="auto"/>
              <w:left w:val="nil"/>
              <w:bottom w:val="single" w:sz="4" w:space="0" w:color="auto"/>
              <w:right w:val="nil"/>
            </w:tcBorders>
            <w:shd w:val="clear" w:color="auto" w:fill="000000"/>
          </w:tcPr>
          <w:p w:rsidR="00E25CC6" w:rsidRPr="00FA1D35" w:rsidRDefault="00E25CC6" w:rsidP="001101B0">
            <w:pPr>
              <w:pStyle w:val="Tabletextheading"/>
              <w:rPr>
                <w:rFonts w:eastAsiaTheme="minorEastAsia"/>
                <w:lang w:eastAsia="en-AU"/>
              </w:rPr>
            </w:pPr>
            <w:r w:rsidRPr="00FA1D35">
              <w:rPr>
                <w:rFonts w:eastAsiaTheme="minorEastAsia"/>
                <w:lang w:eastAsia="en-AU"/>
              </w:rPr>
              <w:t>2018</w:t>
            </w:r>
            <w:r>
              <w:rPr>
                <w:rFonts w:eastAsiaTheme="minorEastAsia"/>
                <w:lang w:eastAsia="en-AU"/>
              </w:rPr>
              <w:noBreakHyphen/>
            </w:r>
            <w:r w:rsidRPr="00FA1D35">
              <w:rPr>
                <w:rFonts w:eastAsiaTheme="minorEastAsia"/>
                <w:lang w:eastAsia="en-AU"/>
              </w:rPr>
              <w:t>19</w:t>
            </w:r>
          </w:p>
        </w:tc>
        <w:tc>
          <w:tcPr>
            <w:tcW w:w="845" w:type="dxa"/>
            <w:tcBorders>
              <w:top w:val="single" w:sz="4" w:space="0" w:color="auto"/>
              <w:left w:val="nil"/>
              <w:bottom w:val="single" w:sz="4" w:space="0" w:color="auto"/>
              <w:right w:val="nil"/>
            </w:tcBorders>
            <w:shd w:val="clear" w:color="auto" w:fill="000000"/>
          </w:tcPr>
          <w:p w:rsidR="00E25CC6" w:rsidRPr="00FA1D35" w:rsidRDefault="00E25CC6" w:rsidP="001101B0">
            <w:pPr>
              <w:pStyle w:val="Tabletextheading"/>
              <w:rPr>
                <w:rFonts w:eastAsiaTheme="minorEastAsia"/>
                <w:lang w:eastAsia="en-AU"/>
              </w:rPr>
            </w:pPr>
            <w:r w:rsidRPr="00FA1D35">
              <w:rPr>
                <w:rFonts w:eastAsiaTheme="minorEastAsia"/>
                <w:lang w:eastAsia="en-AU"/>
              </w:rPr>
              <w:t>2019</w:t>
            </w:r>
            <w:r>
              <w:rPr>
                <w:rFonts w:eastAsiaTheme="minorEastAsia"/>
                <w:lang w:eastAsia="en-AU"/>
              </w:rPr>
              <w:noBreakHyphen/>
            </w:r>
            <w:r w:rsidRPr="00FA1D35">
              <w:rPr>
                <w:rFonts w:eastAsiaTheme="minorEastAsia"/>
                <w:lang w:eastAsia="en-AU"/>
              </w:rPr>
              <w:t>20</w:t>
            </w:r>
          </w:p>
        </w:tc>
        <w:tc>
          <w:tcPr>
            <w:tcW w:w="845" w:type="dxa"/>
            <w:tcBorders>
              <w:top w:val="single" w:sz="4" w:space="0" w:color="auto"/>
              <w:left w:val="nil"/>
              <w:bottom w:val="single" w:sz="4" w:space="0" w:color="auto"/>
              <w:right w:val="single" w:sz="4" w:space="0" w:color="auto"/>
            </w:tcBorders>
            <w:shd w:val="clear" w:color="auto" w:fill="000000"/>
          </w:tcPr>
          <w:p w:rsidR="00E25CC6" w:rsidRPr="001101B0" w:rsidRDefault="00E25CC6" w:rsidP="001101B0">
            <w:pPr>
              <w:pStyle w:val="Tabletextheading"/>
              <w:rPr>
                <w:rFonts w:eastAsiaTheme="minorEastAsia" w:cs="Calibri"/>
                <w:iCs/>
                <w:color w:val="FFFFFF"/>
                <w:lang w:eastAsia="en-AU"/>
              </w:rPr>
            </w:pPr>
            <w:r w:rsidRPr="001101B0">
              <w:rPr>
                <w:rFonts w:eastAsiaTheme="minorEastAsia" w:cs="Calibri"/>
                <w:iCs/>
                <w:color w:val="FFFFFF"/>
                <w:lang w:eastAsia="en-AU"/>
              </w:rPr>
              <w:t>TEI</w:t>
            </w:r>
          </w:p>
        </w:tc>
      </w:tr>
      <w:tr w:rsidR="00E25CC6" w:rsidRPr="001101B0" w:rsidTr="00A85608">
        <w:trPr>
          <w:cantSplit/>
        </w:trPr>
        <w:tc>
          <w:tcPr>
            <w:tcW w:w="2708" w:type="dxa"/>
            <w:tcBorders>
              <w:top w:val="single" w:sz="4" w:space="0" w:color="auto"/>
              <w:left w:val="nil"/>
              <w:bottom w:val="nil"/>
              <w:right w:val="nil"/>
            </w:tcBorders>
          </w:tcPr>
          <w:p w:rsidR="00E25CC6" w:rsidRPr="001101B0" w:rsidRDefault="00E25CC6" w:rsidP="001101B0">
            <w:pPr>
              <w:pStyle w:val="Tabletext"/>
              <w:rPr>
                <w:rFonts w:eastAsiaTheme="minorEastAsia"/>
                <w:color w:val="000000"/>
                <w:vertAlign w:val="superscript"/>
                <w:lang w:eastAsia="en-AU"/>
              </w:rPr>
            </w:pPr>
            <w:r w:rsidRPr="001101B0">
              <w:rPr>
                <w:rFonts w:eastAsiaTheme="minorEastAsia"/>
                <w:color w:val="000000"/>
                <w:lang w:eastAsia="en-AU"/>
              </w:rPr>
              <w:t>Regional Tourism Infrastructure Fund: Enhancing Victoria</w:t>
            </w:r>
            <w:r>
              <w:rPr>
                <w:rFonts w:eastAsiaTheme="minorEastAsia"/>
                <w:color w:val="000000"/>
                <w:lang w:eastAsia="en-AU"/>
              </w:rPr>
              <w:t>’</w:t>
            </w:r>
            <w:r w:rsidRPr="001101B0">
              <w:rPr>
                <w:rFonts w:eastAsiaTheme="minorEastAsia"/>
                <w:color w:val="000000"/>
                <w:lang w:eastAsia="en-AU"/>
              </w:rPr>
              <w:t xml:space="preserve">s world class nature based tourism destinations </w:t>
            </w:r>
            <w:r>
              <w:rPr>
                <w:rFonts w:eastAsiaTheme="minorEastAsia"/>
                <w:color w:val="000000"/>
                <w:vertAlign w:val="superscript"/>
                <w:lang w:eastAsia="en-AU"/>
              </w:rPr>
              <w:t>(a)</w:t>
            </w:r>
            <w:r w:rsidRPr="001101B0">
              <w:rPr>
                <w:rFonts w:eastAsiaTheme="minorEastAsia"/>
                <w:color w:val="000000"/>
                <w:vertAlign w:val="superscript"/>
                <w:lang w:eastAsia="en-AU"/>
              </w:rPr>
              <w:t>(b)</w:t>
            </w:r>
          </w:p>
        </w:tc>
        <w:tc>
          <w:tcPr>
            <w:tcW w:w="844" w:type="dxa"/>
            <w:tcBorders>
              <w:top w:val="single" w:sz="4" w:space="0" w:color="auto"/>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5" w:type="dxa"/>
            <w:tcBorders>
              <w:top w:val="single" w:sz="4" w:space="0" w:color="auto"/>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10.1</w:t>
            </w:r>
          </w:p>
        </w:tc>
        <w:tc>
          <w:tcPr>
            <w:tcW w:w="845" w:type="dxa"/>
            <w:tcBorders>
              <w:top w:val="single" w:sz="4" w:space="0" w:color="auto"/>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30.0</w:t>
            </w:r>
          </w:p>
        </w:tc>
        <w:tc>
          <w:tcPr>
            <w:tcW w:w="844" w:type="dxa"/>
            <w:tcBorders>
              <w:top w:val="single" w:sz="4" w:space="0" w:color="auto"/>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24.6</w:t>
            </w:r>
          </w:p>
        </w:tc>
        <w:tc>
          <w:tcPr>
            <w:tcW w:w="845" w:type="dxa"/>
            <w:tcBorders>
              <w:top w:val="single" w:sz="4" w:space="0" w:color="auto"/>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1.3</w:t>
            </w:r>
          </w:p>
        </w:tc>
        <w:tc>
          <w:tcPr>
            <w:tcW w:w="845" w:type="dxa"/>
            <w:tcBorders>
              <w:top w:val="single" w:sz="4" w:space="0" w:color="auto"/>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66.0</w:t>
            </w:r>
          </w:p>
        </w:tc>
      </w:tr>
      <w:tr w:rsidR="00E25CC6" w:rsidRPr="001101B0" w:rsidTr="00A85608">
        <w:trPr>
          <w:cantSplit/>
        </w:trPr>
        <w:tc>
          <w:tcPr>
            <w:tcW w:w="2708"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Regional Water Infrastructure</w:t>
            </w:r>
            <w:r>
              <w:rPr>
                <w:rFonts w:eastAsiaTheme="minorEastAsia"/>
                <w:color w:val="000000"/>
                <w:lang w:eastAsia="en-AU"/>
              </w:rPr>
              <w:t xml:space="preserve"> – </w:t>
            </w:r>
            <w:r w:rsidRPr="001101B0">
              <w:rPr>
                <w:rFonts w:eastAsiaTheme="minorEastAsia"/>
                <w:color w:val="000000"/>
                <w:lang w:eastAsia="en-AU"/>
              </w:rPr>
              <w:t>South Gippsland Water – Northern Towns Water Connection Project</w:t>
            </w:r>
          </w:p>
        </w:tc>
        <w:tc>
          <w:tcPr>
            <w:tcW w:w="844"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5.5</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17.4</w:t>
            </w:r>
          </w:p>
        </w:tc>
        <w:tc>
          <w:tcPr>
            <w:tcW w:w="844"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7.1</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5"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30.0</w:t>
            </w:r>
          </w:p>
        </w:tc>
      </w:tr>
      <w:tr w:rsidR="00E25CC6" w:rsidRPr="001101B0" w:rsidTr="00A85608">
        <w:trPr>
          <w:cantSplit/>
        </w:trPr>
        <w:tc>
          <w:tcPr>
            <w:tcW w:w="2708" w:type="dxa"/>
            <w:tcBorders>
              <w:top w:val="nil"/>
              <w:left w:val="nil"/>
              <w:bottom w:val="nil"/>
              <w:right w:val="nil"/>
            </w:tcBorders>
          </w:tcPr>
          <w:p w:rsidR="00E25CC6" w:rsidRPr="001101B0" w:rsidRDefault="00E25CC6" w:rsidP="001101B0">
            <w:pPr>
              <w:pStyle w:val="Tabletext"/>
              <w:rPr>
                <w:rFonts w:eastAsiaTheme="minorEastAsia"/>
                <w:color w:val="000000"/>
                <w:vertAlign w:val="superscript"/>
                <w:lang w:eastAsia="en-AU"/>
              </w:rPr>
            </w:pPr>
            <w:r w:rsidRPr="001101B0">
              <w:rPr>
                <w:rFonts w:eastAsiaTheme="minorEastAsia"/>
                <w:color w:val="000000"/>
                <w:lang w:eastAsia="en-AU"/>
              </w:rPr>
              <w:t>Regional Water Infrastructure</w:t>
            </w:r>
            <w:r>
              <w:rPr>
                <w:rFonts w:eastAsiaTheme="minorEastAsia"/>
                <w:color w:val="000000"/>
                <w:lang w:eastAsia="en-AU"/>
              </w:rPr>
              <w:t xml:space="preserve"> – </w:t>
            </w:r>
            <w:r w:rsidRPr="001101B0">
              <w:rPr>
                <w:rFonts w:eastAsiaTheme="minorEastAsia"/>
                <w:color w:val="000000"/>
                <w:lang w:eastAsia="en-AU"/>
              </w:rPr>
              <w:t>Water Infrastructure and Irrigation</w:t>
            </w:r>
            <w:r w:rsidRPr="001101B0">
              <w:rPr>
                <w:rFonts w:eastAsiaTheme="minorEastAsia"/>
                <w:color w:val="000000"/>
                <w:vertAlign w:val="superscript"/>
                <w:lang w:eastAsia="en-AU"/>
              </w:rPr>
              <w:t xml:space="preserve"> (c)</w:t>
            </w:r>
          </w:p>
        </w:tc>
        <w:tc>
          <w:tcPr>
            <w:tcW w:w="844"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16.2</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27.9</w:t>
            </w:r>
          </w:p>
        </w:tc>
        <w:tc>
          <w:tcPr>
            <w:tcW w:w="844"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22.9</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7.5</w:t>
            </w:r>
          </w:p>
        </w:tc>
        <w:tc>
          <w:tcPr>
            <w:tcW w:w="845"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74.6</w:t>
            </w:r>
          </w:p>
        </w:tc>
      </w:tr>
      <w:tr w:rsidR="00E25CC6" w:rsidRPr="001101B0" w:rsidTr="00A85608">
        <w:trPr>
          <w:cantSplit/>
        </w:trPr>
        <w:tc>
          <w:tcPr>
            <w:tcW w:w="2708"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Smart Planning Program</w:t>
            </w:r>
          </w:p>
        </w:tc>
        <w:tc>
          <w:tcPr>
            <w:tcW w:w="844"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6.3</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0.5</w:t>
            </w:r>
          </w:p>
        </w:tc>
        <w:tc>
          <w:tcPr>
            <w:tcW w:w="844"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5"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6.8</w:t>
            </w:r>
          </w:p>
        </w:tc>
      </w:tr>
      <w:tr w:rsidR="00E25CC6" w:rsidRPr="001101B0" w:rsidTr="00A85608">
        <w:trPr>
          <w:cantSplit/>
        </w:trPr>
        <w:tc>
          <w:tcPr>
            <w:tcW w:w="2708"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text"/>
              <w:rPr>
                <w:rFonts w:eastAsiaTheme="minorEastAsia"/>
                <w:b/>
                <w:bCs/>
                <w:color w:val="000000"/>
                <w:vertAlign w:val="superscript"/>
                <w:lang w:eastAsia="en-AU"/>
              </w:rPr>
            </w:pPr>
            <w:r w:rsidRPr="001101B0">
              <w:rPr>
                <w:rFonts w:eastAsiaTheme="minorEastAsia"/>
                <w:b/>
                <w:bCs/>
                <w:color w:val="000000"/>
                <w:lang w:eastAsia="en-AU"/>
              </w:rPr>
              <w:t xml:space="preserve">Total asset initiatives </w:t>
            </w:r>
            <w:r w:rsidRPr="001101B0">
              <w:rPr>
                <w:rFonts w:eastAsiaTheme="minorEastAsia"/>
                <w:b/>
                <w:bCs/>
                <w:color w:val="000000"/>
                <w:vertAlign w:val="superscript"/>
                <w:lang w:eastAsia="en-AU"/>
              </w:rPr>
              <w:t>(d)</w:t>
            </w:r>
          </w:p>
        </w:tc>
        <w:tc>
          <w:tcPr>
            <w:tcW w:w="844"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w:t>
            </w:r>
          </w:p>
        </w:tc>
        <w:tc>
          <w:tcPr>
            <w:tcW w:w="845"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38.1</w:t>
            </w:r>
          </w:p>
        </w:tc>
        <w:tc>
          <w:tcPr>
            <w:tcW w:w="845"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75.9</w:t>
            </w:r>
          </w:p>
        </w:tc>
        <w:tc>
          <w:tcPr>
            <w:tcW w:w="844"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54.6</w:t>
            </w:r>
          </w:p>
        </w:tc>
        <w:tc>
          <w:tcPr>
            <w:tcW w:w="845"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8.8</w:t>
            </w:r>
          </w:p>
        </w:tc>
        <w:tc>
          <w:tcPr>
            <w:tcW w:w="845" w:type="dxa"/>
            <w:tcBorders>
              <w:top w:val="single" w:sz="6" w:space="0" w:color="auto"/>
              <w:left w:val="nil"/>
              <w:bottom w:val="single" w:sz="12" w:space="0" w:color="auto"/>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b/>
                <w:bCs/>
                <w:color w:val="000000"/>
                <w:sz w:val="20"/>
                <w:lang w:eastAsia="en-AU"/>
              </w:rPr>
            </w:pPr>
            <w:r w:rsidRPr="001101B0">
              <w:rPr>
                <w:rFonts w:ascii="Calibri" w:eastAsiaTheme="minorEastAsia" w:hAnsi="Calibri" w:cs="Calibri"/>
                <w:b/>
                <w:bCs/>
                <w:color w:val="000000"/>
                <w:sz w:val="20"/>
                <w:lang w:eastAsia="en-AU"/>
              </w:rPr>
              <w:t xml:space="preserve"> 177.4</w:t>
            </w:r>
          </w:p>
        </w:tc>
      </w:tr>
    </w:tbl>
    <w:p w:rsidR="00E25CC6" w:rsidRDefault="00E25CC6" w:rsidP="00793A0A">
      <w:pPr>
        <w:pStyle w:val="Source"/>
      </w:pPr>
      <w:r>
        <w:t>Source: Department of Treasury and Finance</w:t>
      </w:r>
    </w:p>
    <w:p w:rsidR="00E25CC6" w:rsidRDefault="00E25CC6" w:rsidP="004C063F">
      <w:pPr>
        <w:pStyle w:val="Notes"/>
      </w:pPr>
      <w:r>
        <w:t>Notes:</w:t>
      </w:r>
    </w:p>
    <w:p w:rsidR="00E25CC6" w:rsidRDefault="00E25CC6" w:rsidP="004C063F">
      <w:pPr>
        <w:pStyle w:val="Notes"/>
      </w:pPr>
      <w:r>
        <w:t>(a)</w:t>
      </w:r>
      <w:r>
        <w:tab/>
        <w:t>Forms part of the $101 million Regional Tourism Infrastructure Fund.</w:t>
      </w:r>
    </w:p>
    <w:p w:rsidR="00E25CC6" w:rsidRDefault="00E25CC6" w:rsidP="004C063F">
      <w:pPr>
        <w:pStyle w:val="Notes"/>
      </w:pPr>
      <w:r>
        <w:t>(b)</w:t>
      </w:r>
      <w:r>
        <w:tab/>
        <w:t>Funding includes a $10 million contribution for the Penguin Parade sourced from the Phillip Island Nature Parks.</w:t>
      </w:r>
    </w:p>
    <w:p w:rsidR="00E25CC6" w:rsidRDefault="00E25CC6" w:rsidP="004C063F">
      <w:pPr>
        <w:pStyle w:val="Notes"/>
      </w:pPr>
      <w:r>
        <w:t>(c)</w:t>
      </w:r>
      <w:r>
        <w:tab/>
        <w:t>The total TEI for this project is $74.559 million, including $20 million to be funded from the Agriculture Infrastructure and Jobs Fund.</w:t>
      </w:r>
    </w:p>
    <w:p w:rsidR="00E25CC6" w:rsidRDefault="00E25CC6" w:rsidP="004C063F">
      <w:pPr>
        <w:pStyle w:val="Notes"/>
      </w:pPr>
      <w:r>
        <w:t>(d)</w:t>
      </w:r>
      <w:r>
        <w:tab/>
        <w:t>Tables may not add due to rounding.</w:t>
      </w:r>
    </w:p>
    <w:p w:rsidR="00E25CC6" w:rsidRDefault="00E25CC6">
      <w:pPr>
        <w:spacing w:after="0"/>
        <w:rPr>
          <w:rFonts w:ascii="Calibri" w:hAnsi="Calibri"/>
          <w:b/>
        </w:rPr>
      </w:pPr>
    </w:p>
    <w:p w:rsidR="00E25CC6" w:rsidRDefault="00E25CC6" w:rsidP="004C6B18">
      <w:pPr>
        <w:pStyle w:val="Heading5"/>
      </w:pPr>
      <w:r w:rsidRPr="0066343C">
        <w:t>Regional Tourism Infrastructure Fund: Enhancing Victoria</w:t>
      </w:r>
      <w:r>
        <w:t>’</w:t>
      </w:r>
      <w:r w:rsidRPr="0066343C">
        <w:t>s world class nature based tourism destinations</w:t>
      </w:r>
      <w:r>
        <w:t xml:space="preserve"> </w:t>
      </w:r>
    </w:p>
    <w:p w:rsidR="00E25CC6" w:rsidRDefault="00E25CC6" w:rsidP="004C6B18">
      <w:r w:rsidRPr="00074358">
        <w:t xml:space="preserve">The Government will </w:t>
      </w:r>
      <w:r w:rsidRPr="0017154C">
        <w:t>support regional tourism infrastructure</w:t>
      </w:r>
      <w:r>
        <w:t>,</w:t>
      </w:r>
      <w:r w:rsidRPr="0017154C">
        <w:t xml:space="preserve"> </w:t>
      </w:r>
      <w:r>
        <w:t>including a new Penguin Parade Visitor Centre to be built at Phillip Island Nature Parks. The new eco</w:t>
      </w:r>
      <w:r>
        <w:noBreakHyphen/>
        <w:t>centre will open up 8.2 hectares of prime penguin and wetland habitat, and provide modern facilities for domestic and international visitors.</w:t>
      </w:r>
    </w:p>
    <w:p w:rsidR="00E25CC6" w:rsidRDefault="00E25CC6" w:rsidP="004C6B18">
      <w:r>
        <w:t xml:space="preserve">This initiative will be funded from the $101 million Regional Tourism Infrastructure Fund. </w:t>
      </w:r>
    </w:p>
    <w:p w:rsidR="00E25CC6" w:rsidRDefault="00E25CC6" w:rsidP="004C6B18">
      <w:pPr>
        <w:rPr>
          <w:szCs w:val="22"/>
        </w:rPr>
      </w:pPr>
      <w:r>
        <w:t>This initiative contributes to the Department of Environment, Land, Water and Planning’s Management</w:t>
      </w:r>
      <w:r>
        <w:rPr>
          <w:szCs w:val="22"/>
        </w:rPr>
        <w:t xml:space="preserve"> of Forests, Parks and Public Land output.</w:t>
      </w:r>
    </w:p>
    <w:p w:rsidR="00E25CC6" w:rsidRDefault="00E25CC6" w:rsidP="00A346FB">
      <w:pPr>
        <w:pStyle w:val="Heading5"/>
      </w:pPr>
      <w:r>
        <w:t xml:space="preserve">Regional Water Infrastructure – </w:t>
      </w:r>
      <w:r w:rsidRPr="00A07CB7">
        <w:t>South Gippsland Water – Northern Towns Water Connection project</w:t>
      </w:r>
    </w:p>
    <w:p w:rsidR="00E25CC6" w:rsidRDefault="00E25CC6" w:rsidP="00A346FB">
      <w:r>
        <w:t>The Government will co</w:t>
      </w:r>
      <w:r>
        <w:noBreakHyphen/>
        <w:t xml:space="preserve">invest with South Gippsland Water to link the Gippsland towns of Korumburra, Poowong, Loch and Nyora to the Lance Creek water supply system. This will secure the water supply to these towns by providing access to the Melbourne Supply System. </w:t>
      </w:r>
    </w:p>
    <w:p w:rsidR="00E25CC6" w:rsidRDefault="00E25CC6" w:rsidP="00A346FB">
      <w:r>
        <w:t xml:space="preserve">This initiative contributes to the Department of Environment, Land, Water and Planning’s Effective Water Management and Supply output. </w:t>
      </w:r>
    </w:p>
    <w:p w:rsidR="00E25CC6" w:rsidRPr="00A70D9A" w:rsidRDefault="00E25CC6" w:rsidP="001F0AE5">
      <w:pPr>
        <w:pStyle w:val="Heading5"/>
      </w:pPr>
      <w:r w:rsidRPr="00A70D9A">
        <w:t>Regional Water Infrastructure</w:t>
      </w:r>
      <w:r>
        <w:t xml:space="preserve"> – </w:t>
      </w:r>
      <w:r w:rsidRPr="00A70D9A">
        <w:t>Water Infrastructure and Irrigation</w:t>
      </w:r>
    </w:p>
    <w:p w:rsidR="00E25CC6" w:rsidRDefault="00E25CC6" w:rsidP="00A60660">
      <w:r>
        <w:t>The Government will enhance water and irrigation infrastructure within the Macalister, Bacchus Marsh, and Werribee irrigation districts. Southern Rural Water will implement the enhancements to the irrigation districts and Grampians</w:t>
      </w:r>
      <w:r>
        <w:noBreakHyphen/>
        <w:t>Wimmera</w:t>
      </w:r>
      <w:r>
        <w:noBreakHyphen/>
        <w:t>Mallee Water will connect the South West Loddon Shire water supply. .</w:t>
      </w:r>
      <w:r>
        <w:fldChar w:fldCharType="begin"/>
      </w:r>
      <w:r>
        <w:instrText xml:space="preserve"> XE "</w:instrText>
      </w:r>
      <w:r w:rsidRPr="00873D1A">
        <w:instrText>Regional and Rural Victoria Services</w:instrText>
      </w:r>
      <w:r>
        <w:instrText xml:space="preserve">" </w:instrText>
      </w:r>
      <w:r>
        <w:fldChar w:fldCharType="end"/>
      </w:r>
    </w:p>
    <w:p w:rsidR="00E25CC6" w:rsidRDefault="00E25CC6" w:rsidP="00A60660">
      <w:pPr>
        <w:rPr>
          <w:rFonts w:asciiTheme="minorHAnsi" w:hAnsiTheme="minorHAnsi"/>
          <w:b/>
        </w:rPr>
      </w:pPr>
      <w:r>
        <w:t xml:space="preserve">This initiative contributes to the Department of Environment, Land, Water and Planning’s Effective Water Management and Supply output. </w:t>
      </w:r>
    </w:p>
    <w:p w:rsidR="00E25CC6" w:rsidRPr="00CE3529" w:rsidRDefault="00E25CC6" w:rsidP="005C3267">
      <w:pPr>
        <w:pStyle w:val="Heading5"/>
      </w:pPr>
      <w:r w:rsidRPr="00CE3529">
        <w:t xml:space="preserve">Smart Planning Program </w:t>
      </w:r>
    </w:p>
    <w:p w:rsidR="00E25CC6" w:rsidRDefault="00E25CC6" w:rsidP="005C3267">
      <w:pPr>
        <w:rPr>
          <w:lang w:eastAsia="en-AU"/>
        </w:rPr>
      </w:pPr>
      <w:r>
        <w:rPr>
          <w:lang w:eastAsia="en-AU"/>
        </w:rPr>
        <w:t xml:space="preserve">Comprehensive reform will modernise Victoria’s planning system, including </w:t>
      </w:r>
      <w:r w:rsidRPr="00CE3529">
        <w:rPr>
          <w:lang w:eastAsia="en-AU"/>
        </w:rPr>
        <w:t>building an integrated digital platform and enabling online lodgement</w:t>
      </w:r>
      <w:r>
        <w:rPr>
          <w:lang w:eastAsia="en-AU"/>
        </w:rPr>
        <w:t xml:space="preserve">. This will make planning rules simpler and more accessible for businesses and community, and create a more efficient planning system to cater for and facilitate growth. </w:t>
      </w:r>
    </w:p>
    <w:p w:rsidR="00E25CC6" w:rsidRDefault="00E25CC6" w:rsidP="005C3267">
      <w:pPr>
        <w:rPr>
          <w:lang w:eastAsia="en-AU"/>
        </w:rPr>
      </w:pPr>
      <w:r>
        <w:rPr>
          <w:lang w:eastAsia="en-AU"/>
        </w:rPr>
        <w:t>This initiative contributes to the Department of Environment, Land, Water and Planning’s Planning, Building and Heritage output.</w:t>
      </w:r>
      <w:r>
        <w:rPr>
          <w:lang w:eastAsia="en-AU"/>
        </w:rPr>
        <w:fldChar w:fldCharType="begin"/>
      </w:r>
      <w:r>
        <w:instrText xml:space="preserve"> XE "</w:instrText>
      </w:r>
      <w:r w:rsidRPr="007810D7">
        <w:instrText>Ice Action Plan – Stage 2</w:instrText>
      </w:r>
      <w:r>
        <w:instrText xml:space="preserve">" \r "IceActionWOG" </w:instrText>
      </w:r>
      <w:r>
        <w:rPr>
          <w:lang w:eastAsia="en-AU"/>
        </w:rPr>
        <w:fldChar w:fldCharType="end"/>
      </w:r>
    </w:p>
    <w:bookmarkEnd w:id="13"/>
    <w:p w:rsidR="00E25CC6" w:rsidRDefault="00E25CC6" w:rsidP="00A60660"/>
    <w:p w:rsidR="00E25CC6" w:rsidRDefault="00E25CC6">
      <w:pPr>
        <w:spacing w:after="0"/>
        <w:rPr>
          <w:rFonts w:ascii="Calibri" w:eastAsiaTheme="minorHAnsi" w:hAnsi="Calibri"/>
          <w:b/>
          <w:caps/>
          <w:sz w:val="26"/>
          <w:szCs w:val="22"/>
        </w:rPr>
      </w:pPr>
      <w:r>
        <w:rPr>
          <w:rFonts w:eastAsiaTheme="minorHAnsi"/>
        </w:rPr>
        <w:br w:type="page"/>
      </w:r>
    </w:p>
    <w:p w:rsidR="00E25CC6" w:rsidRPr="00FA2145" w:rsidRDefault="00E25CC6" w:rsidP="00FA2145">
      <w:pPr>
        <w:pStyle w:val="Heading1"/>
        <w:rPr>
          <w:rFonts w:eastAsiaTheme="minorHAnsi"/>
        </w:rPr>
      </w:pPr>
      <w:bookmarkStart w:id="15" w:name="_Toc449109426"/>
      <w:r w:rsidRPr="00FA2145">
        <w:rPr>
          <w:rFonts w:eastAsiaTheme="minorHAnsi"/>
        </w:rPr>
        <w:t>Department of Economic Development, Jobs, Transport and</w:t>
      </w:r>
      <w:r>
        <w:rPr>
          <w:rFonts w:eastAsiaTheme="minorHAnsi"/>
        </w:rPr>
        <w:t> </w:t>
      </w:r>
      <w:r w:rsidRPr="00FA2145">
        <w:rPr>
          <w:rFonts w:eastAsiaTheme="minorHAnsi"/>
        </w:rPr>
        <w:t>Resources</w:t>
      </w:r>
      <w:bookmarkEnd w:id="15"/>
    </w:p>
    <w:p w:rsidR="00E25CC6" w:rsidRDefault="00E25CC6" w:rsidP="00500A53">
      <w:pPr>
        <w:pStyle w:val="Heading3"/>
      </w:pPr>
      <w:r w:rsidRPr="00500A53">
        <w:t xml:space="preserve">Output </w:t>
      </w:r>
      <w:r>
        <w:t>initiatives</w:t>
      </w:r>
      <w:r w:rsidRPr="00500A53">
        <w:t xml:space="preserve"> </w:t>
      </w:r>
    </w:p>
    <w:p w:rsidR="00E25CC6" w:rsidRDefault="00E25CC6" w:rsidP="00FD6DB2">
      <w:pPr>
        <w:pStyle w:val="Tableheading"/>
        <w:rPr>
          <w:rFonts w:eastAsiaTheme="minorHAnsi"/>
        </w:rPr>
      </w:pPr>
      <w:bookmarkStart w:id="16" w:name="DEDJTR_OutputInit"/>
      <w:r>
        <w:t>Table 1.12:</w:t>
      </w:r>
      <w:r>
        <w:tab/>
        <w:t xml:space="preserve">Output initiatives – Department </w:t>
      </w:r>
      <w:r w:rsidRPr="00FA2145">
        <w:rPr>
          <w:rFonts w:eastAsiaTheme="minorHAnsi"/>
        </w:rPr>
        <w:t>of Economic Development, Jobs, Transport and Resources</w:t>
      </w:r>
    </w:p>
    <w:p w:rsidR="00E25CC6" w:rsidRPr="006D743E" w:rsidRDefault="00E25CC6" w:rsidP="006D743E">
      <w:pPr>
        <w:pStyle w:val="million"/>
      </w:pPr>
      <w:r w:rsidRPr="006D743E">
        <w:t>(</w:t>
      </w:r>
      <w:r w:rsidRPr="006D743E">
        <w:rPr>
          <w:rStyle w:val="millionChar"/>
          <w:i/>
        </w:rPr>
        <w:t>$ million</w:t>
      </w:r>
      <w:r w:rsidRPr="006D743E">
        <w:t>)</w:t>
      </w:r>
    </w:p>
    <w:tbl>
      <w:tblPr>
        <w:tblW w:w="7776" w:type="dxa"/>
        <w:tblInd w:w="29" w:type="dxa"/>
        <w:tblLayout w:type="fixed"/>
        <w:tblCellMar>
          <w:left w:w="43" w:type="dxa"/>
          <w:right w:w="43" w:type="dxa"/>
        </w:tblCellMar>
        <w:tblLook w:val="0000" w:firstRow="0" w:lastRow="0" w:firstColumn="0" w:lastColumn="0" w:noHBand="0" w:noVBand="0"/>
      </w:tblPr>
      <w:tblGrid>
        <w:gridCol w:w="3541"/>
        <w:gridCol w:w="847"/>
        <w:gridCol w:w="847"/>
        <w:gridCol w:w="847"/>
        <w:gridCol w:w="268"/>
        <w:gridCol w:w="283"/>
        <w:gridCol w:w="283"/>
        <w:gridCol w:w="13"/>
        <w:gridCol w:w="270"/>
        <w:gridCol w:w="283"/>
        <w:gridCol w:w="283"/>
        <w:gridCol w:w="11"/>
      </w:tblGrid>
      <w:tr w:rsidR="00E25CC6" w:rsidRPr="00AB17EC" w:rsidTr="00A85608">
        <w:trPr>
          <w:cantSplit/>
          <w:tblHeader/>
        </w:trPr>
        <w:tc>
          <w:tcPr>
            <w:tcW w:w="3541"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AB17EC">
            <w:pPr>
              <w:pStyle w:val="Tabletext"/>
              <w:rPr>
                <w:rFonts w:eastAsiaTheme="minorEastAsia"/>
                <w:lang w:eastAsia="en-AU"/>
              </w:rPr>
            </w:pP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47" w:type="dxa"/>
            <w:gridSpan w:val="4"/>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47" w:type="dxa"/>
            <w:gridSpan w:val="4"/>
            <w:tcBorders>
              <w:top w:val="single" w:sz="4" w:space="0" w:color="auto"/>
              <w:left w:val="nil"/>
              <w:bottom w:val="single" w:sz="4" w:space="0" w:color="auto"/>
              <w:right w:val="single" w:sz="4" w:space="0" w:color="auto"/>
            </w:tcBorders>
            <w:shd w:val="clear" w:color="auto" w:fill="000000"/>
          </w:tcPr>
          <w:p w:rsidR="00E25CC6" w:rsidRPr="00AB17EC" w:rsidRDefault="00E25CC6" w:rsidP="00AB17EC">
            <w:pPr>
              <w:pStyle w:val="Tabletextheading"/>
              <w:rPr>
                <w:rFonts w:eastAsiaTheme="minorEastAsia" w:cs="Calibri"/>
                <w:iCs/>
                <w:lang w:eastAsia="en-AU"/>
              </w:rPr>
            </w:pPr>
            <w:r w:rsidRPr="00AB17EC">
              <w:rPr>
                <w:rFonts w:eastAsiaTheme="minorEastAsia" w:cs="Calibri"/>
                <w:iCs/>
                <w:lang w:eastAsia="en-AU"/>
              </w:rPr>
              <w:t>2019</w:t>
            </w:r>
            <w:r>
              <w:rPr>
                <w:rFonts w:eastAsiaTheme="minorEastAsia" w:cs="Calibri"/>
                <w:iCs/>
                <w:lang w:eastAsia="en-AU"/>
              </w:rPr>
              <w:noBreakHyphen/>
            </w:r>
            <w:r w:rsidRPr="00AB17EC">
              <w:rPr>
                <w:rFonts w:eastAsiaTheme="minorEastAsia" w:cs="Calibri"/>
                <w:iCs/>
                <w:lang w:eastAsia="en-AU"/>
              </w:rPr>
              <w:t>20</w:t>
            </w:r>
          </w:p>
        </w:tc>
      </w:tr>
      <w:tr w:rsidR="00E25CC6" w:rsidRPr="00AB17EC" w:rsidTr="00A85608">
        <w:trPr>
          <w:cantSplit/>
        </w:trPr>
        <w:tc>
          <w:tcPr>
            <w:tcW w:w="3541" w:type="dxa"/>
            <w:tcBorders>
              <w:top w:val="single" w:sz="4" w:space="0" w:color="auto"/>
              <w:left w:val="nil"/>
              <w:bottom w:val="nil"/>
              <w:right w:val="nil"/>
            </w:tcBorders>
          </w:tcPr>
          <w:p w:rsidR="00E25CC6" w:rsidRPr="00AB17EC" w:rsidRDefault="00E25CC6" w:rsidP="00AB17EC">
            <w:pPr>
              <w:pStyle w:val="Tabletext"/>
              <w:rPr>
                <w:rFonts w:eastAsiaTheme="minorEastAsia"/>
                <w:b/>
                <w:bCs/>
                <w:lang w:eastAsia="en-AU"/>
              </w:rPr>
            </w:pPr>
            <w:r w:rsidRPr="00AB17EC">
              <w:rPr>
                <w:rFonts w:eastAsiaTheme="minorEastAsia"/>
                <w:b/>
                <w:bCs/>
                <w:lang w:eastAsia="en-AU"/>
              </w:rPr>
              <w:t>Creative Industries</w:t>
            </w:r>
          </w:p>
        </w:tc>
        <w:tc>
          <w:tcPr>
            <w:tcW w:w="847" w:type="dxa"/>
            <w:tcBorders>
              <w:top w:val="single" w:sz="4" w:space="0" w:color="auto"/>
              <w:left w:val="nil"/>
              <w:bottom w:val="nil"/>
              <w:right w:val="nil"/>
            </w:tcBorders>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w:t>
            </w:r>
          </w:p>
        </w:tc>
        <w:tc>
          <w:tcPr>
            <w:tcW w:w="847" w:type="dxa"/>
            <w:tcBorders>
              <w:top w:val="single" w:sz="4" w:space="0" w:color="auto"/>
              <w:left w:val="nil"/>
              <w:bottom w:val="nil"/>
              <w:right w:val="nil"/>
            </w:tcBorders>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w:t>
            </w:r>
          </w:p>
        </w:tc>
        <w:tc>
          <w:tcPr>
            <w:tcW w:w="847" w:type="dxa"/>
            <w:tcBorders>
              <w:top w:val="single" w:sz="4" w:space="0" w:color="auto"/>
              <w:left w:val="nil"/>
              <w:bottom w:val="nil"/>
              <w:right w:val="nil"/>
            </w:tcBorders>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w:t>
            </w:r>
          </w:p>
        </w:tc>
        <w:tc>
          <w:tcPr>
            <w:tcW w:w="847" w:type="dxa"/>
            <w:gridSpan w:val="4"/>
            <w:tcBorders>
              <w:top w:val="single" w:sz="4" w:space="0" w:color="auto"/>
              <w:left w:val="nil"/>
              <w:bottom w:val="nil"/>
              <w:right w:val="nil"/>
            </w:tcBorders>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w:t>
            </w:r>
          </w:p>
        </w:tc>
        <w:tc>
          <w:tcPr>
            <w:tcW w:w="847" w:type="dxa"/>
            <w:gridSpan w:val="4"/>
            <w:tcBorders>
              <w:top w:val="single" w:sz="4" w:space="0" w:color="auto"/>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 xml:space="preserve"> </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Geelong Performing Arts Centre redevelopment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0.4</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1.4</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Support for cultural agencies</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12.5</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12.5</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12.5</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12.5</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lang w:eastAsia="en-AU"/>
              </w:rPr>
            </w:pPr>
            <w:r w:rsidRPr="00AB17EC">
              <w:rPr>
                <w:rFonts w:eastAsiaTheme="minorEastAsia"/>
                <w:b/>
                <w:bCs/>
                <w:lang w:eastAsia="en-AU"/>
              </w:rPr>
              <w:t>Employment, Industry and Growth</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Delivering the Regional Statement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5.0</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Expansion of the Central Bargaining Unit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Great Ocean Road Economic and Community Bushfire Support Package</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Regional Events Fund</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5.0</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lang w:eastAsia="en-AU"/>
              </w:rPr>
            </w:pPr>
            <w:r w:rsidRPr="00AB17EC">
              <w:rPr>
                <w:rFonts w:eastAsiaTheme="minorEastAsia"/>
                <w:b/>
                <w:bCs/>
                <w:lang w:eastAsia="en-AU"/>
              </w:rPr>
              <w:t>Resources and Primary Industries</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Access to medicinal cannabis</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2.4</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1.5</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1.5</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Animal welfare reform</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1.4</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1.2</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Delivering the Government</w:t>
            </w:r>
            <w:r>
              <w:rPr>
                <w:rFonts w:eastAsiaTheme="minorEastAsia"/>
                <w:lang w:eastAsia="en-AU"/>
              </w:rPr>
              <w:t>’</w:t>
            </w:r>
            <w:r w:rsidRPr="00AB17EC">
              <w:rPr>
                <w:rFonts w:eastAsiaTheme="minorEastAsia"/>
                <w:lang w:eastAsia="en-AU"/>
              </w:rPr>
              <w:t>s commitments to recreational fishers</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25.8</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3.0</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3.0</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3.0</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Fox and Wild Dog Management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1.8</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1.1</w:t>
            </w:r>
          </w:p>
        </w:tc>
      </w:tr>
      <w:tr w:rsidR="00E25CC6" w:rsidRPr="00AB17EC" w:rsidTr="00A85608">
        <w:trPr>
          <w:cantSplit/>
        </w:trPr>
        <w:tc>
          <w:tcPr>
            <w:tcW w:w="3541" w:type="dxa"/>
            <w:tcBorders>
              <w:top w:val="nil"/>
              <w:left w:val="nil"/>
              <w:bottom w:val="nil"/>
              <w:right w:val="nil"/>
            </w:tcBorders>
          </w:tcPr>
          <w:p w:rsidR="00E25CC6" w:rsidRPr="00AB17EC" w:rsidRDefault="00E25CC6" w:rsidP="00A85608">
            <w:pPr>
              <w:pStyle w:val="Tabletext"/>
              <w:rPr>
                <w:rFonts w:eastAsiaTheme="minorEastAsia"/>
                <w:vertAlign w:val="superscript"/>
                <w:lang w:eastAsia="en-AU"/>
              </w:rPr>
            </w:pPr>
            <w:r w:rsidRPr="00AB17EC">
              <w:rPr>
                <w:rFonts w:eastAsiaTheme="minorEastAsia"/>
                <w:lang w:eastAsia="en-AU"/>
              </w:rPr>
              <w:t>Guaranteeing Victoria</w:t>
            </w:r>
            <w:r>
              <w:rPr>
                <w:rFonts w:eastAsiaTheme="minorEastAsia"/>
                <w:lang w:eastAsia="en-AU"/>
              </w:rPr>
              <w:t>’</w:t>
            </w:r>
            <w:r w:rsidRPr="00AB17EC">
              <w:rPr>
                <w:rFonts w:eastAsiaTheme="minorEastAsia"/>
                <w:lang w:eastAsia="en-AU"/>
              </w:rPr>
              <w:t>s food export future</w:t>
            </w:r>
            <w:r>
              <w:rPr>
                <w:rFonts w:eastAsiaTheme="minorEastAsia"/>
                <w:lang w:eastAsia="en-AU"/>
              </w:rPr>
              <w:t> </w:t>
            </w:r>
            <w:r w:rsidRPr="00AB17EC">
              <w:rPr>
                <w:rFonts w:eastAsiaTheme="minorEastAsia"/>
                <w:lang w:eastAsia="en-AU"/>
              </w:rPr>
              <w:t>– Biosecurity</w:t>
            </w:r>
            <w:r w:rsidRPr="00AB17EC">
              <w:rPr>
                <w:rFonts w:eastAsiaTheme="minorEastAsia"/>
                <w:vertAlign w:val="superscript"/>
                <w:lang w:eastAsia="en-AU"/>
              </w:rPr>
              <w:t xml:space="preserve"> (a)</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0.0</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0.0</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0.0</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Guaranteeing Victoria</w:t>
            </w:r>
            <w:r>
              <w:rPr>
                <w:rFonts w:eastAsiaTheme="minorEastAsia"/>
                <w:lang w:eastAsia="en-AU"/>
              </w:rPr>
              <w:t>’</w:t>
            </w:r>
            <w:r w:rsidRPr="00AB17EC">
              <w:rPr>
                <w:rFonts w:eastAsiaTheme="minorEastAsia"/>
                <w:lang w:eastAsia="en-AU"/>
              </w:rPr>
              <w:t>s Food Future</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Modernising earth resources management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2.4</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1.4</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0.5</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Rural Financial Counselling Service</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Sustainable Hunting Action Plan</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1.1</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0.4</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0.3</w:t>
            </w:r>
          </w:p>
        </w:tc>
      </w:tr>
      <w:tr w:rsidR="00E25CC6" w:rsidRPr="00AB17EC" w:rsidTr="00A85608">
        <w:trPr>
          <w:gridAfter w:val="1"/>
          <w:wAfter w:w="11" w:type="dxa"/>
          <w:cantSplit/>
        </w:trPr>
        <w:tc>
          <w:tcPr>
            <w:tcW w:w="6350" w:type="dxa"/>
            <w:gridSpan w:val="5"/>
            <w:tcBorders>
              <w:top w:val="nil"/>
              <w:left w:val="nil"/>
              <w:bottom w:val="nil"/>
              <w:right w:val="nil"/>
            </w:tcBorders>
          </w:tcPr>
          <w:p w:rsidR="00E25CC6" w:rsidRPr="00AB17EC" w:rsidRDefault="00E25CC6" w:rsidP="00AB17EC">
            <w:pPr>
              <w:pStyle w:val="Tabletext"/>
              <w:rPr>
                <w:rFonts w:eastAsiaTheme="minorEastAsia"/>
                <w:b/>
                <w:bCs/>
                <w:lang w:eastAsia="en-AU"/>
              </w:rPr>
            </w:pPr>
            <w:r w:rsidRPr="00AB17EC">
              <w:rPr>
                <w:rFonts w:eastAsiaTheme="minorEastAsia"/>
                <w:b/>
                <w:bCs/>
                <w:lang w:eastAsia="en-AU"/>
              </w:rPr>
              <w:t>Transport Network Safety, Operation and Development</w:t>
            </w:r>
          </w:p>
        </w:tc>
        <w:tc>
          <w:tcPr>
            <w:tcW w:w="28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gridSpan w:val="2"/>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283"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Active Transport Victoria</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1.1</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1.1</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1.1</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Port of Melbourne Lease</w:t>
            </w:r>
            <w:r>
              <w:rPr>
                <w:rFonts w:eastAsiaTheme="minorEastAsia"/>
                <w:lang w:eastAsia="en-AU"/>
              </w:rPr>
              <w:t xml:space="preserve"> – </w:t>
            </w:r>
            <w:r w:rsidRPr="00AB17EC">
              <w:rPr>
                <w:rFonts w:eastAsiaTheme="minorEastAsia"/>
                <w:lang w:eastAsia="en-AU"/>
              </w:rPr>
              <w:t>Port Lessor Resourcing</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2.6</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2.6</w:t>
            </w:r>
          </w:p>
        </w:tc>
        <w:tc>
          <w:tcPr>
            <w:tcW w:w="847"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47"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1.6</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Port Phillip Bay environs grants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6.0</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4.0</w:t>
            </w:r>
          </w:p>
        </w:tc>
        <w:tc>
          <w:tcPr>
            <w:tcW w:w="847"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 xml:space="preserve">Railway Station Car Parking Fund </w:t>
            </w:r>
            <w:r w:rsidRPr="00AB17EC">
              <w:rPr>
                <w:rFonts w:eastAsiaTheme="minorEastAsia"/>
                <w:vertAlign w:val="superscript"/>
                <w:lang w:eastAsia="en-AU"/>
              </w:rPr>
              <w:t>(b)</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0.0</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0.1</w:t>
            </w:r>
          </w:p>
        </w:tc>
        <w:tc>
          <w:tcPr>
            <w:tcW w:w="847"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0.2</w:t>
            </w:r>
          </w:p>
        </w:tc>
        <w:tc>
          <w:tcPr>
            <w:tcW w:w="847"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0.2</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Registration system upgrades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3.1</w:t>
            </w:r>
          </w:p>
        </w:tc>
        <w:tc>
          <w:tcPr>
            <w:tcW w:w="847"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 xml:space="preserve">Road and Rail Minor Works </w:t>
            </w:r>
            <w:r>
              <w:rPr>
                <w:rFonts w:eastAsiaTheme="minorEastAsia"/>
                <w:vertAlign w:val="superscript"/>
                <w:lang w:eastAsia="en-AU"/>
              </w:rPr>
              <w:t>(c)</w:t>
            </w:r>
            <w:r w:rsidRPr="00AB17EC">
              <w:rPr>
                <w:rFonts w:eastAsiaTheme="minorEastAsia"/>
                <w:vertAlign w:val="superscript"/>
                <w:lang w:eastAsia="en-AU"/>
              </w:rPr>
              <w:t>(d)</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0.1</w:t>
            </w:r>
          </w:p>
        </w:tc>
        <w:tc>
          <w:tcPr>
            <w:tcW w:w="847"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0.6</w:t>
            </w:r>
          </w:p>
        </w:tc>
        <w:tc>
          <w:tcPr>
            <w:tcW w:w="847"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0.6</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Road Restoration and Road Surface Replacement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81.8</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0.1</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Road Safety</w:t>
            </w:r>
            <w:r>
              <w:rPr>
                <w:rFonts w:eastAsiaTheme="minorEastAsia"/>
                <w:lang w:eastAsia="en-AU"/>
              </w:rPr>
              <w:t xml:space="preserve"> </w:t>
            </w:r>
            <w:r>
              <w:rPr>
                <w:rFonts w:eastAsiaTheme="minorEastAsia"/>
                <w:vertAlign w:val="superscript"/>
                <w:lang w:eastAsia="en-AU"/>
              </w:rPr>
              <w:t>(e)</w:t>
            </w:r>
            <w:r w:rsidRPr="00AB17EC">
              <w:rPr>
                <w:rFonts w:eastAsiaTheme="minorEastAsia"/>
                <w:vertAlign w:val="superscript"/>
                <w:lang w:eastAsia="en-AU"/>
              </w:rPr>
              <w:t>(f)</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0.1</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25.1</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44.8</w:t>
            </w:r>
          </w:p>
        </w:tc>
        <w:tc>
          <w:tcPr>
            <w:tcW w:w="847"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57.6</w:t>
            </w:r>
          </w:p>
        </w:tc>
        <w:tc>
          <w:tcPr>
            <w:tcW w:w="847"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22.0</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The remaking of sunsetting road regulations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0.1</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1.3</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gridSpan w:val="4"/>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4.8</w:t>
            </w:r>
          </w:p>
        </w:tc>
        <w:tc>
          <w:tcPr>
            <w:tcW w:w="847"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1.2</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Victorian Transport Association Logistics Cadetship Program</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gridSpan w:val="4"/>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bl>
    <w:p w:rsidR="00E25CC6" w:rsidRDefault="00E25CC6"/>
    <w:p w:rsidR="00E25CC6" w:rsidRDefault="00E25CC6" w:rsidP="006D743E">
      <w:pPr>
        <w:pStyle w:val="Tableheading"/>
        <w:rPr>
          <w:rFonts w:eastAsiaTheme="minorHAnsi"/>
        </w:rPr>
      </w:pPr>
      <w:r>
        <w:t>Table 1.12:</w:t>
      </w:r>
      <w:r>
        <w:tab/>
        <w:t xml:space="preserve">Output initiatives – Department </w:t>
      </w:r>
      <w:r w:rsidRPr="00FA2145">
        <w:rPr>
          <w:rFonts w:eastAsiaTheme="minorHAnsi"/>
        </w:rPr>
        <w:t>of Economic Development, Jobs, Transport and Resources</w:t>
      </w:r>
      <w:r>
        <w:rPr>
          <w:rFonts w:eastAsiaTheme="minorHAnsi"/>
        </w:rPr>
        <w:t xml:space="preserve"> </w:t>
      </w:r>
      <w:r w:rsidRPr="006D743E">
        <w:rPr>
          <w:rFonts w:eastAsiaTheme="minorHAnsi"/>
          <w:i/>
        </w:rPr>
        <w:t>(continued)</w:t>
      </w:r>
    </w:p>
    <w:p w:rsidR="00E25CC6" w:rsidRPr="006D743E" w:rsidRDefault="00E25CC6" w:rsidP="006D743E">
      <w:pPr>
        <w:pStyle w:val="million"/>
      </w:pPr>
      <w:r w:rsidRPr="006D743E">
        <w:t>(</w:t>
      </w:r>
      <w:r w:rsidRPr="006D743E">
        <w:rPr>
          <w:rStyle w:val="millionChar"/>
          <w:i/>
        </w:rPr>
        <w:t>$ million</w:t>
      </w:r>
      <w:r w:rsidRPr="006D743E">
        <w:t>)</w:t>
      </w:r>
    </w:p>
    <w:tbl>
      <w:tblPr>
        <w:tblW w:w="7776" w:type="dxa"/>
        <w:tblInd w:w="29" w:type="dxa"/>
        <w:tblLayout w:type="fixed"/>
        <w:tblCellMar>
          <w:left w:w="43" w:type="dxa"/>
          <w:right w:w="43" w:type="dxa"/>
        </w:tblCellMar>
        <w:tblLook w:val="0000" w:firstRow="0" w:lastRow="0" w:firstColumn="0" w:lastColumn="0" w:noHBand="0" w:noVBand="0"/>
      </w:tblPr>
      <w:tblGrid>
        <w:gridCol w:w="3541"/>
        <w:gridCol w:w="847"/>
        <w:gridCol w:w="847"/>
        <w:gridCol w:w="847"/>
        <w:gridCol w:w="847"/>
        <w:gridCol w:w="847"/>
      </w:tblGrid>
      <w:tr w:rsidR="00E25CC6" w:rsidRPr="00AB17EC" w:rsidTr="00237767">
        <w:trPr>
          <w:cantSplit/>
          <w:tblHeader/>
        </w:trPr>
        <w:tc>
          <w:tcPr>
            <w:tcW w:w="3541"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237767">
            <w:pPr>
              <w:pStyle w:val="Tabletext"/>
              <w:rPr>
                <w:rFonts w:eastAsiaTheme="minorEastAsia"/>
                <w:lang w:eastAsia="en-AU"/>
              </w:rPr>
            </w:pP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47" w:type="dxa"/>
            <w:tcBorders>
              <w:top w:val="single" w:sz="4" w:space="0" w:color="auto"/>
              <w:left w:val="nil"/>
              <w:bottom w:val="single" w:sz="4" w:space="0" w:color="auto"/>
              <w:right w:val="single" w:sz="4" w:space="0" w:color="auto"/>
            </w:tcBorders>
            <w:shd w:val="clear" w:color="auto" w:fill="000000"/>
          </w:tcPr>
          <w:p w:rsidR="00E25CC6" w:rsidRPr="00AB17EC" w:rsidRDefault="00E25CC6" w:rsidP="00237767">
            <w:pPr>
              <w:pStyle w:val="Tabletextheading"/>
              <w:rPr>
                <w:rFonts w:eastAsiaTheme="minorEastAsia" w:cs="Calibri"/>
                <w:iCs/>
                <w:lang w:eastAsia="en-AU"/>
              </w:rPr>
            </w:pPr>
            <w:r w:rsidRPr="00AB17EC">
              <w:rPr>
                <w:rFonts w:eastAsiaTheme="minorEastAsia" w:cs="Calibri"/>
                <w:iCs/>
                <w:lang w:eastAsia="en-AU"/>
              </w:rPr>
              <w:t>2019</w:t>
            </w:r>
            <w:r>
              <w:rPr>
                <w:rFonts w:eastAsiaTheme="minorEastAsia" w:cs="Calibri"/>
                <w:iCs/>
                <w:lang w:eastAsia="en-AU"/>
              </w:rPr>
              <w:noBreakHyphen/>
            </w:r>
            <w:r w:rsidRPr="00AB17EC">
              <w:rPr>
                <w:rFonts w:eastAsiaTheme="minorEastAsia" w:cs="Calibri"/>
                <w:iCs/>
                <w:lang w:eastAsia="en-AU"/>
              </w:rPr>
              <w:t>20</w:t>
            </w:r>
          </w:p>
        </w:tc>
      </w:tr>
      <w:tr w:rsidR="00E25CC6" w:rsidRPr="00AB17EC" w:rsidTr="00A85608">
        <w:trPr>
          <w:cantSplit/>
        </w:trPr>
        <w:tc>
          <w:tcPr>
            <w:tcW w:w="3541" w:type="dxa"/>
            <w:tcBorders>
              <w:top w:val="nil"/>
              <w:left w:val="nil"/>
              <w:bottom w:val="nil"/>
              <w:right w:val="nil"/>
            </w:tcBorders>
          </w:tcPr>
          <w:p w:rsidR="00E25CC6" w:rsidRPr="00AB17EC" w:rsidRDefault="00E25CC6" w:rsidP="00A85608">
            <w:pPr>
              <w:pStyle w:val="Tabletext"/>
              <w:keepNext/>
              <w:rPr>
                <w:rFonts w:eastAsiaTheme="minorEastAsia"/>
                <w:b/>
                <w:bCs/>
                <w:i/>
                <w:iCs/>
                <w:lang w:eastAsia="en-AU"/>
              </w:rPr>
            </w:pPr>
            <w:r w:rsidRPr="00AB17EC">
              <w:rPr>
                <w:rFonts w:eastAsiaTheme="minorEastAsia"/>
                <w:b/>
                <w:bCs/>
                <w:i/>
                <w:iCs/>
                <w:lang w:eastAsia="en-AU"/>
              </w:rPr>
              <w:t>Metropolitan Roads</w:t>
            </w:r>
          </w:p>
        </w:tc>
        <w:tc>
          <w:tcPr>
            <w:tcW w:w="847" w:type="dxa"/>
            <w:tcBorders>
              <w:top w:val="nil"/>
              <w:left w:val="nil"/>
              <w:bottom w:val="nil"/>
              <w:right w:val="nil"/>
            </w:tcBorders>
          </w:tcPr>
          <w:p w:rsidR="00E25CC6" w:rsidRPr="00AB17EC" w:rsidRDefault="00E25CC6" w:rsidP="00A85608">
            <w:pPr>
              <w:pStyle w:val="TableofFigures"/>
              <w:keepNext/>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85608">
            <w:pPr>
              <w:pStyle w:val="TableofFigures"/>
              <w:keepNext/>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85608">
            <w:pPr>
              <w:pStyle w:val="TableofFigures"/>
              <w:keepNext/>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85608">
            <w:pPr>
              <w:pStyle w:val="TableofFigures"/>
              <w:keepNext/>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85608">
            <w:pPr>
              <w:keepNext/>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 xml:space="preserve">Bolton Street Upgrade (Main Road to Bridge Street) </w:t>
            </w:r>
            <w:r w:rsidRPr="00AB17EC">
              <w:rPr>
                <w:rFonts w:eastAsiaTheme="minorEastAsia"/>
                <w:vertAlign w:val="superscript"/>
                <w:lang w:eastAsia="en-AU"/>
              </w:rPr>
              <w:t>(c)</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1.8</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2.8</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Monash freeway graffiti removal</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O</w:t>
            </w:r>
            <w:r>
              <w:rPr>
                <w:rFonts w:eastAsiaTheme="minorEastAsia"/>
                <w:lang w:eastAsia="en-AU"/>
              </w:rPr>
              <w:t>’</w:t>
            </w:r>
            <w:r w:rsidRPr="00AB17EC">
              <w:rPr>
                <w:rFonts w:eastAsiaTheme="minorEastAsia"/>
                <w:lang w:eastAsia="en-AU"/>
              </w:rPr>
              <w:t>Herns Road upgrade</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1.3</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1.3</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 xml:space="preserve">Outer suburban arterial roads package </w:t>
            </w:r>
            <w:r w:rsidRPr="00AB17EC">
              <w:rPr>
                <w:rFonts w:eastAsiaTheme="minorEastAsia"/>
                <w:vertAlign w:val="superscript"/>
                <w:lang w:eastAsia="en-AU"/>
              </w:rPr>
              <w:t>(g)</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tbc</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tbc</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tbc</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tbc</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Streamlining Hoddle Street</w:t>
            </w:r>
            <w:r w:rsidRPr="00AB17EC">
              <w:rPr>
                <w:rFonts w:eastAsiaTheme="minorEastAsia"/>
                <w:vertAlign w:val="superscript"/>
                <w:lang w:eastAsia="en-AU"/>
              </w:rPr>
              <w:t xml:space="preserve"> (c)</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1.4</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 xml:space="preserve">Thompsons Road duplication </w:t>
            </w:r>
            <w:r w:rsidRPr="00AB17EC">
              <w:rPr>
                <w:rFonts w:eastAsiaTheme="minorEastAsia"/>
                <w:vertAlign w:val="superscript"/>
                <w:lang w:eastAsia="en-AU"/>
              </w:rPr>
              <w:t>(c)</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1.4</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3.1</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1.7</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VicRoads</w:t>
            </w:r>
            <w:r>
              <w:rPr>
                <w:rFonts w:eastAsiaTheme="minorEastAsia"/>
                <w:lang w:eastAsia="en-AU"/>
              </w:rPr>
              <w:t>’</w:t>
            </w:r>
            <w:r w:rsidRPr="00AB17EC">
              <w:rPr>
                <w:rFonts w:eastAsiaTheme="minorEastAsia"/>
                <w:lang w:eastAsia="en-AU"/>
              </w:rPr>
              <w:t xml:space="preserve"> Incident Response Service</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2.5</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West Gate Bridge maintenance</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4.1</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 xml:space="preserve">Yan Yean Road duplication </w:t>
            </w:r>
            <w:r w:rsidRPr="00AB17EC">
              <w:rPr>
                <w:rFonts w:eastAsiaTheme="minorEastAsia"/>
                <w:vertAlign w:val="superscript"/>
                <w:lang w:eastAsia="en-AU"/>
              </w:rPr>
              <w:t>(c)</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1.5</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1.0</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b/>
                <w:bCs/>
                <w:i/>
                <w:iCs/>
                <w:lang w:eastAsia="en-AU"/>
              </w:rPr>
            </w:pPr>
            <w:r w:rsidRPr="00AB17EC">
              <w:rPr>
                <w:rFonts w:eastAsiaTheme="minorEastAsia"/>
                <w:b/>
                <w:bCs/>
                <w:i/>
                <w:iCs/>
                <w:lang w:eastAsia="en-AU"/>
              </w:rPr>
              <w:t>Regional Roads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Building our regions</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0.5</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Drysdale Bypass</w:t>
            </w:r>
            <w:r w:rsidRPr="00AB17EC">
              <w:rPr>
                <w:rFonts w:eastAsiaTheme="minorEastAsia"/>
                <w:vertAlign w:val="superscript"/>
                <w:lang w:eastAsia="en-AU"/>
              </w:rPr>
              <w:t xml:space="preserve"> (c)</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0.2</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1.1</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1.6</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1.3</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Geelong Ring Road extension planning</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Midland Highway/Napier Street Improvement works</w:t>
            </w:r>
            <w:r w:rsidRPr="00AB17EC">
              <w:rPr>
                <w:rFonts w:eastAsiaTheme="minorEastAsia"/>
                <w:vertAlign w:val="superscript"/>
                <w:lang w:eastAsia="en-AU"/>
              </w:rPr>
              <w:t xml:space="preserve"> (c)</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0.1</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0.2</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Murray River Bridges</w:t>
            </w:r>
            <w:r>
              <w:rPr>
                <w:rFonts w:eastAsiaTheme="minorEastAsia"/>
                <w:lang w:eastAsia="en-AU"/>
              </w:rPr>
              <w:t xml:space="preserve"> – </w:t>
            </w:r>
            <w:r w:rsidRPr="00AB17EC">
              <w:rPr>
                <w:rFonts w:eastAsiaTheme="minorEastAsia"/>
                <w:lang w:eastAsia="en-AU"/>
              </w:rPr>
              <w:t xml:space="preserve">Tooleybuc Bridge </w:t>
            </w:r>
            <w:r w:rsidRPr="00AB17EC">
              <w:rPr>
                <w:rFonts w:eastAsiaTheme="minorEastAsia"/>
                <w:vertAlign w:val="superscript"/>
                <w:lang w:eastAsia="en-AU"/>
              </w:rPr>
              <w:t>(h)</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0.8</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0.4</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vertAlign w:val="superscript"/>
                <w:lang w:eastAsia="en-AU"/>
              </w:rPr>
            </w:pPr>
            <w:r w:rsidRPr="00AB17EC">
              <w:rPr>
                <w:rFonts w:eastAsiaTheme="minorEastAsia"/>
                <w:lang w:eastAsia="en-AU"/>
              </w:rPr>
              <w:t xml:space="preserve">Napier Street Bendigo Duplication </w:t>
            </w:r>
            <w:r w:rsidRPr="00AB17EC">
              <w:rPr>
                <w:rFonts w:eastAsiaTheme="minorEastAsia"/>
                <w:vertAlign w:val="superscript"/>
                <w:lang w:eastAsia="en-AU"/>
              </w:rPr>
              <w:t>(i)</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0.0</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0.2</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0.1</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Regional overtaking lanes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0.2</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1.0</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1.4</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1.0</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b/>
                <w:bCs/>
                <w:i/>
                <w:iCs/>
                <w:lang w:eastAsia="en-AU"/>
              </w:rPr>
            </w:pPr>
            <w:r w:rsidRPr="00AB17EC">
              <w:rPr>
                <w:rFonts w:eastAsiaTheme="minorEastAsia"/>
                <w:b/>
                <w:bCs/>
                <w:i/>
                <w:iCs/>
                <w:lang w:eastAsia="en-AU"/>
              </w:rPr>
              <w:t>Metropolitan Public Transport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3541" w:type="dxa"/>
            <w:tcBorders>
              <w:top w:val="nil"/>
              <w:left w:val="nil"/>
              <w:bottom w:val="nil"/>
              <w:right w:val="nil"/>
            </w:tcBorders>
          </w:tcPr>
          <w:p w:rsidR="00E25CC6" w:rsidRPr="00AB17EC" w:rsidRDefault="00E25CC6" w:rsidP="00A85608">
            <w:pPr>
              <w:pStyle w:val="Tabletext"/>
              <w:rPr>
                <w:rFonts w:eastAsiaTheme="minorEastAsia"/>
                <w:lang w:eastAsia="en-AU"/>
              </w:rPr>
            </w:pPr>
            <w:r w:rsidRPr="00AB17EC">
              <w:rPr>
                <w:rFonts w:eastAsiaTheme="minorEastAsia"/>
                <w:lang w:eastAsia="en-AU"/>
              </w:rPr>
              <w:t>Additional X</w:t>
            </w:r>
            <w:r>
              <w:rPr>
                <w:rFonts w:eastAsiaTheme="minorEastAsia"/>
                <w:lang w:eastAsia="en-AU"/>
              </w:rPr>
              <w:t>’</w:t>
            </w:r>
            <w:r w:rsidRPr="00AB17EC">
              <w:rPr>
                <w:rFonts w:eastAsiaTheme="minorEastAsia"/>
                <w:lang w:eastAsia="en-AU"/>
              </w:rPr>
              <w:t>Trapolis trains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0.7</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2.2</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2.2</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2.3</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City Loop fire and safety upgrade (Stage 2) including intruder alarm</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0.4</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0.6</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Hurstbridge Corridor Upgrade</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1.2</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1.2</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1.3</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Melbourne Bike Share</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2.4</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More bus services sooner</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4.3</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9.0</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1.5</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More metropolitan train services</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11.6</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7.5</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7.8</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8.1</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New bus services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2.6</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2.5</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lang w:eastAsia="en-AU"/>
              </w:rPr>
            </w:pPr>
            <w:r w:rsidRPr="00AB17EC">
              <w:rPr>
                <w:rFonts w:eastAsiaTheme="minorEastAsia"/>
                <w:lang w:eastAsia="en-AU"/>
              </w:rPr>
              <w:t>Westgate Punt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0.3</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0.3</w:t>
            </w:r>
          </w:p>
        </w:tc>
      </w:tr>
      <w:tr w:rsidR="00E25CC6" w:rsidRPr="00AB17EC" w:rsidTr="00A85608">
        <w:trPr>
          <w:cantSplit/>
        </w:trPr>
        <w:tc>
          <w:tcPr>
            <w:tcW w:w="3541" w:type="dxa"/>
            <w:tcBorders>
              <w:top w:val="nil"/>
              <w:left w:val="nil"/>
              <w:bottom w:val="nil"/>
              <w:right w:val="nil"/>
            </w:tcBorders>
            <w:shd w:val="solid" w:color="FFFFFF" w:fill="auto"/>
          </w:tcPr>
          <w:p w:rsidR="00E25CC6" w:rsidRPr="00AB17EC" w:rsidRDefault="00E25CC6" w:rsidP="00AB17EC">
            <w:pPr>
              <w:pStyle w:val="Tabletext"/>
              <w:rPr>
                <w:rFonts w:eastAsiaTheme="minorEastAsia"/>
                <w:b/>
                <w:bCs/>
                <w:i/>
                <w:iCs/>
                <w:lang w:eastAsia="en-AU"/>
              </w:rPr>
            </w:pPr>
            <w:r w:rsidRPr="00AB17EC">
              <w:rPr>
                <w:rFonts w:eastAsiaTheme="minorEastAsia"/>
                <w:b/>
                <w:bCs/>
                <w:i/>
                <w:iCs/>
                <w:lang w:eastAsia="en-AU"/>
              </w:rPr>
              <w:t>Regional Public Transport</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Additional off</w:t>
            </w:r>
            <w:r>
              <w:rPr>
                <w:rFonts w:eastAsiaTheme="minorEastAsia"/>
                <w:lang w:eastAsia="en-AU"/>
              </w:rPr>
              <w:noBreakHyphen/>
            </w:r>
            <w:r w:rsidRPr="00AB17EC">
              <w:rPr>
                <w:rFonts w:eastAsiaTheme="minorEastAsia"/>
                <w:lang w:eastAsia="en-AU"/>
              </w:rPr>
              <w:t>peak services from Melbourne to Ballarat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2.8</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5.7</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5.8</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Additional off</w:t>
            </w:r>
            <w:r>
              <w:rPr>
                <w:rFonts w:eastAsiaTheme="minorEastAsia"/>
                <w:lang w:eastAsia="en-AU"/>
              </w:rPr>
              <w:noBreakHyphen/>
            </w:r>
            <w:r w:rsidRPr="00AB17EC">
              <w:rPr>
                <w:rFonts w:eastAsiaTheme="minorEastAsia"/>
                <w:lang w:eastAsia="en-AU"/>
              </w:rPr>
              <w:t>peak services from Melbourne to Bendigo</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4.6</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9.2</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9.5</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9.7</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Additional off</w:t>
            </w:r>
            <w:r>
              <w:rPr>
                <w:rFonts w:eastAsiaTheme="minorEastAsia"/>
                <w:lang w:eastAsia="en-AU"/>
              </w:rPr>
              <w:noBreakHyphen/>
            </w:r>
            <w:r w:rsidRPr="00AB17EC">
              <w:rPr>
                <w:rFonts w:eastAsiaTheme="minorEastAsia"/>
                <w:lang w:eastAsia="en-AU"/>
              </w:rPr>
              <w:t>peak services from Melbourne to Geelong</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4.9</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5.0</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5.2</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Additional off</w:t>
            </w:r>
            <w:r>
              <w:rPr>
                <w:rFonts w:eastAsiaTheme="minorEastAsia"/>
                <w:lang w:eastAsia="en-AU"/>
              </w:rPr>
              <w:noBreakHyphen/>
            </w:r>
            <w:r w:rsidRPr="00AB17EC">
              <w:rPr>
                <w:rFonts w:eastAsiaTheme="minorEastAsia"/>
                <w:lang w:eastAsia="en-AU"/>
              </w:rPr>
              <w:t>peak services from Melbourne to Traralgon</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4.2</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8.3</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8.5</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8.7</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Ballarat rail upgrade</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1.7</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More regional trains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5.7</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20.5</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25.4</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Planning the next regional rail upgrades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w:t>
            </w:r>
          </w:p>
        </w:tc>
      </w:tr>
    </w:tbl>
    <w:p w:rsidR="00E25CC6" w:rsidRDefault="00E25CC6"/>
    <w:p w:rsidR="00E25CC6" w:rsidRDefault="00E25CC6" w:rsidP="006D743E">
      <w:pPr>
        <w:pStyle w:val="Tableheading"/>
        <w:rPr>
          <w:rFonts w:eastAsiaTheme="minorHAnsi"/>
        </w:rPr>
      </w:pPr>
      <w:r>
        <w:t>Table 1.12:</w:t>
      </w:r>
      <w:r>
        <w:tab/>
        <w:t xml:space="preserve">Output initiatives – Department </w:t>
      </w:r>
      <w:r w:rsidRPr="00FA2145">
        <w:rPr>
          <w:rFonts w:eastAsiaTheme="minorHAnsi"/>
        </w:rPr>
        <w:t>of Economic Development, Jobs, Transport and Resources</w:t>
      </w:r>
      <w:r>
        <w:rPr>
          <w:rFonts w:eastAsiaTheme="minorHAnsi"/>
        </w:rPr>
        <w:t xml:space="preserve"> </w:t>
      </w:r>
      <w:r w:rsidRPr="006D743E">
        <w:rPr>
          <w:rFonts w:eastAsiaTheme="minorHAnsi"/>
          <w:i/>
        </w:rPr>
        <w:t>(continued)</w:t>
      </w:r>
    </w:p>
    <w:p w:rsidR="00E25CC6" w:rsidRPr="006D743E" w:rsidRDefault="00E25CC6" w:rsidP="006D743E">
      <w:pPr>
        <w:pStyle w:val="million"/>
      </w:pPr>
      <w:r w:rsidRPr="006D743E">
        <w:t>(</w:t>
      </w:r>
      <w:r w:rsidRPr="006D743E">
        <w:rPr>
          <w:rStyle w:val="millionChar"/>
          <w:i/>
        </w:rPr>
        <w:t>$ million</w:t>
      </w:r>
      <w:r w:rsidRPr="006D743E">
        <w:t>)</w:t>
      </w:r>
    </w:p>
    <w:tbl>
      <w:tblPr>
        <w:tblW w:w="7776" w:type="dxa"/>
        <w:tblInd w:w="29" w:type="dxa"/>
        <w:tblLayout w:type="fixed"/>
        <w:tblCellMar>
          <w:left w:w="43" w:type="dxa"/>
          <w:right w:w="43" w:type="dxa"/>
        </w:tblCellMar>
        <w:tblLook w:val="0000" w:firstRow="0" w:lastRow="0" w:firstColumn="0" w:lastColumn="0" w:noHBand="0" w:noVBand="0"/>
      </w:tblPr>
      <w:tblGrid>
        <w:gridCol w:w="3541"/>
        <w:gridCol w:w="847"/>
        <w:gridCol w:w="847"/>
        <w:gridCol w:w="847"/>
        <w:gridCol w:w="847"/>
        <w:gridCol w:w="847"/>
      </w:tblGrid>
      <w:tr w:rsidR="00E25CC6" w:rsidRPr="00AB17EC" w:rsidTr="00237767">
        <w:trPr>
          <w:cantSplit/>
          <w:tblHeader/>
        </w:trPr>
        <w:tc>
          <w:tcPr>
            <w:tcW w:w="3541"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237767">
            <w:pPr>
              <w:pStyle w:val="Tabletext"/>
              <w:rPr>
                <w:rFonts w:eastAsiaTheme="minorEastAsia"/>
                <w:lang w:eastAsia="en-AU"/>
              </w:rPr>
            </w:pP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4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47" w:type="dxa"/>
            <w:tcBorders>
              <w:top w:val="single" w:sz="4" w:space="0" w:color="auto"/>
              <w:left w:val="nil"/>
              <w:bottom w:val="single" w:sz="4" w:space="0" w:color="auto"/>
              <w:right w:val="single" w:sz="4" w:space="0" w:color="auto"/>
            </w:tcBorders>
            <w:shd w:val="clear" w:color="auto" w:fill="000000"/>
          </w:tcPr>
          <w:p w:rsidR="00E25CC6" w:rsidRPr="00AB17EC" w:rsidRDefault="00E25CC6" w:rsidP="00237767">
            <w:pPr>
              <w:pStyle w:val="Tabletextheading"/>
              <w:rPr>
                <w:rFonts w:eastAsiaTheme="minorEastAsia" w:cs="Calibri"/>
                <w:iCs/>
                <w:lang w:eastAsia="en-AU"/>
              </w:rPr>
            </w:pPr>
            <w:r w:rsidRPr="00AB17EC">
              <w:rPr>
                <w:rFonts w:eastAsiaTheme="minorEastAsia" w:cs="Calibri"/>
                <w:iCs/>
                <w:lang w:eastAsia="en-AU"/>
              </w:rPr>
              <w:t>2019</w:t>
            </w:r>
            <w:r>
              <w:rPr>
                <w:rFonts w:eastAsiaTheme="minorEastAsia" w:cs="Calibri"/>
                <w:iCs/>
                <w:lang w:eastAsia="en-AU"/>
              </w:rPr>
              <w:noBreakHyphen/>
            </w:r>
            <w:r w:rsidRPr="00AB17EC">
              <w:rPr>
                <w:rFonts w:eastAsiaTheme="minorEastAsia" w:cs="Calibri"/>
                <w:iCs/>
                <w:lang w:eastAsia="en-AU"/>
              </w:rPr>
              <w:t>20</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Regional rail sustainability</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36.5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57.9</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37.9</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33.8</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32.0</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Shepparton rail service upgrade</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1.3</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2.7</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2.8</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2.9</w:t>
            </w:r>
          </w:p>
        </w:tc>
      </w:tr>
      <w:tr w:rsidR="00E25CC6" w:rsidRPr="00AB17EC" w:rsidTr="00A85608">
        <w:trPr>
          <w:cantSplit/>
        </w:trPr>
        <w:tc>
          <w:tcPr>
            <w:tcW w:w="3541" w:type="dxa"/>
            <w:tcBorders>
              <w:top w:val="nil"/>
              <w:left w:val="nil"/>
              <w:bottom w:val="nil"/>
              <w:right w:val="nil"/>
            </w:tcBorders>
          </w:tcPr>
          <w:p w:rsidR="00E25CC6" w:rsidRPr="00AB17EC" w:rsidRDefault="00E25CC6" w:rsidP="00AB17EC">
            <w:pPr>
              <w:pStyle w:val="Tabletext"/>
              <w:rPr>
                <w:rFonts w:eastAsiaTheme="minorEastAsia"/>
                <w:lang w:eastAsia="en-AU"/>
              </w:rPr>
            </w:pPr>
            <w:r w:rsidRPr="00AB17EC">
              <w:rPr>
                <w:rFonts w:eastAsiaTheme="minorEastAsia"/>
                <w:lang w:eastAsia="en-AU"/>
              </w:rPr>
              <w:t>Warrnambool and Geelong service upgrades</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3.1</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5.5</w:t>
            </w:r>
          </w:p>
        </w:tc>
        <w:tc>
          <w:tcPr>
            <w:tcW w:w="847" w:type="dxa"/>
            <w:tcBorders>
              <w:top w:val="nil"/>
              <w:left w:val="nil"/>
              <w:bottom w:val="nil"/>
              <w:right w:val="nil"/>
            </w:tcBorders>
          </w:tcPr>
          <w:p w:rsidR="00E25CC6" w:rsidRPr="00AB17EC" w:rsidRDefault="00E25CC6" w:rsidP="00AB17EC">
            <w:pPr>
              <w:pStyle w:val="TableofFigures"/>
              <w:rPr>
                <w:rFonts w:eastAsiaTheme="minorEastAsia"/>
                <w:lang w:eastAsia="en-AU"/>
              </w:rPr>
            </w:pPr>
            <w:r w:rsidRPr="00AB17EC">
              <w:rPr>
                <w:rFonts w:eastAsiaTheme="minorEastAsia"/>
                <w:lang w:eastAsia="en-AU"/>
              </w:rPr>
              <w:t xml:space="preserve"> 6.3</w:t>
            </w:r>
          </w:p>
        </w:tc>
        <w:tc>
          <w:tcPr>
            <w:tcW w:w="847"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6.4</w:t>
            </w:r>
          </w:p>
        </w:tc>
      </w:tr>
      <w:tr w:rsidR="00E25CC6" w:rsidRPr="00AB17EC" w:rsidTr="00A85608">
        <w:trPr>
          <w:cantSplit/>
        </w:trPr>
        <w:tc>
          <w:tcPr>
            <w:tcW w:w="3541"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text"/>
              <w:rPr>
                <w:rFonts w:eastAsiaTheme="minorEastAsia"/>
                <w:b/>
                <w:bCs/>
                <w:vertAlign w:val="superscript"/>
                <w:lang w:eastAsia="en-AU"/>
              </w:rPr>
            </w:pPr>
            <w:r w:rsidRPr="00AB17EC">
              <w:rPr>
                <w:rFonts w:eastAsiaTheme="minorEastAsia"/>
                <w:b/>
                <w:bCs/>
                <w:lang w:eastAsia="en-AU"/>
              </w:rPr>
              <w:t xml:space="preserve">Total output initiatives </w:t>
            </w:r>
            <w:r w:rsidRPr="00AB17EC">
              <w:rPr>
                <w:rFonts w:eastAsiaTheme="minorEastAsia"/>
                <w:b/>
                <w:bCs/>
                <w:vertAlign w:val="superscript"/>
                <w:lang w:eastAsia="en-AU"/>
              </w:rPr>
              <w:t>(j)</w:t>
            </w:r>
          </w:p>
        </w:tc>
        <w:tc>
          <w:tcPr>
            <w:tcW w:w="847"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64.5</w:t>
            </w:r>
          </w:p>
        </w:tc>
        <w:tc>
          <w:tcPr>
            <w:tcW w:w="847"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299.5</w:t>
            </w:r>
          </w:p>
        </w:tc>
        <w:tc>
          <w:tcPr>
            <w:tcW w:w="847"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224.2</w:t>
            </w:r>
          </w:p>
        </w:tc>
        <w:tc>
          <w:tcPr>
            <w:tcW w:w="847" w:type="dxa"/>
            <w:tcBorders>
              <w:top w:val="single" w:sz="6" w:space="0" w:color="auto"/>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lang w:eastAsia="en-AU"/>
              </w:rPr>
            </w:pPr>
            <w:r w:rsidRPr="00AB17EC">
              <w:rPr>
                <w:rFonts w:eastAsiaTheme="minorEastAsia"/>
                <w:b/>
                <w:bCs/>
                <w:lang w:eastAsia="en-AU"/>
              </w:rPr>
              <w:t xml:space="preserve"> 219.4</w:t>
            </w:r>
          </w:p>
        </w:tc>
        <w:tc>
          <w:tcPr>
            <w:tcW w:w="847" w:type="dxa"/>
            <w:tcBorders>
              <w:top w:val="single" w:sz="6" w:space="0" w:color="auto"/>
              <w:left w:val="nil"/>
              <w:bottom w:val="single" w:sz="12" w:space="0" w:color="auto"/>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 xml:space="preserve"> 174.5</w:t>
            </w:r>
          </w:p>
        </w:tc>
      </w:tr>
    </w:tbl>
    <w:p w:rsidR="00E25CC6" w:rsidRDefault="00E25CC6" w:rsidP="00566998">
      <w:pPr>
        <w:pStyle w:val="Source"/>
      </w:pPr>
      <w:r>
        <w:t>Source: Department of Treasury and Finance</w:t>
      </w:r>
      <w:r>
        <w:fldChar w:fldCharType="begin"/>
      </w:r>
      <w:r>
        <w:instrText xml:space="preserve"> XE "</w:instrText>
      </w:r>
      <w:r w:rsidRPr="002E2CC5">
        <w:instrText>Department of Economic Development, Jobs, Transport and Resources:Output initiatives</w:instrText>
      </w:r>
      <w:r>
        <w:instrText xml:space="preserve">" \r "DEDJTR_OutputInit" </w:instrText>
      </w:r>
      <w:r>
        <w:fldChar w:fldCharType="end"/>
      </w:r>
    </w:p>
    <w:bookmarkEnd w:id="16"/>
    <w:p w:rsidR="00E25CC6" w:rsidRDefault="00E25CC6" w:rsidP="00467BEF">
      <w:pPr>
        <w:pStyle w:val="Notes"/>
      </w:pPr>
      <w:r>
        <w:t>Notes:</w:t>
      </w:r>
    </w:p>
    <w:p w:rsidR="00E25CC6" w:rsidRDefault="00E25CC6" w:rsidP="00467BEF">
      <w:pPr>
        <w:pStyle w:val="Notes"/>
      </w:pPr>
      <w:r>
        <w:t>(a)</w:t>
      </w:r>
      <w:r>
        <w:tab/>
        <w:t>Funding is represented as $0.0 due to rounding. $160 000 over four years is allocated to Guaranteeing Victoria’s food export future – Biosecurity.</w:t>
      </w:r>
    </w:p>
    <w:p w:rsidR="00E25CC6" w:rsidRDefault="00E25CC6" w:rsidP="00467BEF">
      <w:pPr>
        <w:pStyle w:val="Notes"/>
      </w:pPr>
      <w:r>
        <w:t>(b)</w:t>
      </w:r>
      <w:r>
        <w:tab/>
        <w:t>Funding in 2016</w:t>
      </w:r>
      <w:r>
        <w:noBreakHyphen/>
        <w:t>17 is represented as $0.0 due to rounding. $460 000 over four years is allocated to the Railway Station Car Parking Fund.</w:t>
      </w:r>
    </w:p>
    <w:p w:rsidR="00E25CC6" w:rsidRDefault="00E25CC6" w:rsidP="00467BEF">
      <w:pPr>
        <w:pStyle w:val="Notes"/>
      </w:pPr>
      <w:r>
        <w:t>(c)</w:t>
      </w:r>
      <w:r>
        <w:tab/>
        <w:t xml:space="preserve">Balance of election commitment was delivered in the </w:t>
      </w:r>
      <w:r w:rsidRPr="006C445C">
        <w:rPr>
          <w:i w:val="0"/>
        </w:rPr>
        <w:t>2015</w:t>
      </w:r>
      <w:r>
        <w:rPr>
          <w:i w:val="0"/>
        </w:rPr>
        <w:noBreakHyphen/>
      </w:r>
      <w:r w:rsidRPr="006C445C">
        <w:rPr>
          <w:i w:val="0"/>
        </w:rPr>
        <w:t>16 Budget</w:t>
      </w:r>
      <w:r>
        <w:t>.</w:t>
      </w:r>
    </w:p>
    <w:p w:rsidR="00E25CC6" w:rsidRDefault="00E25CC6" w:rsidP="0081260C">
      <w:pPr>
        <w:pStyle w:val="Notes"/>
      </w:pPr>
      <w:r>
        <w:t>(d)</w:t>
      </w:r>
      <w:r>
        <w:tab/>
        <w:t>This initiative contributes to the following outputs:</w:t>
      </w:r>
    </w:p>
    <w:p w:rsidR="00E25CC6" w:rsidRDefault="00E25CC6" w:rsidP="0081260C">
      <w:pPr>
        <w:pStyle w:val="NotesDash"/>
      </w:pPr>
      <w:r>
        <w:t>Bus Services;</w:t>
      </w:r>
    </w:p>
    <w:p w:rsidR="00E25CC6" w:rsidRDefault="00E25CC6" w:rsidP="0081260C">
      <w:pPr>
        <w:pStyle w:val="NotesDash"/>
      </w:pPr>
      <w:r>
        <w:t>Road Operations and Network Improvements;</w:t>
      </w:r>
    </w:p>
    <w:p w:rsidR="00E25CC6" w:rsidRDefault="00E25CC6" w:rsidP="0081260C">
      <w:pPr>
        <w:pStyle w:val="NotesDash"/>
      </w:pPr>
      <w:r>
        <w:t>Transport Safety, Security, and Emergency Management;</w:t>
      </w:r>
    </w:p>
    <w:p w:rsidR="00E25CC6" w:rsidRDefault="00E25CC6" w:rsidP="0081260C">
      <w:pPr>
        <w:pStyle w:val="NotesDash"/>
      </w:pPr>
      <w:r>
        <w:t>Train Services; and</w:t>
      </w:r>
    </w:p>
    <w:p w:rsidR="00E25CC6" w:rsidRDefault="00E25CC6" w:rsidP="00FB23FD">
      <w:pPr>
        <w:pStyle w:val="NotesDash"/>
      </w:pPr>
      <w:r>
        <w:t>Tram Services.</w:t>
      </w:r>
    </w:p>
    <w:p w:rsidR="00E25CC6" w:rsidRDefault="00E25CC6" w:rsidP="0081260C">
      <w:pPr>
        <w:pStyle w:val="NotesDash"/>
        <w:numPr>
          <w:ilvl w:val="0"/>
          <w:numId w:val="0"/>
        </w:numPr>
        <w:ind w:left="426" w:hanging="426"/>
      </w:pPr>
      <w:r>
        <w:t>(e)</w:t>
      </w:r>
      <w:r>
        <w:tab/>
        <w:t>This project is to be funded by the Transport Accident Commission.</w:t>
      </w:r>
    </w:p>
    <w:p w:rsidR="00E25CC6" w:rsidRDefault="00E25CC6" w:rsidP="0081260C">
      <w:pPr>
        <w:pStyle w:val="NotesDash"/>
        <w:numPr>
          <w:ilvl w:val="0"/>
          <w:numId w:val="0"/>
        </w:numPr>
        <w:ind w:left="426" w:hanging="426"/>
      </w:pPr>
      <w:r>
        <w:t>(f)</w:t>
      </w:r>
      <w:r>
        <w:tab/>
        <w:t>This initiative includes funding in 2020</w:t>
      </w:r>
      <w:r>
        <w:noBreakHyphen/>
        <w:t>21 of $11 million.</w:t>
      </w:r>
    </w:p>
    <w:p w:rsidR="00E25CC6" w:rsidRDefault="00E25CC6" w:rsidP="0081260C">
      <w:pPr>
        <w:pStyle w:val="Notes"/>
      </w:pPr>
      <w:r>
        <w:t>(g)</w:t>
      </w:r>
      <w:r>
        <w:tab/>
        <w:t>Funding will be released progressively as planning is completed.</w:t>
      </w:r>
    </w:p>
    <w:p w:rsidR="00E25CC6" w:rsidRDefault="00E25CC6" w:rsidP="00467BEF">
      <w:pPr>
        <w:pStyle w:val="Notes"/>
      </w:pPr>
      <w:r>
        <w:t>(h)</w:t>
      </w:r>
      <w:r>
        <w:tab/>
        <w:t>Funding includes a $1.1 million contribution from the New South Wales Government.</w:t>
      </w:r>
    </w:p>
    <w:p w:rsidR="00E25CC6" w:rsidRDefault="00E25CC6" w:rsidP="00467BEF">
      <w:pPr>
        <w:pStyle w:val="Notes"/>
      </w:pPr>
      <w:r>
        <w:t>(i)</w:t>
      </w:r>
      <w:r>
        <w:tab/>
        <w:t>Funding in 2016</w:t>
      </w:r>
      <w:r>
        <w:noBreakHyphen/>
        <w:t>17 is represented as $0.0 due to rounding. $632 000 over four years is allocated to Napier Street Bendigo Duplication.</w:t>
      </w:r>
    </w:p>
    <w:p w:rsidR="00E25CC6" w:rsidRPr="00467BEF" w:rsidRDefault="00E25CC6" w:rsidP="00467BEF">
      <w:pPr>
        <w:pStyle w:val="Notes"/>
      </w:pPr>
      <w:r>
        <w:t>(j)</w:t>
      </w:r>
      <w:r>
        <w:tab/>
        <w:t>Tables may not add due to rounding.</w:t>
      </w:r>
    </w:p>
    <w:p w:rsidR="00E25CC6" w:rsidRDefault="00E25CC6" w:rsidP="000D1648">
      <w:pPr>
        <w:pStyle w:val="Notes"/>
      </w:pPr>
    </w:p>
    <w:p w:rsidR="00E25CC6" w:rsidRDefault="00E25CC6" w:rsidP="00BF1480">
      <w:pPr>
        <w:pStyle w:val="Heading4"/>
      </w:pPr>
      <w:r>
        <w:t>Creative Industries</w:t>
      </w:r>
    </w:p>
    <w:p w:rsidR="00E25CC6" w:rsidRPr="00EC3785" w:rsidRDefault="00E25CC6" w:rsidP="00464135">
      <w:pPr>
        <w:pStyle w:val="Heading5"/>
      </w:pPr>
      <w:r>
        <w:t>Geelong Performing Arts Centre redevelopment</w:t>
      </w:r>
    </w:p>
    <w:p w:rsidR="00E25CC6" w:rsidRPr="00464135" w:rsidRDefault="00E25CC6" w:rsidP="00464135">
      <w:r>
        <w:t xml:space="preserve">Refer to the asset initiative for a description of this initiative. </w:t>
      </w:r>
      <w:r>
        <w:fldChar w:fldCharType="begin"/>
      </w:r>
      <w:r>
        <w:instrText xml:space="preserve"> XE "</w:instrText>
      </w:r>
      <w:r w:rsidRPr="00873D1A">
        <w:instrText>Creative Industries</w:instrText>
      </w:r>
      <w:r>
        <w:instrText xml:space="preserve">" </w:instrText>
      </w:r>
      <w:r>
        <w:fldChar w:fldCharType="end"/>
      </w:r>
    </w:p>
    <w:p w:rsidR="00E25CC6" w:rsidRDefault="00E25CC6" w:rsidP="004B6C4F">
      <w:pPr>
        <w:pStyle w:val="Heading5"/>
      </w:pPr>
      <w:r>
        <w:t>Support for cultural agencies</w:t>
      </w:r>
    </w:p>
    <w:p w:rsidR="00E25CC6" w:rsidRDefault="00E25CC6" w:rsidP="005E385C">
      <w:pPr>
        <w:rPr>
          <w:lang w:eastAsia="en-AU"/>
        </w:rPr>
      </w:pPr>
      <w:r>
        <w:rPr>
          <w:lang w:eastAsia="en-AU"/>
        </w:rPr>
        <w:t>The Government will support core activity at the state</w:t>
      </w:r>
      <w:r>
        <w:rPr>
          <w:lang w:eastAsia="en-AU"/>
        </w:rPr>
        <w:noBreakHyphen/>
        <w:t>owned cultural agencies, Melbourne Recital Centre, Arts Centre Melbourne and State Library Melbourne. This support will assist these agencies to respond to increased visitor numbers, offer high quality and diverse programming, undertake maintenance activities on their iconic and heritage buildings, conserve, develop and exhibit their public art collections, and make their services and/or collections available to more people through digital technology.</w:t>
      </w:r>
    </w:p>
    <w:p w:rsidR="00E25CC6" w:rsidRDefault="00E25CC6" w:rsidP="005E385C">
      <w:pPr>
        <w:rPr>
          <w:lang w:eastAsia="en-AU"/>
        </w:rPr>
      </w:pPr>
      <w:r>
        <w:rPr>
          <w:lang w:eastAsia="en-AU"/>
        </w:rPr>
        <w:t>This initiative contributes to the Department of Economic Development, Jobs, Transport and Resources’ Creative Industries Portfolio Agencies output.</w:t>
      </w:r>
    </w:p>
    <w:p w:rsidR="00E25CC6" w:rsidRDefault="00E25CC6">
      <w:pPr>
        <w:spacing w:after="0"/>
        <w:rPr>
          <w:rFonts w:ascii="Calibri" w:hAnsi="Calibri"/>
          <w:i/>
          <w:sz w:val="24"/>
          <w:szCs w:val="22"/>
        </w:rPr>
      </w:pPr>
      <w:r>
        <w:br w:type="page"/>
      </w:r>
    </w:p>
    <w:p w:rsidR="00E25CC6" w:rsidRPr="00BF1480" w:rsidRDefault="00E25CC6" w:rsidP="00BF1480">
      <w:pPr>
        <w:pStyle w:val="Heading4"/>
      </w:pPr>
      <w:r w:rsidRPr="00BF1480">
        <w:t>Employment, Industry and Growth</w:t>
      </w:r>
    </w:p>
    <w:p w:rsidR="00E25CC6" w:rsidRDefault="00E25CC6" w:rsidP="00386305">
      <w:pPr>
        <w:pStyle w:val="Heading5"/>
        <w:rPr>
          <w:lang w:eastAsia="en-AU"/>
        </w:rPr>
      </w:pPr>
      <w:r>
        <w:rPr>
          <w:lang w:eastAsia="en-AU"/>
        </w:rPr>
        <w:t>Delivering the Regional Statement</w:t>
      </w:r>
    </w:p>
    <w:p w:rsidR="00E25CC6" w:rsidRDefault="00E25CC6" w:rsidP="00386305">
      <w:pPr>
        <w:rPr>
          <w:lang w:eastAsia="en-AU"/>
        </w:rPr>
      </w:pPr>
      <w:r>
        <w:rPr>
          <w:lang w:eastAsia="en-AU"/>
        </w:rPr>
        <w:t xml:space="preserve">Additional funding will be provided to Regional Development Victoria to assist in delivering initiatives in the 2015 Victorian Government Regional Statement. </w:t>
      </w:r>
    </w:p>
    <w:p w:rsidR="00E25CC6" w:rsidRDefault="00E25CC6" w:rsidP="003D4796">
      <w:r>
        <w:t>This initiative contributes to the Department of Economic Development, Jobs, Transport and Resources’ Regional Development output.</w:t>
      </w:r>
    </w:p>
    <w:p w:rsidR="00E25CC6" w:rsidRPr="00855174" w:rsidRDefault="00E25CC6" w:rsidP="00855174">
      <w:pPr>
        <w:pStyle w:val="Heading5"/>
      </w:pPr>
      <w:r w:rsidRPr="00855174">
        <w:t>Expansion of the Central Bargaining Unit</w:t>
      </w:r>
    </w:p>
    <w:p w:rsidR="00E25CC6" w:rsidRPr="00426F46" w:rsidRDefault="00E25CC6" w:rsidP="00426F46">
      <w:r w:rsidRPr="00426F46">
        <w:t xml:space="preserve">The Government will expand the central bargaining unit, which undertakes a strategic negotiation role in public sector enterprise agreements. The expansion will allow the unit to improve internal capacity and deliver a more efficient enterprise bargaining framework. </w:t>
      </w:r>
    </w:p>
    <w:p w:rsidR="00E25CC6" w:rsidRPr="00F1593D" w:rsidRDefault="00E25CC6" w:rsidP="00426F46">
      <w:r w:rsidRPr="00426F46">
        <w:t>This initiative contributes to the Department of Economic Development, Jobs, Transport and Resources</w:t>
      </w:r>
      <w:r>
        <w:t>’</w:t>
      </w:r>
      <w:r w:rsidRPr="00426F46">
        <w:t xml:space="preserve"> Industrial Relations output.</w:t>
      </w:r>
    </w:p>
    <w:p w:rsidR="00E25CC6" w:rsidRDefault="00E25CC6" w:rsidP="00855174">
      <w:pPr>
        <w:pStyle w:val="Heading5"/>
        <w:spacing w:before="0"/>
      </w:pPr>
      <w:r>
        <w:t>Great Ocean Road Economic and Community Bushfire Support Package</w:t>
      </w:r>
    </w:p>
    <w:p w:rsidR="00E25CC6" w:rsidRDefault="00E25CC6" w:rsidP="003D4796">
      <w:r>
        <w:t>Funding has been provided for the Great Ocean Road Economic and Community Support Package following the Wye River – Jamieson Track Bushfire.</w:t>
      </w:r>
    </w:p>
    <w:p w:rsidR="00E25CC6" w:rsidRDefault="00E25CC6" w:rsidP="003D4796">
      <w:r>
        <w:t>This initiative contributes to the Department of Economic Development, Jobs, Transport and Resources’ Regional Development output.</w:t>
      </w:r>
    </w:p>
    <w:p w:rsidR="00E25CC6" w:rsidRDefault="00E25CC6" w:rsidP="003D4796">
      <w:pPr>
        <w:pStyle w:val="Heading5"/>
        <w:spacing w:before="0"/>
      </w:pPr>
      <w:r>
        <w:t>Regional Events Fund</w:t>
      </w:r>
    </w:p>
    <w:p w:rsidR="00E25CC6" w:rsidRPr="002B4D22" w:rsidRDefault="00E25CC6" w:rsidP="002B4D22">
      <w:r w:rsidRPr="002B4D22">
        <w:t xml:space="preserve">The Government will establish a Regional Events </w:t>
      </w:r>
      <w:r>
        <w:t>F</w:t>
      </w:r>
      <w:r w:rsidRPr="002B4D22">
        <w:t>und to support a strong and sustainable calendar of regional events to attract visitors from Melbourne and interstate</w:t>
      </w:r>
      <w:r>
        <w:t>,</w:t>
      </w:r>
      <w:r w:rsidRPr="002B4D22">
        <w:t xml:space="preserve"> creating economic and community benefits in regional areas.</w:t>
      </w:r>
    </w:p>
    <w:p w:rsidR="00E25CC6" w:rsidRPr="00BA6C5E" w:rsidRDefault="00E25CC6" w:rsidP="00BA6C5E">
      <w:r>
        <w:t>This initiative contributes to the Department of Economic Development, Jobs, Transport and Resources’ Tourism, Major Events and International Education output.</w:t>
      </w:r>
      <w:r>
        <w:fldChar w:fldCharType="begin"/>
      </w:r>
      <w:r>
        <w:instrText xml:space="preserve"> XE "</w:instrText>
      </w:r>
      <w:r w:rsidRPr="00050247">
        <w:instrText>Department of Economic Development, Jobs, Transport and Resources:Employment, Industry and Growth</w:instrText>
      </w:r>
      <w:r>
        <w:instrText xml:space="preserve">" </w:instrText>
      </w:r>
      <w:r>
        <w:fldChar w:fldCharType="end"/>
      </w:r>
    </w:p>
    <w:p w:rsidR="00E25CC6" w:rsidRPr="00D4671F" w:rsidRDefault="00E25CC6" w:rsidP="00BF1480">
      <w:pPr>
        <w:pStyle w:val="Heading4"/>
      </w:pPr>
      <w:bookmarkStart w:id="17" w:name="DEDJTR_ResPrimInd"/>
      <w:r>
        <w:t>Resources and Primary Industries</w:t>
      </w:r>
    </w:p>
    <w:p w:rsidR="00E25CC6" w:rsidRDefault="00E25CC6" w:rsidP="003D4796">
      <w:pPr>
        <w:pStyle w:val="Heading5"/>
      </w:pPr>
      <w:r>
        <w:t xml:space="preserve">Access to medicinal cannabis </w:t>
      </w:r>
    </w:p>
    <w:p w:rsidR="00E25CC6" w:rsidRPr="00F1593D" w:rsidRDefault="00E25CC6" w:rsidP="00BD37C3">
      <w:r>
        <w:t>T</w:t>
      </w:r>
      <w:r w:rsidRPr="00BD37C3">
        <w:t xml:space="preserve">he Government </w:t>
      </w:r>
      <w:r>
        <w:t xml:space="preserve">will </w:t>
      </w:r>
      <w:r w:rsidRPr="00BD37C3">
        <w:t xml:space="preserve">provide legal access to medicinal cannabis for </w:t>
      </w:r>
      <w:r>
        <w:t>eligible Victorians</w:t>
      </w:r>
      <w:r w:rsidRPr="00BD37C3">
        <w:t xml:space="preserve">. </w:t>
      </w:r>
      <w:r>
        <w:t>Funding will be provided to regulate</w:t>
      </w:r>
      <w:r w:rsidRPr="00BD37C3">
        <w:t xml:space="preserve"> cultivati</w:t>
      </w:r>
      <w:r>
        <w:t>on and develop</w:t>
      </w:r>
      <w:r w:rsidRPr="00BD37C3">
        <w:t xml:space="preserve"> appropriate legislation.</w:t>
      </w:r>
    </w:p>
    <w:p w:rsidR="00E25CC6" w:rsidRPr="0034550F" w:rsidRDefault="00E25CC6" w:rsidP="0034550F">
      <w:r w:rsidRPr="004D6B19">
        <w:t>This initiative contributes to the Department of Economic Development, Jobs, Transport and Resources</w:t>
      </w:r>
      <w:r>
        <w:t>’</w:t>
      </w:r>
      <w:r w:rsidRPr="004D6B19">
        <w:t xml:space="preserve"> Agriculture output.</w:t>
      </w:r>
    </w:p>
    <w:p w:rsidR="00E25CC6" w:rsidRDefault="00E25CC6" w:rsidP="003D4796">
      <w:pPr>
        <w:pStyle w:val="Heading5"/>
      </w:pPr>
      <w:r>
        <w:t xml:space="preserve">Animal welfare reform </w:t>
      </w:r>
    </w:p>
    <w:p w:rsidR="00E25CC6" w:rsidRDefault="00E25CC6" w:rsidP="007C2E62">
      <w:pPr>
        <w:rPr>
          <w:lang w:eastAsia="en-AU"/>
        </w:rPr>
      </w:pPr>
      <w:r>
        <w:rPr>
          <w:lang w:eastAsia="en-AU"/>
        </w:rPr>
        <w:t xml:space="preserve">Improving animal welfare reform will draw on international best practice to deliver the Government’s commitment to improving animal welfare in Victoria. This initiative will fund priority animal welfare and domestic animal management work. </w:t>
      </w:r>
    </w:p>
    <w:p w:rsidR="00E25CC6" w:rsidRDefault="00E25CC6" w:rsidP="003D4796">
      <w:r>
        <w:t>This initiative contributes to the Department of Economic Development, Jobs, Transport and Resources’ Agriculture output</w:t>
      </w:r>
      <w:r w:rsidRPr="004D6B19">
        <w:t>.</w:t>
      </w:r>
    </w:p>
    <w:p w:rsidR="00E25CC6" w:rsidRDefault="00E25CC6">
      <w:pPr>
        <w:spacing w:after="0"/>
        <w:rPr>
          <w:rFonts w:ascii="Calibri" w:hAnsi="Calibri"/>
          <w:b/>
        </w:rPr>
      </w:pPr>
      <w:r>
        <w:rPr>
          <w:rFonts w:ascii="Calibri" w:hAnsi="Calibri"/>
          <w:b/>
        </w:rPr>
        <w:br w:type="page"/>
      </w:r>
    </w:p>
    <w:p w:rsidR="00E25CC6" w:rsidRPr="00D30638" w:rsidRDefault="00E25CC6" w:rsidP="003D4796">
      <w:pPr>
        <w:keepNext/>
        <w:tabs>
          <w:tab w:val="left" w:pos="504"/>
        </w:tabs>
        <w:spacing w:before="120" w:after="60"/>
        <w:outlineLvl w:val="4"/>
        <w:rPr>
          <w:rFonts w:ascii="Calibri" w:hAnsi="Calibri"/>
          <w:b/>
        </w:rPr>
      </w:pPr>
      <w:r>
        <w:rPr>
          <w:rFonts w:ascii="Calibri" w:hAnsi="Calibri"/>
          <w:b/>
        </w:rPr>
        <w:t>Delivering the G</w:t>
      </w:r>
      <w:r w:rsidRPr="00D30638">
        <w:rPr>
          <w:rFonts w:ascii="Calibri" w:hAnsi="Calibri"/>
          <w:b/>
        </w:rPr>
        <w:t>overnment</w:t>
      </w:r>
      <w:r>
        <w:rPr>
          <w:rFonts w:ascii="Calibri" w:hAnsi="Calibri"/>
          <w:b/>
        </w:rPr>
        <w:t>’</w:t>
      </w:r>
      <w:r w:rsidRPr="00D30638">
        <w:rPr>
          <w:rFonts w:ascii="Calibri" w:hAnsi="Calibri"/>
          <w:b/>
        </w:rPr>
        <w:t>s commitments to recreational fishers</w:t>
      </w:r>
    </w:p>
    <w:p w:rsidR="00E25CC6" w:rsidRPr="00F1593D" w:rsidRDefault="00E25CC6" w:rsidP="002412FD">
      <w:r w:rsidRPr="00F1593D">
        <w:t xml:space="preserve">The Government </w:t>
      </w:r>
      <w:r>
        <w:t>will complete the majority of the buyback of commercial fishing licences to end net fishing in Port Phillip and Corio bays, with the majority of licence holders having already accepted compensation packages</w:t>
      </w:r>
      <w:r w:rsidRPr="00F1593D">
        <w:t xml:space="preserve">. New programs and services will </w:t>
      </w:r>
      <w:r>
        <w:t xml:space="preserve">also </w:t>
      </w:r>
      <w:r w:rsidRPr="00F1593D">
        <w:t>increase fish stocks,</w:t>
      </w:r>
      <w:r>
        <w:t xml:space="preserve"> </w:t>
      </w:r>
      <w:r w:rsidRPr="00F1593D">
        <w:t>improve education and children</w:t>
      </w:r>
      <w:r>
        <w:t>’</w:t>
      </w:r>
      <w:r w:rsidRPr="00F1593D">
        <w:t xml:space="preserve">s fishing programs and </w:t>
      </w:r>
      <w:r>
        <w:t>expand</w:t>
      </w:r>
      <w:r w:rsidRPr="00F1593D">
        <w:t xml:space="preserve"> the Victorian Trout Opening Festival.</w:t>
      </w:r>
    </w:p>
    <w:p w:rsidR="00E25CC6" w:rsidRDefault="00E25CC6" w:rsidP="003D4796">
      <w:r w:rsidRPr="00D30638">
        <w:t>This initiative contributes to the Department of Economic Development, Jobs, Transport and Resources</w:t>
      </w:r>
      <w:r>
        <w:t>’</w:t>
      </w:r>
      <w:r w:rsidRPr="00D30638">
        <w:t xml:space="preserve"> Sustainably Manage Fish, Game and Forest Resources output.</w:t>
      </w:r>
    </w:p>
    <w:p w:rsidR="00E25CC6" w:rsidRDefault="00E25CC6" w:rsidP="003D4796">
      <w:pPr>
        <w:pStyle w:val="Heading5"/>
      </w:pPr>
      <w:r>
        <w:t>Fox and Wild Dog Management</w:t>
      </w:r>
    </w:p>
    <w:p w:rsidR="00E25CC6" w:rsidRDefault="00E25CC6" w:rsidP="003D4796">
      <w:r w:rsidRPr="004D6B19">
        <w:t>The Fox and Wild Dog Management program will support the</w:t>
      </w:r>
      <w:r>
        <w:t xml:space="preserve"> </w:t>
      </w:r>
      <w:r w:rsidRPr="004D6B19">
        <w:t>man</w:t>
      </w:r>
      <w:r>
        <w:t>agement of foxes and wild dogs to reduce</w:t>
      </w:r>
      <w:r w:rsidRPr="004D6B19">
        <w:t xml:space="preserve"> the risks the</w:t>
      </w:r>
      <w:r>
        <w:t>y</w:t>
      </w:r>
      <w:r w:rsidRPr="004D6B19">
        <w:t xml:space="preserve"> pose to primary production, biodiversity and community health in Victoria.</w:t>
      </w:r>
    </w:p>
    <w:p w:rsidR="00E25CC6" w:rsidRDefault="00E25CC6" w:rsidP="003D4796">
      <w:r w:rsidRPr="004D6B19">
        <w:t>This initiative contributes to the Department of Economic Development, Jobs, Transport and Resources</w:t>
      </w:r>
      <w:r>
        <w:t>’</w:t>
      </w:r>
      <w:r w:rsidRPr="004D6B19">
        <w:t xml:space="preserve"> Agriculture output</w:t>
      </w:r>
      <w:r>
        <w:t>.</w:t>
      </w:r>
    </w:p>
    <w:p w:rsidR="00E25CC6" w:rsidRPr="007757CD" w:rsidRDefault="00E25CC6" w:rsidP="00026471">
      <w:pPr>
        <w:pStyle w:val="Heading5"/>
        <w:rPr>
          <w:rFonts w:eastAsiaTheme="minorHAnsi"/>
        </w:rPr>
      </w:pPr>
      <w:r w:rsidRPr="007757CD">
        <w:rPr>
          <w:rFonts w:eastAsiaTheme="minorHAnsi"/>
        </w:rPr>
        <w:t>Guaranteeing Victoria</w:t>
      </w:r>
      <w:r>
        <w:rPr>
          <w:rFonts w:eastAsiaTheme="minorHAnsi"/>
        </w:rPr>
        <w:t>’</w:t>
      </w:r>
      <w:r w:rsidRPr="007757CD">
        <w:rPr>
          <w:rFonts w:eastAsiaTheme="minorHAnsi"/>
        </w:rPr>
        <w:t>s food export futu</w:t>
      </w:r>
      <w:r>
        <w:rPr>
          <w:rFonts w:eastAsiaTheme="minorHAnsi"/>
        </w:rPr>
        <w:t>re – Bios</w:t>
      </w:r>
      <w:r w:rsidRPr="007757CD">
        <w:rPr>
          <w:rFonts w:eastAsiaTheme="minorHAnsi"/>
        </w:rPr>
        <w:t>ecurity</w:t>
      </w:r>
    </w:p>
    <w:p w:rsidR="00E25CC6" w:rsidRPr="00BA6C5E" w:rsidRDefault="00E25CC6" w:rsidP="00026471">
      <w:r>
        <w:t>Refer to the asset initiative for a description of this initiative.</w:t>
      </w:r>
    </w:p>
    <w:p w:rsidR="00E25CC6" w:rsidRPr="00546A71" w:rsidRDefault="00E25CC6" w:rsidP="003D4796">
      <w:pPr>
        <w:keepNext/>
        <w:tabs>
          <w:tab w:val="left" w:pos="504"/>
        </w:tabs>
        <w:spacing w:before="120" w:after="60"/>
        <w:outlineLvl w:val="4"/>
        <w:rPr>
          <w:rFonts w:ascii="Calibri" w:hAnsi="Calibri"/>
          <w:b/>
        </w:rPr>
      </w:pPr>
      <w:r w:rsidRPr="00546A71">
        <w:rPr>
          <w:rFonts w:ascii="Calibri" w:hAnsi="Calibri"/>
          <w:b/>
        </w:rPr>
        <w:t>Guaranteeing Victoria</w:t>
      </w:r>
      <w:r>
        <w:rPr>
          <w:rFonts w:ascii="Calibri" w:hAnsi="Calibri"/>
          <w:b/>
        </w:rPr>
        <w:t>’</w:t>
      </w:r>
      <w:r w:rsidRPr="00546A71">
        <w:rPr>
          <w:rFonts w:ascii="Calibri" w:hAnsi="Calibri"/>
          <w:b/>
        </w:rPr>
        <w:t>s Food Future</w:t>
      </w:r>
    </w:p>
    <w:p w:rsidR="00E25CC6" w:rsidRPr="00E003BA" w:rsidRDefault="00E25CC6" w:rsidP="003D4796">
      <w:r w:rsidRPr="00E003BA">
        <w:t>The Government will support Victoria</w:t>
      </w:r>
      <w:r>
        <w:t>’</w:t>
      </w:r>
      <w:r w:rsidRPr="00E003BA">
        <w:t xml:space="preserve">s agricultural industries through biosecurity services that aim to maintain market access and productivity. This initiative will support the continued implementation of measures to better prepare Victoria for an incursion of a </w:t>
      </w:r>
      <w:r>
        <w:t>serious plant and livestock disease</w:t>
      </w:r>
      <w:r w:rsidRPr="00E003BA">
        <w:t>.</w:t>
      </w:r>
      <w:r>
        <w:t xml:space="preserve"> </w:t>
      </w:r>
    </w:p>
    <w:p w:rsidR="00E25CC6" w:rsidRDefault="00E25CC6" w:rsidP="003D4796">
      <w:r w:rsidRPr="00E003BA">
        <w:t>This initiative contributes to the Department of Economic Development, Jobs, Transport and Resources</w:t>
      </w:r>
      <w:r>
        <w:t>’</w:t>
      </w:r>
      <w:r w:rsidRPr="00E003BA">
        <w:t xml:space="preserve"> Agriculture output.</w:t>
      </w:r>
    </w:p>
    <w:p w:rsidR="00E25CC6" w:rsidRDefault="00E25CC6" w:rsidP="005B62E9">
      <w:pPr>
        <w:pStyle w:val="Heading5"/>
      </w:pPr>
      <w:r>
        <w:t>Modernising earth resources management</w:t>
      </w:r>
    </w:p>
    <w:p w:rsidR="00E25CC6" w:rsidRDefault="00E25CC6" w:rsidP="00A678FF">
      <w:pPr>
        <w:rPr>
          <w:lang w:eastAsia="en-AU"/>
        </w:rPr>
      </w:pPr>
      <w:r>
        <w:rPr>
          <w:lang w:eastAsia="en-AU"/>
        </w:rPr>
        <w:t>The Government will modernise the regulation of the earth resources sector to increase investor and community confidence and improve regional economic opportunities. This initiative will be delivered through a one</w:t>
      </w:r>
      <w:r>
        <w:rPr>
          <w:lang w:eastAsia="en-AU"/>
        </w:rPr>
        <w:noBreakHyphen/>
        <w:t>year earth resources reform project which will redesign earth resources regulations’ governance, business processes and regulation, and compliance activities.</w:t>
      </w:r>
    </w:p>
    <w:p w:rsidR="00E25CC6" w:rsidRDefault="00E25CC6" w:rsidP="00A678FF">
      <w:r>
        <w:rPr>
          <w:lang w:eastAsia="en-AU"/>
        </w:rPr>
        <w:t>This initiative contributes to the Department of Economic Development, Jobs, Transport and Resources’ Energy and Resources output.</w:t>
      </w:r>
      <w:r>
        <w:t xml:space="preserve"> </w:t>
      </w:r>
    </w:p>
    <w:p w:rsidR="00E25CC6" w:rsidRDefault="00E25CC6" w:rsidP="00A678FF">
      <w:pPr>
        <w:pStyle w:val="Heading5"/>
      </w:pPr>
      <w:r>
        <w:t>Rural Financial Counselling Service</w:t>
      </w:r>
    </w:p>
    <w:p w:rsidR="00E25CC6" w:rsidRPr="004D6B19" w:rsidRDefault="00E25CC6" w:rsidP="003D4796">
      <w:r>
        <w:t>Funding will be provided to the Rural Financial Counselling Service to continue to</w:t>
      </w:r>
      <w:r w:rsidRPr="004D6B19">
        <w:t xml:space="preserve"> provide free financial counselling to primary producers, fishers and smal</w:t>
      </w:r>
      <w:r>
        <w:t xml:space="preserve">l businesses suffering </w:t>
      </w:r>
      <w:r w:rsidRPr="004D6B19">
        <w:t xml:space="preserve">financial hardship. </w:t>
      </w:r>
      <w:r>
        <w:t>The State’s contribution</w:t>
      </w:r>
      <w:r w:rsidRPr="004D6B19">
        <w:t xml:space="preserve"> align</w:t>
      </w:r>
      <w:r>
        <w:t>s</w:t>
      </w:r>
      <w:r w:rsidRPr="004D6B19">
        <w:t xml:space="preserve"> with the Commonwealth</w:t>
      </w:r>
      <w:r>
        <w:t>’</w:t>
      </w:r>
      <w:r w:rsidRPr="004D6B19">
        <w:t>s commitment to 2018</w:t>
      </w:r>
      <w:r>
        <w:noBreakHyphen/>
      </w:r>
      <w:r w:rsidRPr="004D6B19">
        <w:t>19.</w:t>
      </w:r>
      <w:r w:rsidRPr="003E6F5A">
        <w:t xml:space="preserve"> </w:t>
      </w:r>
      <w:r>
        <w:t>.</w:t>
      </w:r>
      <w:r>
        <w:fldChar w:fldCharType="begin"/>
      </w:r>
      <w:r>
        <w:instrText xml:space="preserve"> XE "</w:instrText>
      </w:r>
      <w:r w:rsidRPr="00873D1A">
        <w:instrText>Regional and Rural Victoria Services</w:instrText>
      </w:r>
      <w:r>
        <w:instrText xml:space="preserve">" </w:instrText>
      </w:r>
      <w:r>
        <w:fldChar w:fldCharType="end"/>
      </w:r>
    </w:p>
    <w:p w:rsidR="00E25CC6" w:rsidRDefault="00E25CC6" w:rsidP="003D4796">
      <w:r w:rsidRPr="004D6B19">
        <w:t>This initiative contributes to the Department of Economic Development, Jobs, Transport and Resources</w:t>
      </w:r>
      <w:r>
        <w:t>’</w:t>
      </w:r>
      <w:r w:rsidRPr="004D6B19">
        <w:t xml:space="preserve"> Agriculture output.</w:t>
      </w:r>
    </w:p>
    <w:p w:rsidR="00E25CC6" w:rsidRDefault="00E25CC6" w:rsidP="005B62E9">
      <w:pPr>
        <w:pStyle w:val="Heading5"/>
      </w:pPr>
      <w:r w:rsidRPr="004D6B19">
        <w:t>Sustainable Hunting Action Plan</w:t>
      </w:r>
    </w:p>
    <w:p w:rsidR="00E25CC6" w:rsidRDefault="00E25CC6" w:rsidP="003D4796">
      <w:r w:rsidRPr="002412FD">
        <w:t>The</w:t>
      </w:r>
      <w:r>
        <w:t xml:space="preserve"> Sustainable Hunting Action </w:t>
      </w:r>
      <w:r w:rsidRPr="002412FD">
        <w:t>Plan will</w:t>
      </w:r>
      <w:r>
        <w:t xml:space="preserve"> be developed to </w:t>
      </w:r>
      <w:r w:rsidRPr="002412FD">
        <w:t>promote responsible hunting in Victoria</w:t>
      </w:r>
      <w:r>
        <w:t>.</w:t>
      </w:r>
      <w:r w:rsidRPr="004D6B19">
        <w:t xml:space="preserve"> </w:t>
      </w:r>
      <w:r>
        <w:t>It</w:t>
      </w:r>
      <w:r w:rsidRPr="004D6B19">
        <w:t xml:space="preserve"> will improve access to information </w:t>
      </w:r>
      <w:r>
        <w:t>for Victorian</w:t>
      </w:r>
      <w:r w:rsidRPr="004D6B19">
        <w:t xml:space="preserve"> hunters as well as improving education </w:t>
      </w:r>
      <w:r>
        <w:t xml:space="preserve">to ensure hunting activities are safe and legal. </w:t>
      </w:r>
    </w:p>
    <w:p w:rsidR="00E25CC6" w:rsidRPr="00F1593D" w:rsidRDefault="00E25CC6" w:rsidP="002412FD">
      <w:r w:rsidRPr="00F1593D">
        <w:t>This initiative contributes to the Department of Economic Development, Jobs, Transport and Resources</w:t>
      </w:r>
      <w:r>
        <w:t>’</w:t>
      </w:r>
      <w:r w:rsidRPr="00F1593D">
        <w:t xml:space="preserve"> </w:t>
      </w:r>
      <w:r>
        <w:t>Sustainably Manage Fish, Game and Forest Resources</w:t>
      </w:r>
      <w:r w:rsidRPr="00F1593D">
        <w:t xml:space="preserve"> output.</w:t>
      </w:r>
      <w:bookmarkEnd w:id="17"/>
      <w:r>
        <w:fldChar w:fldCharType="begin"/>
      </w:r>
      <w:r>
        <w:instrText xml:space="preserve"> XE "</w:instrText>
      </w:r>
      <w:r w:rsidRPr="00E90FAA">
        <w:instrText>Department of Economic Development, Jobs, Transport and Resources:Resources and Primary Industries</w:instrText>
      </w:r>
      <w:r>
        <w:instrText xml:space="preserve">" \r "DEDJTR_ResPrimInd" </w:instrText>
      </w:r>
      <w:r>
        <w:fldChar w:fldCharType="end"/>
      </w:r>
    </w:p>
    <w:p w:rsidR="00E25CC6" w:rsidRPr="00D4671F" w:rsidRDefault="00E25CC6" w:rsidP="00BF1480">
      <w:pPr>
        <w:pStyle w:val="Heading4"/>
      </w:pPr>
      <w:bookmarkStart w:id="18" w:name="DEDJTR_TransNetChap1"/>
      <w:r w:rsidRPr="00D4671F">
        <w:t>Transport Network Safety, Operation and Development</w:t>
      </w:r>
    </w:p>
    <w:p w:rsidR="00E25CC6" w:rsidRPr="005B62E9" w:rsidRDefault="00E25CC6" w:rsidP="00970369">
      <w:pPr>
        <w:pStyle w:val="Heading5"/>
      </w:pPr>
      <w:r w:rsidRPr="005B62E9">
        <w:t>Active Transport Victoria</w:t>
      </w:r>
    </w:p>
    <w:p w:rsidR="00E25CC6" w:rsidRPr="00810F3D" w:rsidRDefault="00E25CC6" w:rsidP="00970369">
      <w:pPr>
        <w:rPr>
          <w:lang w:val="en"/>
        </w:rPr>
      </w:pPr>
      <w:r w:rsidRPr="00457B9A">
        <w:t xml:space="preserve">A dedicated unit will be established to focus on increasing the safety of pedestrians and cyclists, increasing </w:t>
      </w:r>
      <w:r>
        <w:t xml:space="preserve">the </w:t>
      </w:r>
      <w:r w:rsidRPr="00457B9A">
        <w:t xml:space="preserve">participation </w:t>
      </w:r>
      <w:r>
        <w:t xml:space="preserve">and promotion of walking and cycling </w:t>
      </w:r>
      <w:r w:rsidRPr="00457B9A">
        <w:t xml:space="preserve">through delivering initiatives and coordinating </w:t>
      </w:r>
      <w:r>
        <w:t xml:space="preserve">infrastructure </w:t>
      </w:r>
      <w:r w:rsidRPr="00457B9A">
        <w:t>investment</w:t>
      </w:r>
      <w:r>
        <w:t xml:space="preserve"> activities with stakeholders.</w:t>
      </w:r>
      <w:r w:rsidRPr="00457B9A">
        <w:rPr>
          <w:lang w:val="en"/>
        </w:rPr>
        <w:t xml:space="preserve"> </w:t>
      </w:r>
    </w:p>
    <w:p w:rsidR="00E25CC6" w:rsidRPr="00265471" w:rsidRDefault="00E25CC6" w:rsidP="00970369">
      <w:pPr>
        <w:rPr>
          <w:lang w:val="en"/>
        </w:rPr>
      </w:pPr>
      <w:r w:rsidRPr="00810F3D">
        <w:t>This initiative delivers on the Government</w:t>
      </w:r>
      <w:r>
        <w:t>’</w:t>
      </w:r>
      <w:r w:rsidRPr="00810F3D">
        <w:t xml:space="preserve">s election commitment as published in </w:t>
      </w:r>
      <w:r w:rsidRPr="00265471">
        <w:t>Labor</w:t>
      </w:r>
      <w:r>
        <w:t>’</w:t>
      </w:r>
      <w:r w:rsidRPr="00265471">
        <w:t>s Financial Statement 2014.</w:t>
      </w:r>
    </w:p>
    <w:p w:rsidR="00E25CC6" w:rsidRDefault="00E25CC6" w:rsidP="00970369">
      <w:r>
        <w:t>This initiative contributes to the Department of Economic Development, Jobs, Transport and Resources’ Road Operations and Network Improvements output.</w:t>
      </w:r>
    </w:p>
    <w:p w:rsidR="00E25CC6" w:rsidRPr="005B62E9" w:rsidRDefault="00E25CC6" w:rsidP="007F558F">
      <w:pPr>
        <w:pStyle w:val="Heading5"/>
      </w:pPr>
      <w:r w:rsidRPr="005B62E9">
        <w:t>Port of Melbourne Lease – Port Lessor Resourcing</w:t>
      </w:r>
    </w:p>
    <w:p w:rsidR="00E25CC6" w:rsidRPr="002B2815" w:rsidRDefault="00E25CC6" w:rsidP="007F558F">
      <w:pPr>
        <w:rPr>
          <w:szCs w:val="22"/>
        </w:rPr>
      </w:pPr>
      <w:r w:rsidRPr="002B2815">
        <w:rPr>
          <w:rFonts w:cstheme="minorHAnsi"/>
          <w:szCs w:val="22"/>
        </w:rPr>
        <w:t xml:space="preserve">A new </w:t>
      </w:r>
      <w:r>
        <w:rPr>
          <w:rFonts w:cstheme="minorHAnsi"/>
          <w:szCs w:val="22"/>
        </w:rPr>
        <w:t>port lessor</w:t>
      </w:r>
      <w:r w:rsidRPr="002B2815">
        <w:rPr>
          <w:rFonts w:cstheme="minorHAnsi"/>
          <w:szCs w:val="22"/>
        </w:rPr>
        <w:t xml:space="preserve"> unit will be created to </w:t>
      </w:r>
      <w:r>
        <w:rPr>
          <w:rFonts w:cstheme="minorHAnsi"/>
          <w:szCs w:val="22"/>
        </w:rPr>
        <w:t>manage t</w:t>
      </w:r>
      <w:r w:rsidRPr="002B2815">
        <w:rPr>
          <w:rFonts w:cstheme="minorHAnsi"/>
          <w:szCs w:val="22"/>
        </w:rPr>
        <w:t>he Government</w:t>
      </w:r>
      <w:r>
        <w:rPr>
          <w:rFonts w:cstheme="minorHAnsi"/>
          <w:szCs w:val="22"/>
        </w:rPr>
        <w:t>’</w:t>
      </w:r>
      <w:r w:rsidRPr="002B2815">
        <w:rPr>
          <w:rFonts w:cstheme="minorHAnsi"/>
          <w:szCs w:val="22"/>
        </w:rPr>
        <w:t xml:space="preserve">s </w:t>
      </w:r>
      <w:r>
        <w:rPr>
          <w:rFonts w:cstheme="minorHAnsi"/>
          <w:szCs w:val="22"/>
        </w:rPr>
        <w:t xml:space="preserve">future </w:t>
      </w:r>
      <w:r w:rsidRPr="002B2815">
        <w:rPr>
          <w:rFonts w:cstheme="minorHAnsi"/>
          <w:szCs w:val="22"/>
        </w:rPr>
        <w:t>obligations</w:t>
      </w:r>
      <w:r>
        <w:rPr>
          <w:rFonts w:cstheme="minorHAnsi"/>
          <w:szCs w:val="22"/>
        </w:rPr>
        <w:t xml:space="preserve"> as a party to </w:t>
      </w:r>
      <w:r w:rsidRPr="002B2815">
        <w:rPr>
          <w:rFonts w:cstheme="minorHAnsi"/>
          <w:szCs w:val="22"/>
        </w:rPr>
        <w:t>the Port of Melbourne lease</w:t>
      </w:r>
      <w:r>
        <w:rPr>
          <w:rFonts w:cstheme="minorHAnsi"/>
          <w:szCs w:val="22"/>
        </w:rPr>
        <w:t xml:space="preserve">, including </w:t>
      </w:r>
      <w:r w:rsidRPr="00B14728">
        <w:rPr>
          <w:rFonts w:cstheme="minorHAnsi"/>
          <w:szCs w:val="22"/>
        </w:rPr>
        <w:t>holding and manag</w:t>
      </w:r>
      <w:r>
        <w:rPr>
          <w:rFonts w:cstheme="minorHAnsi"/>
          <w:szCs w:val="22"/>
        </w:rPr>
        <w:t>ing the Port of Melbourne lease,</w:t>
      </w:r>
      <w:r w:rsidRPr="00B14728">
        <w:rPr>
          <w:rFonts w:cstheme="minorHAnsi"/>
          <w:szCs w:val="22"/>
        </w:rPr>
        <w:t xml:space="preserve"> assets and the Stat</w:t>
      </w:r>
      <w:r>
        <w:rPr>
          <w:rFonts w:cstheme="minorHAnsi"/>
          <w:szCs w:val="22"/>
        </w:rPr>
        <w:t>e’s environmental requirements.</w:t>
      </w:r>
    </w:p>
    <w:p w:rsidR="00E25CC6" w:rsidRPr="00F37D7C" w:rsidRDefault="00E25CC6" w:rsidP="007F558F">
      <w:r>
        <w:t>This initiative contributes to the Department of Economic Development, Jobs, Transport and Resources’ Port and Freight Network Access output.</w:t>
      </w:r>
    </w:p>
    <w:p w:rsidR="00E25CC6" w:rsidRPr="005B62E9" w:rsidRDefault="00E25CC6" w:rsidP="009163BA">
      <w:pPr>
        <w:pStyle w:val="Heading5"/>
      </w:pPr>
      <w:r w:rsidRPr="005B62E9">
        <w:t xml:space="preserve">Port Phillip Bay </w:t>
      </w:r>
      <w:r>
        <w:t>environs grants</w:t>
      </w:r>
    </w:p>
    <w:p w:rsidR="00E25CC6" w:rsidRDefault="00E25CC6" w:rsidP="009163BA">
      <w:r>
        <w:t>Funding will be provided to support the port environs and port</w:t>
      </w:r>
      <w:r>
        <w:noBreakHyphen/>
        <w:t>related community outcomes including upgrades to Westgate Park, repairs and other works to support the redevelopment of the Seaworks Maritime Precinct at Williamstown, upgrade and repair works along Footscray Wharf, and conservation and maintenance works at the Mission to Seafarers, Docklands.</w:t>
      </w:r>
    </w:p>
    <w:p w:rsidR="00E25CC6" w:rsidRDefault="00E25CC6" w:rsidP="009163BA">
      <w:r>
        <w:t>This initiative contributes to the Department of Economic Development, Jobs, Transport and Resources’ Port and Freight Network Access output.</w:t>
      </w:r>
    </w:p>
    <w:p w:rsidR="00E25CC6" w:rsidRPr="005B62E9" w:rsidRDefault="00E25CC6" w:rsidP="007F558F">
      <w:pPr>
        <w:pStyle w:val="Heading5"/>
      </w:pPr>
      <w:r w:rsidRPr="005B62E9">
        <w:t xml:space="preserve">Railway </w:t>
      </w:r>
      <w:r>
        <w:t>S</w:t>
      </w:r>
      <w:r w:rsidRPr="005B62E9">
        <w:t xml:space="preserve">tation </w:t>
      </w:r>
      <w:r>
        <w:t>C</w:t>
      </w:r>
      <w:r w:rsidRPr="005B62E9">
        <w:t xml:space="preserve">ar </w:t>
      </w:r>
      <w:r>
        <w:t>P</w:t>
      </w:r>
      <w:r w:rsidRPr="005B62E9">
        <w:t xml:space="preserve">arking </w:t>
      </w:r>
      <w:r>
        <w:t>F</w:t>
      </w:r>
      <w:r w:rsidRPr="005B62E9">
        <w:t>und</w:t>
      </w:r>
    </w:p>
    <w:p w:rsidR="00E25CC6" w:rsidRDefault="00E25CC6" w:rsidP="007F558F">
      <w:pPr>
        <w:rPr>
          <w:rFonts w:asciiTheme="minorHAnsi" w:hAnsiTheme="minorHAnsi"/>
          <w:b/>
          <w:i/>
        </w:rPr>
      </w:pPr>
      <w:r>
        <w:t>Refer to the asset initiative for a description of this initiative.</w:t>
      </w:r>
    </w:p>
    <w:p w:rsidR="00E25CC6" w:rsidRPr="00C4036D" w:rsidRDefault="00E25CC6" w:rsidP="00970369">
      <w:pPr>
        <w:pStyle w:val="Heading5"/>
        <w:rPr>
          <w:lang w:eastAsia="en-AU"/>
        </w:rPr>
      </w:pPr>
      <w:r w:rsidRPr="00C4036D">
        <w:rPr>
          <w:lang w:eastAsia="en-AU"/>
        </w:rPr>
        <w:t>Registration system upgrades</w:t>
      </w:r>
    </w:p>
    <w:p w:rsidR="00E25CC6" w:rsidRPr="00C4036D" w:rsidRDefault="00E25CC6" w:rsidP="00A85608">
      <w:r w:rsidRPr="00C4036D">
        <w:t>VicRoads</w:t>
      </w:r>
      <w:r>
        <w:t>’</w:t>
      </w:r>
      <w:r w:rsidRPr="00C4036D">
        <w:t xml:space="preserve"> registration systems and processes will be upgraded to incorporate customer service and payment improvements, </w:t>
      </w:r>
      <w:r>
        <w:t xml:space="preserve">providing </w:t>
      </w:r>
      <w:r w:rsidRPr="00C4036D">
        <w:t>scope for a broader range of payment options.</w:t>
      </w:r>
    </w:p>
    <w:p w:rsidR="00E25CC6" w:rsidRPr="002F3842" w:rsidRDefault="00E25CC6" w:rsidP="00A85608">
      <w:r w:rsidRPr="00C4036D">
        <w:t>This initiative contributes to the Department of Economic Development, Jobs, Transport and Resources</w:t>
      </w:r>
      <w:r>
        <w:t>’</w:t>
      </w:r>
      <w:r w:rsidRPr="00C4036D">
        <w:t xml:space="preserve"> Transport Safety, Security and Emergency Management output.</w:t>
      </w:r>
    </w:p>
    <w:p w:rsidR="00E25CC6" w:rsidRPr="005B62E9" w:rsidRDefault="00E25CC6" w:rsidP="007F558F">
      <w:pPr>
        <w:pStyle w:val="Heading5"/>
      </w:pPr>
      <w:r w:rsidRPr="005B62E9">
        <w:t xml:space="preserve">Road and </w:t>
      </w:r>
      <w:r>
        <w:t>R</w:t>
      </w:r>
      <w:r w:rsidRPr="005B62E9">
        <w:t xml:space="preserve">ail </w:t>
      </w:r>
      <w:r>
        <w:t>M</w:t>
      </w:r>
      <w:r w:rsidRPr="005B62E9">
        <w:t xml:space="preserve">inor </w:t>
      </w:r>
      <w:r>
        <w:t>W</w:t>
      </w:r>
      <w:r w:rsidRPr="005B62E9">
        <w:t>orks</w:t>
      </w:r>
    </w:p>
    <w:p w:rsidR="00E25CC6" w:rsidRDefault="00E25CC6" w:rsidP="007F558F">
      <w:r>
        <w:t>Refer to the a</w:t>
      </w:r>
      <w:r w:rsidRPr="007A390C">
        <w:t>sset initiative for a description of this initiative.</w:t>
      </w:r>
    </w:p>
    <w:p w:rsidR="00E25CC6" w:rsidRPr="005B62E9" w:rsidRDefault="00E25CC6" w:rsidP="007F558F">
      <w:pPr>
        <w:pStyle w:val="Heading5"/>
      </w:pPr>
      <w:r w:rsidRPr="005B62E9">
        <w:t>Road Restoration and Road Surface Replacement</w:t>
      </w:r>
      <w:r>
        <w:t xml:space="preserve"> </w:t>
      </w:r>
    </w:p>
    <w:p w:rsidR="00E25CC6" w:rsidRPr="00BA2B04" w:rsidRDefault="00E25CC6" w:rsidP="00A85608">
      <w:r w:rsidRPr="00BA2B04">
        <w:t xml:space="preserve">Additional </w:t>
      </w:r>
      <w:r>
        <w:t xml:space="preserve">road surface replacement works will repair roads </w:t>
      </w:r>
      <w:r w:rsidRPr="00BA2B04">
        <w:t>in Melbourne</w:t>
      </w:r>
      <w:r>
        <w:t>’</w:t>
      </w:r>
      <w:r w:rsidRPr="00BA2B04">
        <w:t>s outer suburbs and in regional Victoria. This will reduce the deterioration of road surfaces and support economic and social activities in these areas.</w:t>
      </w:r>
    </w:p>
    <w:p w:rsidR="00E25CC6" w:rsidRPr="00BA2B04" w:rsidRDefault="00E25CC6" w:rsidP="00A85608">
      <w:r w:rsidRPr="00BA2B04">
        <w:t>This initiative contributes to the Department of Economic Development, Jobs, Transport and Resources</w:t>
      </w:r>
      <w:r>
        <w:t>’</w:t>
      </w:r>
      <w:r w:rsidRPr="00BA2B04">
        <w:t xml:space="preserve"> Road Asset Management output.</w:t>
      </w:r>
    </w:p>
    <w:p w:rsidR="00E25CC6" w:rsidRPr="007A390C" w:rsidRDefault="00E25CC6" w:rsidP="007F558F">
      <w:pPr>
        <w:pStyle w:val="Heading5"/>
        <w:rPr>
          <w:lang w:eastAsia="en-AU"/>
        </w:rPr>
      </w:pPr>
      <w:r>
        <w:rPr>
          <w:lang w:eastAsia="en-AU"/>
        </w:rPr>
        <w:t xml:space="preserve">Road Safety </w:t>
      </w:r>
    </w:p>
    <w:p w:rsidR="00E25CC6" w:rsidRPr="007A390C" w:rsidRDefault="00E25CC6" w:rsidP="00A85608">
      <w:pPr>
        <w:rPr>
          <w:lang w:eastAsia="en-AU"/>
        </w:rPr>
      </w:pPr>
      <w:r>
        <w:rPr>
          <w:lang w:eastAsia="en-AU"/>
        </w:rPr>
        <w:t xml:space="preserve">Roads across Victoria will receive safety upgrades to help avoid the risk of serious injury or death on our roads. </w:t>
      </w:r>
    </w:p>
    <w:p w:rsidR="00E25CC6" w:rsidRDefault="00E25CC6" w:rsidP="00A85608">
      <w:pPr>
        <w:rPr>
          <w:lang w:eastAsia="en-AU"/>
        </w:rPr>
      </w:pPr>
      <w:r w:rsidRPr="007A390C">
        <w:rPr>
          <w:lang w:eastAsia="en-AU"/>
        </w:rPr>
        <w:t>This initiative contributes to the Department of Economic Development, Jobs, Transport and Resources</w:t>
      </w:r>
      <w:r>
        <w:rPr>
          <w:lang w:eastAsia="en-AU"/>
        </w:rPr>
        <w:t>’</w:t>
      </w:r>
      <w:r w:rsidRPr="007A390C">
        <w:rPr>
          <w:lang w:eastAsia="en-AU"/>
        </w:rPr>
        <w:t xml:space="preserve"> </w:t>
      </w:r>
      <w:r>
        <w:t>Transport Safety, Security and Emergency</w:t>
      </w:r>
      <w:r w:rsidRPr="007A390C">
        <w:t xml:space="preserve"> </w:t>
      </w:r>
      <w:r>
        <w:t>Management</w:t>
      </w:r>
      <w:r w:rsidRPr="007A390C">
        <w:rPr>
          <w:lang w:eastAsia="en-AU"/>
        </w:rPr>
        <w:t xml:space="preserve"> output.</w:t>
      </w:r>
    </w:p>
    <w:p w:rsidR="00E25CC6" w:rsidRPr="00156074" w:rsidRDefault="00E25CC6" w:rsidP="00970369">
      <w:pPr>
        <w:pStyle w:val="Heading5"/>
      </w:pPr>
      <w:r>
        <w:t xml:space="preserve">The remaking of </w:t>
      </w:r>
      <w:r w:rsidRPr="00C71F32">
        <w:t>sunsetting road regulations</w:t>
      </w:r>
    </w:p>
    <w:p w:rsidR="00E25CC6" w:rsidRPr="007A390C" w:rsidRDefault="00E25CC6" w:rsidP="00A85608">
      <w:r>
        <w:t>R</w:t>
      </w:r>
      <w:r w:rsidRPr="007A390C">
        <w:t xml:space="preserve">oad regulations and rules </w:t>
      </w:r>
      <w:r>
        <w:t xml:space="preserve">which are due to expire </w:t>
      </w:r>
      <w:r w:rsidRPr="007A390C">
        <w:t>will be reviewed with an opportunity to consider</w:t>
      </w:r>
      <w:r>
        <w:t xml:space="preserve"> improved approaches to</w:t>
      </w:r>
      <w:r w:rsidRPr="007A390C">
        <w:t xml:space="preserve"> achieving regulatory objectives. This will support the safety and security of Victoria</w:t>
      </w:r>
      <w:r>
        <w:t>’</w:t>
      </w:r>
      <w:r w:rsidRPr="007A390C">
        <w:t xml:space="preserve">s </w:t>
      </w:r>
      <w:r>
        <w:t>road</w:t>
      </w:r>
      <w:r w:rsidRPr="007A390C">
        <w:t xml:space="preserve"> users. </w:t>
      </w:r>
    </w:p>
    <w:p w:rsidR="00E25CC6" w:rsidRPr="007A390C" w:rsidRDefault="00E25CC6" w:rsidP="00A85608">
      <w:r w:rsidRPr="007A390C">
        <w:t>This initiative contributes to the Department of Economic Development, Jobs, Transport and Resources</w:t>
      </w:r>
      <w:r>
        <w:t>’</w:t>
      </w:r>
      <w:r w:rsidRPr="007A390C">
        <w:t xml:space="preserve"> </w:t>
      </w:r>
      <w:r>
        <w:t>Transport Safety, Security and Emergency</w:t>
      </w:r>
      <w:r w:rsidRPr="007A390C">
        <w:t xml:space="preserve"> </w:t>
      </w:r>
      <w:r>
        <w:t xml:space="preserve">Management </w:t>
      </w:r>
      <w:r w:rsidRPr="007A390C">
        <w:t>output.</w:t>
      </w:r>
    </w:p>
    <w:p w:rsidR="00E25CC6" w:rsidRPr="00BD0719" w:rsidRDefault="00E25CC6" w:rsidP="008F28E3">
      <w:pPr>
        <w:pStyle w:val="Heading5"/>
        <w:rPr>
          <w:lang w:eastAsia="en-AU"/>
        </w:rPr>
      </w:pPr>
      <w:r w:rsidRPr="00BD0719">
        <w:rPr>
          <w:lang w:eastAsia="en-AU"/>
        </w:rPr>
        <w:t xml:space="preserve">Victorian Transport Association </w:t>
      </w:r>
      <w:r>
        <w:rPr>
          <w:lang w:eastAsia="en-AU"/>
        </w:rPr>
        <w:t>Logistics Cadetship P</w:t>
      </w:r>
      <w:r w:rsidRPr="00BD0719">
        <w:rPr>
          <w:lang w:eastAsia="en-AU"/>
        </w:rPr>
        <w:t>rogram</w:t>
      </w:r>
    </w:p>
    <w:p w:rsidR="00E25CC6" w:rsidRPr="00BD0719" w:rsidRDefault="00E25CC6" w:rsidP="00A85608">
      <w:pPr>
        <w:rPr>
          <w:lang w:eastAsia="en-AU"/>
        </w:rPr>
      </w:pPr>
      <w:r w:rsidRPr="00BD0719">
        <w:rPr>
          <w:lang w:eastAsia="en-AU"/>
        </w:rPr>
        <w:t>A grant to the Vi</w:t>
      </w:r>
      <w:r>
        <w:rPr>
          <w:lang w:eastAsia="en-AU"/>
        </w:rPr>
        <w:t>ctorian Transport Association will</w:t>
      </w:r>
      <w:r w:rsidRPr="00BD0719">
        <w:rPr>
          <w:lang w:eastAsia="en-AU"/>
        </w:rPr>
        <w:t xml:space="preserve"> </w:t>
      </w:r>
      <w:r>
        <w:rPr>
          <w:lang w:eastAsia="en-AU"/>
        </w:rPr>
        <w:t>fund</w:t>
      </w:r>
      <w:r w:rsidRPr="00BD0719">
        <w:rPr>
          <w:lang w:eastAsia="en-AU"/>
        </w:rPr>
        <w:t xml:space="preserve"> the logistics cadetship program</w:t>
      </w:r>
      <w:r>
        <w:rPr>
          <w:lang w:eastAsia="en-AU"/>
        </w:rPr>
        <w:t>,</w:t>
      </w:r>
      <w:r w:rsidRPr="00BD0719">
        <w:rPr>
          <w:lang w:eastAsia="en-AU"/>
        </w:rPr>
        <w:t xml:space="preserve"> </w:t>
      </w:r>
      <w:r>
        <w:rPr>
          <w:lang w:eastAsia="en-AU"/>
        </w:rPr>
        <w:t xml:space="preserve">which will </w:t>
      </w:r>
      <w:r w:rsidRPr="00BD0719">
        <w:rPr>
          <w:lang w:eastAsia="en-AU"/>
        </w:rPr>
        <w:t>support young people to pursue a career in the freight and logistics industry.</w:t>
      </w:r>
    </w:p>
    <w:p w:rsidR="00E25CC6" w:rsidRPr="00265471" w:rsidRDefault="00E25CC6" w:rsidP="00A85608">
      <w:pPr>
        <w:rPr>
          <w:iCs/>
          <w:lang w:eastAsia="en-AU"/>
        </w:rPr>
      </w:pPr>
      <w:r w:rsidRPr="00BD0719">
        <w:rPr>
          <w:lang w:eastAsia="en-AU"/>
        </w:rPr>
        <w:t>This initiative delivers on the Government</w:t>
      </w:r>
      <w:r>
        <w:rPr>
          <w:lang w:eastAsia="en-AU"/>
        </w:rPr>
        <w:t>’</w:t>
      </w:r>
      <w:r w:rsidRPr="00BD0719">
        <w:rPr>
          <w:lang w:eastAsia="en-AU"/>
        </w:rPr>
        <w:t xml:space="preserve">s election commitment as published in </w:t>
      </w:r>
      <w:r w:rsidRPr="00265471">
        <w:rPr>
          <w:iCs/>
          <w:lang w:eastAsia="en-AU"/>
        </w:rPr>
        <w:t>Labor</w:t>
      </w:r>
      <w:r>
        <w:rPr>
          <w:iCs/>
          <w:lang w:eastAsia="en-AU"/>
        </w:rPr>
        <w:t>’</w:t>
      </w:r>
      <w:r w:rsidRPr="00265471">
        <w:rPr>
          <w:iCs/>
          <w:lang w:eastAsia="en-AU"/>
        </w:rPr>
        <w:t>s Financial Statement 2014.</w:t>
      </w:r>
      <w:r>
        <w:rPr>
          <w:iCs/>
          <w:lang w:eastAsia="en-AU"/>
        </w:rPr>
        <w:fldChar w:fldCharType="begin"/>
      </w:r>
      <w:r>
        <w:instrText xml:space="preserve"> XE "</w:instrText>
      </w:r>
      <w:r w:rsidRPr="009C4452">
        <w:instrText>Department of Economic Development, Jobs, Transport and Resources:Transport Network Safety, Operation and Development</w:instrText>
      </w:r>
      <w:r>
        <w:instrText xml:space="preserve">" \r "DEDJTR_TransNetChap1" </w:instrText>
      </w:r>
      <w:r>
        <w:rPr>
          <w:iCs/>
          <w:lang w:eastAsia="en-AU"/>
        </w:rPr>
        <w:fldChar w:fldCharType="end"/>
      </w:r>
    </w:p>
    <w:p w:rsidR="00E25CC6" w:rsidRDefault="00E25CC6" w:rsidP="00A85608">
      <w:pPr>
        <w:rPr>
          <w:lang w:eastAsia="en-AU"/>
        </w:rPr>
      </w:pPr>
      <w:r w:rsidRPr="00BD0719">
        <w:rPr>
          <w:lang w:eastAsia="en-AU"/>
        </w:rPr>
        <w:t>This initiative contributes to the Department of Economic Development, Jobs, Transport and Resources</w:t>
      </w:r>
      <w:r>
        <w:rPr>
          <w:lang w:eastAsia="en-AU"/>
        </w:rPr>
        <w:t>’</w:t>
      </w:r>
      <w:r w:rsidRPr="00BD0719">
        <w:rPr>
          <w:lang w:eastAsia="en-AU"/>
        </w:rPr>
        <w:t xml:space="preserve"> Port and Freight Network Access output.</w:t>
      </w:r>
    </w:p>
    <w:p w:rsidR="00E25CC6" w:rsidRPr="007F558F" w:rsidRDefault="00E25CC6" w:rsidP="007F558F">
      <w:pPr>
        <w:pStyle w:val="Heading5"/>
        <w:rPr>
          <w:b w:val="0"/>
          <w:i/>
        </w:rPr>
      </w:pPr>
      <w:bookmarkStart w:id="19" w:name="DEDJTR_MetroRoads"/>
      <w:bookmarkEnd w:id="18"/>
      <w:r w:rsidRPr="007F558F">
        <w:rPr>
          <w:b w:val="0"/>
          <w:i/>
        </w:rPr>
        <w:t>Metropolitan Roads</w:t>
      </w:r>
    </w:p>
    <w:p w:rsidR="00E25CC6" w:rsidRPr="005B62E9" w:rsidRDefault="00E25CC6" w:rsidP="001B3AC8">
      <w:pPr>
        <w:pStyle w:val="Heading5"/>
      </w:pPr>
      <w:r w:rsidRPr="005B62E9">
        <w:t xml:space="preserve">Bolton Street Upgrade (Main </w:t>
      </w:r>
      <w:r>
        <w:t>Road</w:t>
      </w:r>
      <w:r w:rsidRPr="005B62E9">
        <w:t xml:space="preserve"> to Bridge Street)</w:t>
      </w:r>
    </w:p>
    <w:p w:rsidR="00E25CC6" w:rsidRDefault="00E25CC6" w:rsidP="001B3AC8">
      <w:r>
        <w:t xml:space="preserve">Works will commence to upgrade Bolton Street, Eltham, between Main Road and Bridge Street by widening turning lanes and improvements to footpaths, drainage and pavements. These works will improve road quality, safety for users and traffic conditions. </w:t>
      </w:r>
    </w:p>
    <w:p w:rsidR="00E25CC6" w:rsidRPr="00265471" w:rsidRDefault="00E25CC6" w:rsidP="001B3AC8">
      <w:pPr>
        <w:rPr>
          <w:lang w:val="en"/>
        </w:rPr>
      </w:pPr>
      <w:r>
        <w:t xml:space="preserve">This initiative delivers on the Government’s election commitment as published in </w:t>
      </w:r>
      <w:r w:rsidRPr="00265471">
        <w:t>Labor</w:t>
      </w:r>
      <w:r>
        <w:t>’</w:t>
      </w:r>
      <w:r w:rsidRPr="00265471">
        <w:t>s Financial Statement 2014.</w:t>
      </w:r>
    </w:p>
    <w:p w:rsidR="00E25CC6" w:rsidRDefault="00E25CC6" w:rsidP="001B3AC8">
      <w:r>
        <w:t>This initiative contributes to the Department of Economic Development, Jobs, Transport and Resources’ Road Operations and Network Improvements output.</w:t>
      </w:r>
    </w:p>
    <w:p w:rsidR="00E25CC6" w:rsidRPr="005B62E9" w:rsidRDefault="00E25CC6" w:rsidP="001B3AC8">
      <w:pPr>
        <w:pStyle w:val="Heading5"/>
      </w:pPr>
      <w:r w:rsidRPr="005B62E9">
        <w:t xml:space="preserve">Monash </w:t>
      </w:r>
      <w:r>
        <w:t>freeway g</w:t>
      </w:r>
      <w:r w:rsidRPr="005B62E9">
        <w:t xml:space="preserve">raffiti </w:t>
      </w:r>
      <w:r>
        <w:t>r</w:t>
      </w:r>
      <w:r w:rsidRPr="005B62E9">
        <w:t>emoval</w:t>
      </w:r>
    </w:p>
    <w:p w:rsidR="00E25CC6" w:rsidRDefault="00E25CC6" w:rsidP="001B3AC8">
      <w:r>
        <w:t xml:space="preserve">A blitz of graffiti removal on noisewalls and structures along the Monash Freeway will be </w:t>
      </w:r>
      <w:r w:rsidRPr="002163F2">
        <w:t>undertaken to maintain a clean and uniform motorway environment, and to prevent future</w:t>
      </w:r>
      <w:r>
        <w:t xml:space="preserve"> graffiti.</w:t>
      </w:r>
    </w:p>
    <w:p w:rsidR="00E25CC6" w:rsidRDefault="00E25CC6" w:rsidP="001B3AC8">
      <w:r>
        <w:t>This initiative contributes to the Department of Economic Development, Jobs, Transport and Resources’ Road Asset Management output.</w:t>
      </w:r>
    </w:p>
    <w:p w:rsidR="00E25CC6" w:rsidRPr="005B62E9" w:rsidRDefault="00E25CC6" w:rsidP="001B3AC8">
      <w:pPr>
        <w:pStyle w:val="Heading5"/>
      </w:pPr>
      <w:r w:rsidRPr="005B62E9">
        <w:t>O</w:t>
      </w:r>
      <w:r>
        <w:t>’</w:t>
      </w:r>
      <w:r w:rsidRPr="005B62E9">
        <w:t>Herns Road upgrade</w:t>
      </w:r>
    </w:p>
    <w:p w:rsidR="00E25CC6" w:rsidRDefault="00E25CC6" w:rsidP="001B3AC8">
      <w:r>
        <w:t>Refer to the asset initiative for a description of this initiative.</w:t>
      </w:r>
    </w:p>
    <w:p w:rsidR="00E25CC6" w:rsidRPr="005B62E9" w:rsidRDefault="00E25CC6" w:rsidP="001B3AC8">
      <w:pPr>
        <w:pStyle w:val="Heading5"/>
      </w:pPr>
      <w:r w:rsidRPr="005B62E9">
        <w:t>Outer suburban arterial roads package</w:t>
      </w:r>
    </w:p>
    <w:p w:rsidR="00E25CC6" w:rsidRDefault="00E25CC6" w:rsidP="001B3AC8">
      <w:r>
        <w:t>Refer to the asset initiative for a description of this initiative.</w:t>
      </w:r>
    </w:p>
    <w:p w:rsidR="00E25CC6" w:rsidRPr="00156074" w:rsidRDefault="00E25CC6" w:rsidP="001B3AC8">
      <w:pPr>
        <w:pStyle w:val="Heading5"/>
      </w:pPr>
      <w:r w:rsidRPr="00156074">
        <w:t>Streamlining Hoddle Street</w:t>
      </w:r>
    </w:p>
    <w:p w:rsidR="00E25CC6" w:rsidRDefault="00E25CC6" w:rsidP="001B3AC8">
      <w:r>
        <w:t>Refer to the a</w:t>
      </w:r>
      <w:r w:rsidRPr="007A390C">
        <w:t>sset initiative for a description of this initiative.</w:t>
      </w:r>
    </w:p>
    <w:p w:rsidR="00E25CC6" w:rsidRPr="00156074" w:rsidRDefault="00E25CC6" w:rsidP="001B3AC8">
      <w:pPr>
        <w:pStyle w:val="Heading5"/>
      </w:pPr>
      <w:r w:rsidRPr="00156074">
        <w:t>Thompsons Road duplication</w:t>
      </w:r>
    </w:p>
    <w:p w:rsidR="00E25CC6" w:rsidRPr="007A390C" w:rsidRDefault="00E25CC6" w:rsidP="001B3AC8">
      <w:r w:rsidRPr="007A390C">
        <w:t>Refer to the Asset initiative for a description of this initiative.</w:t>
      </w:r>
    </w:p>
    <w:p w:rsidR="00E25CC6" w:rsidRPr="00C61886" w:rsidRDefault="00E25CC6" w:rsidP="008F28E3">
      <w:pPr>
        <w:pStyle w:val="Heading5"/>
      </w:pPr>
      <w:r w:rsidRPr="00AF356E">
        <w:t>VicRoads</w:t>
      </w:r>
      <w:r>
        <w:t>’</w:t>
      </w:r>
      <w:r w:rsidRPr="00AF356E">
        <w:t xml:space="preserve"> Incident Response Service</w:t>
      </w:r>
      <w:r>
        <w:t xml:space="preserve"> </w:t>
      </w:r>
    </w:p>
    <w:p w:rsidR="00E25CC6" w:rsidRPr="00C61886" w:rsidRDefault="00E25CC6" w:rsidP="008F28E3">
      <w:r w:rsidRPr="00C61886">
        <w:t>VicRoads</w:t>
      </w:r>
      <w:r>
        <w:t>’</w:t>
      </w:r>
      <w:r w:rsidRPr="00C61886">
        <w:t xml:space="preserve"> Incident Response Service will be expanded to </w:t>
      </w:r>
      <w:r>
        <w:t>respond to</w:t>
      </w:r>
      <w:r w:rsidRPr="00C61886">
        <w:t xml:space="preserve"> on</w:t>
      </w:r>
      <w:r>
        <w:noBreakHyphen/>
      </w:r>
      <w:r w:rsidRPr="00C61886">
        <w:t>road incidents</w:t>
      </w:r>
      <w:r>
        <w:t xml:space="preserve"> on arterial roads</w:t>
      </w:r>
      <w:r w:rsidRPr="00C61886">
        <w:t xml:space="preserve"> that can affect the flow of traffic. </w:t>
      </w:r>
    </w:p>
    <w:p w:rsidR="00E25CC6" w:rsidRDefault="00E25CC6" w:rsidP="008F28E3">
      <w:r w:rsidRPr="00C61886">
        <w:t>This initiative contributes to the Department of Economic Development, Jobs, Transport and Resources</w:t>
      </w:r>
      <w:r>
        <w:t>’</w:t>
      </w:r>
      <w:r w:rsidRPr="00C61886">
        <w:t xml:space="preserve"> </w:t>
      </w:r>
      <w:r>
        <w:t>Transport Safety, Security and Emergency Management output</w:t>
      </w:r>
      <w:r w:rsidRPr="00C61886">
        <w:t>.</w:t>
      </w:r>
    </w:p>
    <w:p w:rsidR="00E25CC6" w:rsidRPr="00156074" w:rsidRDefault="00E25CC6" w:rsidP="001B3AC8">
      <w:pPr>
        <w:pStyle w:val="Heading5"/>
      </w:pPr>
      <w:r>
        <w:t>West Gate Bridge maintenance</w:t>
      </w:r>
    </w:p>
    <w:p w:rsidR="00E25CC6" w:rsidRPr="008E728A" w:rsidRDefault="00E25CC6" w:rsidP="001B3AC8">
      <w:r>
        <w:t>The West Gate Bridge will undergo enhanced maintenance works to ensure its longevity.</w:t>
      </w:r>
    </w:p>
    <w:p w:rsidR="00E25CC6" w:rsidRDefault="00E25CC6" w:rsidP="001B3AC8">
      <w:r>
        <w:t>This initiative contributes to the Department of Economic Development, Jobs, Transport and Resources’ Road Asset Management output.</w:t>
      </w:r>
    </w:p>
    <w:p w:rsidR="00E25CC6" w:rsidRPr="00156074" w:rsidRDefault="00E25CC6" w:rsidP="008F28E3">
      <w:pPr>
        <w:pStyle w:val="Heading5"/>
      </w:pPr>
      <w:r w:rsidRPr="00156074">
        <w:t>Yan Yean Road duplication</w:t>
      </w:r>
    </w:p>
    <w:p w:rsidR="00E25CC6" w:rsidRDefault="00E25CC6" w:rsidP="008F28E3">
      <w:r>
        <w:t>Refer to the Asset initiative for a description of this initiative.</w:t>
      </w:r>
    </w:p>
    <w:p w:rsidR="00E25CC6" w:rsidRPr="007F558F" w:rsidRDefault="00E25CC6" w:rsidP="007F558F">
      <w:pPr>
        <w:pStyle w:val="Heading5"/>
        <w:rPr>
          <w:i/>
        </w:rPr>
      </w:pPr>
      <w:r w:rsidRPr="007F558F">
        <w:rPr>
          <w:i/>
        </w:rPr>
        <w:t>Regional Roads</w:t>
      </w:r>
    </w:p>
    <w:p w:rsidR="00E25CC6" w:rsidRDefault="00E25CC6" w:rsidP="001B3AC8">
      <w:pPr>
        <w:pStyle w:val="Heading5"/>
      </w:pPr>
      <w:r>
        <w:t xml:space="preserve">Building our regions </w:t>
      </w:r>
    </w:p>
    <w:p w:rsidR="00E25CC6" w:rsidRDefault="00E25CC6" w:rsidP="001B3AC8">
      <w:r>
        <w:t>Refer to the asset initiative for a description of this initiative.</w:t>
      </w:r>
    </w:p>
    <w:p w:rsidR="00E25CC6" w:rsidRPr="005B62E9" w:rsidRDefault="00E25CC6" w:rsidP="001B3AC8">
      <w:pPr>
        <w:pStyle w:val="Heading5"/>
      </w:pPr>
      <w:r w:rsidRPr="005B62E9">
        <w:t>Drysdale Bypass</w:t>
      </w:r>
    </w:p>
    <w:p w:rsidR="00E25CC6" w:rsidRDefault="00E25CC6" w:rsidP="001B3AC8">
      <w:r>
        <w:t>Refer to the asset initiative for a description of this initiative.</w:t>
      </w:r>
    </w:p>
    <w:p w:rsidR="00E25CC6" w:rsidRPr="005B62E9" w:rsidRDefault="00E25CC6" w:rsidP="001B3AC8">
      <w:pPr>
        <w:pStyle w:val="Heading5"/>
      </w:pPr>
      <w:r w:rsidRPr="005B62E9">
        <w:t>Geelong Ring Road extension planning</w:t>
      </w:r>
    </w:p>
    <w:p w:rsidR="00E25CC6" w:rsidRDefault="00E25CC6" w:rsidP="001B3AC8">
      <w:r>
        <w:t>A planning study will be undertaken to determine the preferred alignment for an extension of the Geelong Ring Road to the Bellarine Peninsula.</w:t>
      </w:r>
    </w:p>
    <w:p w:rsidR="00E25CC6" w:rsidRPr="00265471" w:rsidRDefault="00E25CC6" w:rsidP="001B3AC8">
      <w:r>
        <w:rPr>
          <w:szCs w:val="22"/>
        </w:rPr>
        <w:t xml:space="preserve">This initiative delivers on the Government’s election commitment as published in </w:t>
      </w:r>
      <w:r w:rsidRPr="00265471">
        <w:rPr>
          <w:szCs w:val="22"/>
        </w:rPr>
        <w:t>Labor</w:t>
      </w:r>
      <w:r>
        <w:rPr>
          <w:szCs w:val="22"/>
        </w:rPr>
        <w:t>’</w:t>
      </w:r>
      <w:r w:rsidRPr="00265471">
        <w:rPr>
          <w:szCs w:val="22"/>
        </w:rPr>
        <w:t>s Financial Statement 2014.</w:t>
      </w:r>
    </w:p>
    <w:p w:rsidR="00E25CC6" w:rsidRDefault="00E25CC6" w:rsidP="001B3AC8">
      <w:r>
        <w:t>This initiative contributes to the Department of Economic Development, Jobs, Transport and Resources’ Road Operations and Network Improvement output.</w:t>
      </w:r>
    </w:p>
    <w:p w:rsidR="00E25CC6" w:rsidRPr="000F212A" w:rsidRDefault="00E25CC6" w:rsidP="008F28E3">
      <w:pPr>
        <w:pStyle w:val="Heading5"/>
      </w:pPr>
      <w:r w:rsidRPr="000F212A">
        <w:t>Midland Highway</w:t>
      </w:r>
      <w:r>
        <w:t>/</w:t>
      </w:r>
      <w:r w:rsidRPr="000F212A">
        <w:t xml:space="preserve">Napier Street Improvement </w:t>
      </w:r>
      <w:r>
        <w:t>works</w:t>
      </w:r>
    </w:p>
    <w:p w:rsidR="00E25CC6" w:rsidRDefault="00E25CC6" w:rsidP="008F28E3">
      <w:r>
        <w:t>Refer to the asset initiative for a description of this initiative.</w:t>
      </w:r>
    </w:p>
    <w:p w:rsidR="00E25CC6" w:rsidRPr="005B62E9" w:rsidRDefault="00E25CC6" w:rsidP="008F28E3">
      <w:pPr>
        <w:pStyle w:val="Heading5"/>
      </w:pPr>
      <w:r w:rsidRPr="005B62E9">
        <w:t>Murray River Bridges – Tooleybuc Bridge</w:t>
      </w:r>
    </w:p>
    <w:p w:rsidR="00E25CC6" w:rsidRDefault="00E25CC6" w:rsidP="008F28E3">
      <w:r w:rsidRPr="00947A66">
        <w:t xml:space="preserve">Project development and site due diligence activities </w:t>
      </w:r>
      <w:r>
        <w:t>will commence to</w:t>
      </w:r>
      <w:r w:rsidRPr="00947A66">
        <w:t xml:space="preserve"> </w:t>
      </w:r>
      <w:r>
        <w:t>replace</w:t>
      </w:r>
      <w:r w:rsidRPr="00947A66">
        <w:t xml:space="preserve"> the existing heritage listed bridge at Tooleybuc. The development activities will be undertaken in partnership with the New South Wales</w:t>
      </w:r>
      <w:r>
        <w:t xml:space="preserve"> Government. </w:t>
      </w:r>
    </w:p>
    <w:p w:rsidR="00E25CC6" w:rsidRDefault="00E25CC6" w:rsidP="008F28E3">
      <w:pPr>
        <w:rPr>
          <w:szCs w:val="22"/>
        </w:rPr>
      </w:pPr>
      <w:r>
        <w:rPr>
          <w:szCs w:val="22"/>
        </w:rPr>
        <w:t>This initiative contributes to the Department of Economic Development, Jobs, Transport and Resources’ Road Operations and Network Improvement output.</w:t>
      </w:r>
    </w:p>
    <w:p w:rsidR="00E25CC6" w:rsidRDefault="00E25CC6" w:rsidP="008F28E3">
      <w:pPr>
        <w:pStyle w:val="Heading5"/>
      </w:pPr>
      <w:r>
        <w:t>Napier Street Bendigo Duplication</w:t>
      </w:r>
    </w:p>
    <w:p w:rsidR="00E25CC6" w:rsidRDefault="00E25CC6" w:rsidP="008F28E3">
      <w:r>
        <w:t>Refer to the asset initiative for a description of this initiative.</w:t>
      </w:r>
    </w:p>
    <w:p w:rsidR="00E25CC6" w:rsidRPr="005B62E9" w:rsidRDefault="00E25CC6" w:rsidP="008F28E3">
      <w:pPr>
        <w:pStyle w:val="Heading5"/>
      </w:pPr>
      <w:r>
        <w:t>Regional overtaking lanes</w:t>
      </w:r>
    </w:p>
    <w:p w:rsidR="00E25CC6" w:rsidRDefault="00E25CC6" w:rsidP="008F28E3">
      <w:r>
        <w:t>Refer to the a</w:t>
      </w:r>
      <w:r w:rsidRPr="007A390C">
        <w:t>sset initiative for a description of this initiative.</w:t>
      </w:r>
      <w:r>
        <w:fldChar w:fldCharType="begin"/>
      </w:r>
      <w:r>
        <w:instrText xml:space="preserve"> XE "</w:instrText>
      </w:r>
      <w:r w:rsidRPr="00C41DF6">
        <w:instrText>Department of Economic Development, Jobs, Transport and Resources:Roads</w:instrText>
      </w:r>
      <w:r>
        <w:instrText xml:space="preserve">" \r "DEDJTR_MetroRoads" </w:instrText>
      </w:r>
      <w:r>
        <w:fldChar w:fldCharType="end"/>
      </w:r>
    </w:p>
    <w:p w:rsidR="00E25CC6" w:rsidRPr="007F558F" w:rsidRDefault="00E25CC6" w:rsidP="007F558F">
      <w:pPr>
        <w:pStyle w:val="Heading5"/>
        <w:rPr>
          <w:rFonts w:asciiTheme="minorHAnsi" w:hAnsiTheme="minorHAnsi"/>
          <w:b w:val="0"/>
          <w:i/>
        </w:rPr>
      </w:pPr>
      <w:bookmarkStart w:id="20" w:name="DEDJTR_PubTrans"/>
      <w:bookmarkEnd w:id="19"/>
      <w:r w:rsidRPr="007F558F">
        <w:rPr>
          <w:b w:val="0"/>
          <w:i/>
        </w:rPr>
        <w:t>Metropolitan Public Transport</w:t>
      </w:r>
    </w:p>
    <w:p w:rsidR="00E25CC6" w:rsidRPr="00156074" w:rsidRDefault="00E25CC6" w:rsidP="001B3AC8">
      <w:pPr>
        <w:pStyle w:val="Heading5"/>
      </w:pPr>
      <w:r w:rsidRPr="00156074">
        <w:t>Additional X</w:t>
      </w:r>
      <w:r>
        <w:t>’</w:t>
      </w:r>
      <w:r w:rsidRPr="00156074">
        <w:t xml:space="preserve">Trapolis trains </w:t>
      </w:r>
    </w:p>
    <w:p w:rsidR="00E25CC6" w:rsidRDefault="00E25CC6" w:rsidP="001B3AC8">
      <w:r>
        <w:t>Refer to the asset initiative for a description of this initiative.</w:t>
      </w:r>
    </w:p>
    <w:p w:rsidR="00E25CC6" w:rsidRPr="005B62E9" w:rsidRDefault="00E25CC6" w:rsidP="001B3AC8">
      <w:pPr>
        <w:pStyle w:val="Heading5"/>
      </w:pPr>
      <w:r w:rsidRPr="005B62E9">
        <w:t>City</w:t>
      </w:r>
      <w:r>
        <w:t xml:space="preserve"> Loop fire and safety upgrade (S</w:t>
      </w:r>
      <w:r w:rsidRPr="005B62E9">
        <w:t>tage 2) including intruder alarm</w:t>
      </w:r>
    </w:p>
    <w:p w:rsidR="00E25CC6" w:rsidRDefault="00E25CC6" w:rsidP="001B3AC8">
      <w:r>
        <w:t>Refer to the asset initiative for a description of this initiative.</w:t>
      </w:r>
    </w:p>
    <w:p w:rsidR="00E25CC6" w:rsidRPr="00B3556C" w:rsidRDefault="00E25CC6" w:rsidP="009163BA">
      <w:pPr>
        <w:pStyle w:val="Heading5"/>
      </w:pPr>
      <w:r w:rsidRPr="00B3556C">
        <w:t xml:space="preserve">Hurstbridge Corridor Upgrade </w:t>
      </w:r>
    </w:p>
    <w:p w:rsidR="00E25CC6" w:rsidRDefault="00E25CC6" w:rsidP="009163BA">
      <w:r>
        <w:t>Refer to the asset initiative for a description of this initiative.</w:t>
      </w:r>
    </w:p>
    <w:p w:rsidR="00E25CC6" w:rsidRPr="005B62E9" w:rsidRDefault="00E25CC6" w:rsidP="008F28E3">
      <w:pPr>
        <w:pStyle w:val="Heading5"/>
      </w:pPr>
      <w:r w:rsidRPr="005B62E9">
        <w:t>Melbourne Bike Share</w:t>
      </w:r>
    </w:p>
    <w:p w:rsidR="00E25CC6" w:rsidRPr="0049664B" w:rsidRDefault="00E25CC6" w:rsidP="008F28E3">
      <w:pPr>
        <w:rPr>
          <w:rFonts w:ascii="Calibri" w:eastAsiaTheme="minorEastAsia" w:hAnsi="Calibri" w:cs="Calibri"/>
          <w:color w:val="000000"/>
          <w:sz w:val="20"/>
          <w:lang w:eastAsia="en-AU"/>
        </w:rPr>
      </w:pPr>
      <w:r>
        <w:t xml:space="preserve">The Melbourne Bike Share scheme encourages bike riding by promoting short cycling trips in and around central Melbourne. The scheme will continue for a further two years to provide bikes for hire around the Melbourne inner city. </w:t>
      </w:r>
    </w:p>
    <w:p w:rsidR="00E25CC6" w:rsidRDefault="00E25CC6" w:rsidP="008F28E3">
      <w:r>
        <w:t>This initiative contributes to the Department of Economic Development, Jobs, Transport and Resources’ Integrated Transport output.</w:t>
      </w:r>
    </w:p>
    <w:p w:rsidR="00E25CC6" w:rsidRPr="005B62E9" w:rsidRDefault="00E25CC6" w:rsidP="001B3AC8">
      <w:pPr>
        <w:pStyle w:val="Heading5"/>
      </w:pPr>
      <w:r>
        <w:t>More bus services sooner</w:t>
      </w:r>
    </w:p>
    <w:p w:rsidR="00E25CC6" w:rsidRPr="00B37646" w:rsidRDefault="00E25CC6" w:rsidP="001B3AC8">
      <w:pPr>
        <w:rPr>
          <w:lang w:eastAsia="en-AU"/>
        </w:rPr>
      </w:pPr>
      <w:r>
        <w:rPr>
          <w:lang w:eastAsia="en-AU"/>
        </w:rPr>
        <w:t>T</w:t>
      </w:r>
      <w:r w:rsidRPr="00B37646">
        <w:rPr>
          <w:lang w:eastAsia="en-AU"/>
        </w:rPr>
        <w:t xml:space="preserve">he </w:t>
      </w:r>
      <w:r>
        <w:rPr>
          <w:lang w:eastAsia="en-AU"/>
        </w:rPr>
        <w:t xml:space="preserve">Government will bring forward new services to be provided by the $100 million </w:t>
      </w:r>
      <w:r w:rsidRPr="00B37646">
        <w:rPr>
          <w:lang w:eastAsia="en-AU"/>
        </w:rPr>
        <w:t xml:space="preserve">Bus Package </w:t>
      </w:r>
      <w:r>
        <w:rPr>
          <w:lang w:eastAsia="en-AU"/>
        </w:rPr>
        <w:t xml:space="preserve">election commitment funded in the </w:t>
      </w:r>
      <w:r w:rsidRPr="00B37646">
        <w:rPr>
          <w:i/>
          <w:iCs/>
          <w:lang w:eastAsia="en-AU"/>
        </w:rPr>
        <w:t>2015</w:t>
      </w:r>
      <w:r>
        <w:rPr>
          <w:i/>
          <w:iCs/>
          <w:lang w:eastAsia="en-AU"/>
        </w:rPr>
        <w:noBreakHyphen/>
      </w:r>
      <w:r w:rsidRPr="00B37646">
        <w:rPr>
          <w:i/>
          <w:iCs/>
          <w:lang w:eastAsia="en-AU"/>
        </w:rPr>
        <w:t>16 Budget</w:t>
      </w:r>
      <w:r>
        <w:rPr>
          <w:lang w:eastAsia="en-AU"/>
        </w:rPr>
        <w:t xml:space="preserve">. </w:t>
      </w:r>
      <w:r w:rsidRPr="00B37646">
        <w:rPr>
          <w:lang w:eastAsia="en-AU"/>
        </w:rPr>
        <w:t>This will</w:t>
      </w:r>
      <w:r>
        <w:rPr>
          <w:lang w:eastAsia="en-AU"/>
        </w:rPr>
        <w:t xml:space="preserve"> improve bus networks across the State, with new and expanded routes provided two years earlier than previously committed.</w:t>
      </w:r>
    </w:p>
    <w:p w:rsidR="00E25CC6" w:rsidRPr="00C1523B" w:rsidRDefault="00E25CC6" w:rsidP="001B3AC8">
      <w:r w:rsidRPr="00C1523B">
        <w:rPr>
          <w:lang w:eastAsia="en-AU"/>
        </w:rPr>
        <w:t>This initiative contributes to the Department of Economic Development, Jobs, Transport and Resources</w:t>
      </w:r>
      <w:r>
        <w:rPr>
          <w:lang w:eastAsia="en-AU"/>
        </w:rPr>
        <w:t>’</w:t>
      </w:r>
      <w:r w:rsidRPr="00C1523B">
        <w:rPr>
          <w:lang w:eastAsia="en-AU"/>
        </w:rPr>
        <w:t xml:space="preserve"> Bus Services output.</w:t>
      </w:r>
    </w:p>
    <w:p w:rsidR="00E25CC6" w:rsidRDefault="00E25CC6">
      <w:pPr>
        <w:spacing w:after="0"/>
        <w:rPr>
          <w:rFonts w:ascii="Calibri" w:hAnsi="Calibri"/>
          <w:b/>
        </w:rPr>
      </w:pPr>
      <w:r>
        <w:br w:type="page"/>
      </w:r>
    </w:p>
    <w:p w:rsidR="00E25CC6" w:rsidRPr="005B62E9" w:rsidRDefault="00E25CC6" w:rsidP="009163BA">
      <w:pPr>
        <w:pStyle w:val="Heading5"/>
      </w:pPr>
      <w:r>
        <w:t>More metropolitan train services</w:t>
      </w:r>
    </w:p>
    <w:p w:rsidR="00E25CC6" w:rsidRDefault="00E25CC6" w:rsidP="009163BA">
      <w:r>
        <w:t>To meet increasing demand for metropolitan rail services, additional services will be provided across the metro network. The additional services will improve reliability and reduce overcrowding. An investigation into optimal train frequencies will be undertaken to ensure that the timing of services best meets passenger needs.</w:t>
      </w:r>
    </w:p>
    <w:p w:rsidR="00E25CC6" w:rsidRDefault="00E25CC6" w:rsidP="009163BA">
      <w:r>
        <w:t>This initiative contributes to the Department of Economic Development, Jobs, Transport and Resources’ Train Services output.</w:t>
      </w:r>
    </w:p>
    <w:p w:rsidR="00E25CC6" w:rsidRPr="005B62E9" w:rsidRDefault="00E25CC6" w:rsidP="001B3AC8">
      <w:pPr>
        <w:pStyle w:val="Heading5"/>
      </w:pPr>
      <w:r>
        <w:t>New b</w:t>
      </w:r>
      <w:r w:rsidRPr="005B62E9">
        <w:t xml:space="preserve">us </w:t>
      </w:r>
      <w:r>
        <w:t>s</w:t>
      </w:r>
      <w:r w:rsidRPr="005B62E9">
        <w:t xml:space="preserve">ervices </w:t>
      </w:r>
    </w:p>
    <w:p w:rsidR="00E25CC6" w:rsidRDefault="00E25CC6" w:rsidP="001B3AC8">
      <w:r>
        <w:t>Bus</w:t>
      </w:r>
      <w:r w:rsidRPr="00C61886">
        <w:t xml:space="preserve"> service</w:t>
      </w:r>
      <w:r>
        <w:t xml:space="preserve"> improvements will be delivered to the Victorian bus network on selected routes to ensure a connected transport system and improved passenger accessibility. </w:t>
      </w:r>
    </w:p>
    <w:p w:rsidR="00E25CC6" w:rsidRPr="006D743E" w:rsidRDefault="00E25CC6" w:rsidP="006D743E">
      <w:r>
        <w:t>This initiative contributes to the Department of Economic Development, Jobs, Transport and Resources’ Bus Services output.</w:t>
      </w:r>
    </w:p>
    <w:p w:rsidR="00E25CC6" w:rsidRPr="00156074" w:rsidRDefault="00E25CC6" w:rsidP="008F28E3">
      <w:pPr>
        <w:pStyle w:val="Heading5"/>
      </w:pPr>
      <w:r w:rsidRPr="00156074">
        <w:t>Westgate Punt</w:t>
      </w:r>
    </w:p>
    <w:p w:rsidR="00E25CC6" w:rsidRDefault="00E25CC6" w:rsidP="008F28E3">
      <w:r>
        <w:t>The operation of the Westgate Punt will continue, providing access through a crossing of the Yarra River from Spotswood to Port Melbourne for cyclists and pedestrians.</w:t>
      </w:r>
      <w:r w:rsidRPr="00F50622">
        <w:rPr>
          <w:rFonts w:asciiTheme="minorHAnsi" w:hAnsiTheme="minorHAnsi" w:cs="Arial"/>
        </w:rPr>
        <w:t xml:space="preserve"> </w:t>
      </w:r>
    </w:p>
    <w:p w:rsidR="00E25CC6" w:rsidRDefault="00E25CC6" w:rsidP="008F28E3">
      <w:r>
        <w:t>This initiative contributes to the Department of Economic Development, Jobs, Transport and Resources’ Road Operation and Network Improvements output.</w:t>
      </w:r>
    </w:p>
    <w:p w:rsidR="00E25CC6" w:rsidRPr="007F558F" w:rsidRDefault="00E25CC6" w:rsidP="007F558F">
      <w:pPr>
        <w:pStyle w:val="Heading5"/>
        <w:rPr>
          <w:b w:val="0"/>
          <w:i/>
        </w:rPr>
      </w:pPr>
      <w:r w:rsidRPr="007F558F">
        <w:rPr>
          <w:b w:val="0"/>
          <w:i/>
        </w:rPr>
        <w:t>Regional Public Transport</w:t>
      </w:r>
    </w:p>
    <w:p w:rsidR="00E25CC6" w:rsidRDefault="00E25CC6" w:rsidP="00970369">
      <w:pPr>
        <w:pStyle w:val="Heading5"/>
      </w:pPr>
      <w:r>
        <w:t>Additional off</w:t>
      </w:r>
      <w:r>
        <w:noBreakHyphen/>
        <w:t>peak services from Melbourne to Ballarat</w:t>
      </w:r>
    </w:p>
    <w:p w:rsidR="00E25CC6" w:rsidRDefault="00E25CC6" w:rsidP="00970369">
      <w:r>
        <w:t>Two additional return off</w:t>
      </w:r>
      <w:r>
        <w:noBreakHyphen/>
        <w:t xml:space="preserve">peak services will be provided from Melbourne to Ballarat every day of the week to meet increased demand for regional rail services. </w:t>
      </w:r>
    </w:p>
    <w:p w:rsidR="00E25CC6" w:rsidRDefault="00E25CC6" w:rsidP="00970369">
      <w:r>
        <w:t>This initiative contributes to the Department of Economic Development, Jobs, Transport and Resources’ Train Services output.</w:t>
      </w:r>
    </w:p>
    <w:p w:rsidR="00E25CC6" w:rsidRDefault="00E25CC6" w:rsidP="00970369">
      <w:pPr>
        <w:pStyle w:val="Heading5"/>
      </w:pPr>
      <w:r>
        <w:t>Additional off</w:t>
      </w:r>
      <w:r>
        <w:noBreakHyphen/>
        <w:t>peak services from Melbourne to Bendigo</w:t>
      </w:r>
    </w:p>
    <w:p w:rsidR="00E25CC6" w:rsidRDefault="00E25CC6" w:rsidP="00970369">
      <w:r>
        <w:t>Two additional return off</w:t>
      </w:r>
      <w:r>
        <w:noBreakHyphen/>
        <w:t xml:space="preserve">peak services will be provided from Melbourne to Bendigo every day of the week to meet increased demand for regional rail services. </w:t>
      </w:r>
    </w:p>
    <w:p w:rsidR="00E25CC6" w:rsidRDefault="00E25CC6" w:rsidP="00970369">
      <w:r>
        <w:t>This initiative contributes to the Department of Economic Development, Jobs, Transport and Resources’ Train Services output.</w:t>
      </w:r>
    </w:p>
    <w:p w:rsidR="00E25CC6" w:rsidRDefault="00E25CC6" w:rsidP="00970369">
      <w:pPr>
        <w:pStyle w:val="Heading5"/>
      </w:pPr>
      <w:r>
        <w:t>Additional off</w:t>
      </w:r>
      <w:r>
        <w:noBreakHyphen/>
        <w:t>peak services from Melbourne to Geelong</w:t>
      </w:r>
    </w:p>
    <w:p w:rsidR="00E25CC6" w:rsidRDefault="00E25CC6" w:rsidP="00970369">
      <w:r>
        <w:t>One additional return off</w:t>
      </w:r>
      <w:r>
        <w:noBreakHyphen/>
        <w:t xml:space="preserve">peak service will be provided from Melbourne to Geelong every day of the week to meet increased demand for regional rail services. </w:t>
      </w:r>
    </w:p>
    <w:p w:rsidR="00E25CC6" w:rsidRDefault="00E25CC6" w:rsidP="00970369">
      <w:r>
        <w:t>This initiative contributes to the Department of Economic Development, Jobs, Transport and Resources’ Train Services output.</w:t>
      </w:r>
    </w:p>
    <w:p w:rsidR="00E25CC6" w:rsidRDefault="00E25CC6" w:rsidP="00970369">
      <w:pPr>
        <w:pStyle w:val="Heading5"/>
      </w:pPr>
      <w:r>
        <w:t>Additional off</w:t>
      </w:r>
      <w:r>
        <w:noBreakHyphen/>
        <w:t>peak services from Melbourne to Traralgon</w:t>
      </w:r>
    </w:p>
    <w:p w:rsidR="00E25CC6" w:rsidRDefault="00E25CC6" w:rsidP="00970369">
      <w:r>
        <w:t>Two additional return off</w:t>
      </w:r>
      <w:r>
        <w:noBreakHyphen/>
        <w:t>peak services will be provided from Melbourne to Traralgon every day of the week to meet increased demand for regional rail services</w:t>
      </w:r>
    </w:p>
    <w:p w:rsidR="00E25CC6" w:rsidRDefault="00E25CC6" w:rsidP="00970369">
      <w:r>
        <w:t>This initiative contributes to the Department of Economic Development, Jobs, Transport and Resources’ Train Services output.</w:t>
      </w:r>
    </w:p>
    <w:p w:rsidR="00E25CC6" w:rsidRPr="005B62E9" w:rsidRDefault="00E25CC6" w:rsidP="00970369">
      <w:pPr>
        <w:pStyle w:val="Heading5"/>
      </w:pPr>
      <w:r>
        <w:t>Ballarat rail upgrade</w:t>
      </w:r>
    </w:p>
    <w:p w:rsidR="00E25CC6" w:rsidRDefault="00E25CC6" w:rsidP="00970369">
      <w:pPr>
        <w:rPr>
          <w:rFonts w:asciiTheme="minorHAnsi" w:hAnsiTheme="minorHAnsi"/>
          <w:b/>
          <w:i/>
        </w:rPr>
      </w:pPr>
      <w:r>
        <w:t>Refer to the asset initiative for a description of this initiative.</w:t>
      </w:r>
    </w:p>
    <w:p w:rsidR="00E25CC6" w:rsidRPr="005B62E9" w:rsidRDefault="00E25CC6" w:rsidP="00970369">
      <w:pPr>
        <w:pStyle w:val="Heading5"/>
      </w:pPr>
      <w:r>
        <w:t>More regional trains</w:t>
      </w:r>
    </w:p>
    <w:p w:rsidR="00E25CC6" w:rsidRPr="00BA6C5E" w:rsidRDefault="00E25CC6" w:rsidP="00970369">
      <w:pPr>
        <w:rPr>
          <w:rFonts w:asciiTheme="minorHAnsi" w:hAnsiTheme="minorHAnsi"/>
          <w:b/>
          <w:i/>
        </w:rPr>
      </w:pPr>
      <w:r>
        <w:t>Refer to the a</w:t>
      </w:r>
      <w:r w:rsidRPr="007A390C">
        <w:t>sset initiative for a description of this initiative.</w:t>
      </w:r>
    </w:p>
    <w:p w:rsidR="00E25CC6" w:rsidRPr="005B62E9" w:rsidRDefault="00E25CC6" w:rsidP="00970369">
      <w:pPr>
        <w:pStyle w:val="Heading5"/>
      </w:pPr>
      <w:r>
        <w:t>Planning the next regional rail upgrades</w:t>
      </w:r>
    </w:p>
    <w:p w:rsidR="00E25CC6" w:rsidRDefault="00E25CC6" w:rsidP="00970369">
      <w:r>
        <w:t>Business case development will commence for the next major upgrades to the regional rail network, including the electrification of the Melton line to capture the full benefits of the Metro Tunnel project once completed.</w:t>
      </w:r>
    </w:p>
    <w:p w:rsidR="00E25CC6" w:rsidRDefault="00E25CC6" w:rsidP="00970369">
      <w:pPr>
        <w:rPr>
          <w:szCs w:val="22"/>
        </w:rPr>
      </w:pPr>
      <w:r>
        <w:t xml:space="preserve">This initiative contributes to the Department of Economic Development, Jobs, Transport and Resources’ </w:t>
      </w:r>
      <w:r w:rsidRPr="001D73E2">
        <w:rPr>
          <w:szCs w:val="22"/>
        </w:rPr>
        <w:t>Train Services output.</w:t>
      </w:r>
    </w:p>
    <w:p w:rsidR="00E25CC6" w:rsidRPr="005B62E9" w:rsidRDefault="00E25CC6" w:rsidP="00970369">
      <w:pPr>
        <w:pStyle w:val="Heading5"/>
      </w:pPr>
      <w:r>
        <w:t>Regional rail sustainability</w:t>
      </w:r>
    </w:p>
    <w:p w:rsidR="00E25CC6" w:rsidRDefault="00E25CC6" w:rsidP="00970369">
      <w:r w:rsidRPr="00F40D26">
        <w:t xml:space="preserve">Funding is provided to </w:t>
      </w:r>
      <w:r>
        <w:t>ensure sustainability and adequacy of the regional rail network</w:t>
      </w:r>
      <w:r w:rsidRPr="00F40D26">
        <w:t>.</w:t>
      </w:r>
      <w:r>
        <w:t xml:space="preserve"> </w:t>
      </w:r>
    </w:p>
    <w:p w:rsidR="00E25CC6" w:rsidRDefault="00E25CC6" w:rsidP="00970369">
      <w:r>
        <w:t>This initiative contributes to the Department of Economic Development, Jobs, Transport and Resources’ Train Services output.</w:t>
      </w:r>
    </w:p>
    <w:p w:rsidR="00E25CC6" w:rsidRDefault="00E25CC6" w:rsidP="00970369">
      <w:pPr>
        <w:pStyle w:val="Heading5"/>
      </w:pPr>
      <w:r>
        <w:t>Shepparton rail service upgrade</w:t>
      </w:r>
    </w:p>
    <w:p w:rsidR="00E25CC6" w:rsidRDefault="00E25CC6" w:rsidP="00970369">
      <w:r>
        <w:t>An additional one</w:t>
      </w:r>
      <w:r>
        <w:noBreakHyphen/>
        <w:t xml:space="preserve">way service extension will be provided from Seymour to Shepparton every day of the week. </w:t>
      </w:r>
    </w:p>
    <w:p w:rsidR="00E25CC6" w:rsidRDefault="00E25CC6" w:rsidP="00970369">
      <w:r>
        <w:t>This initiative contributes to the Department of Economic Development, Jobs, Transport and Resources’ Train Services output.</w:t>
      </w:r>
    </w:p>
    <w:p w:rsidR="00E25CC6" w:rsidRDefault="00E25CC6" w:rsidP="00970369">
      <w:pPr>
        <w:pStyle w:val="Heading5"/>
      </w:pPr>
      <w:r>
        <w:t>Warrnambool and Geelong service upgrades</w:t>
      </w:r>
    </w:p>
    <w:p w:rsidR="00E25CC6" w:rsidRDefault="00E25CC6" w:rsidP="00970369">
      <w:r>
        <w:t>Additional return services will be provided to Geelong and Warrnambool to meet increased demand for regional rail services. These services include:</w:t>
      </w:r>
    </w:p>
    <w:p w:rsidR="00E25CC6" w:rsidRDefault="00E25CC6" w:rsidP="00970369">
      <w:pPr>
        <w:pStyle w:val="BulletText"/>
      </w:pPr>
      <w:r>
        <w:t>seven return services to Geelong on Saturdays;</w:t>
      </w:r>
    </w:p>
    <w:p w:rsidR="00E25CC6" w:rsidRDefault="00E25CC6" w:rsidP="00970369">
      <w:pPr>
        <w:pStyle w:val="BulletText"/>
      </w:pPr>
      <w:r>
        <w:t>six return services to Geelong on Sundays;</w:t>
      </w:r>
      <w:r>
        <w:fldChar w:fldCharType="begin"/>
      </w:r>
      <w:r>
        <w:instrText xml:space="preserve"> XE "</w:instrText>
      </w:r>
      <w:r w:rsidRPr="00540B4F">
        <w:instrText>Department of Economic Development, Jobs, Transport and Resources:Public transport</w:instrText>
      </w:r>
      <w:r>
        <w:instrText xml:space="preserve">" \r "DEDJTR_PubTrans" </w:instrText>
      </w:r>
      <w:r>
        <w:fldChar w:fldCharType="end"/>
      </w:r>
      <w:r>
        <w:t xml:space="preserve"> </w:t>
      </w:r>
      <w:r>
        <w:fldChar w:fldCharType="begin"/>
      </w:r>
      <w:r>
        <w:instrText xml:space="preserve"> XE "</w:instrText>
      </w:r>
      <w:r w:rsidRPr="00540B4F">
        <w:instrText>Department of Economic Development, Jobs, Transport and Resources:</w:instrText>
      </w:r>
      <w:r>
        <w:instrText xml:space="preserve">Rail" \r "DEDJTR_PubTrans" </w:instrText>
      </w:r>
      <w:r>
        <w:fldChar w:fldCharType="end"/>
      </w:r>
      <w:r>
        <w:t xml:space="preserve"> </w:t>
      </w:r>
      <w:r>
        <w:fldChar w:fldCharType="begin"/>
      </w:r>
      <w:r>
        <w:instrText xml:space="preserve"> XE "</w:instrText>
      </w:r>
      <w:r w:rsidRPr="00540B4F">
        <w:instrText>Department of Economic Development, Jobs, Transport and Resources:</w:instrText>
      </w:r>
      <w:r>
        <w:instrText xml:space="preserve">Buses" \r "DEDJTR_PubTrans" </w:instrText>
      </w:r>
      <w:r>
        <w:fldChar w:fldCharType="end"/>
      </w:r>
    </w:p>
    <w:bookmarkEnd w:id="20"/>
    <w:p w:rsidR="00E25CC6" w:rsidRDefault="00E25CC6" w:rsidP="00970369">
      <w:pPr>
        <w:pStyle w:val="BulletText"/>
      </w:pPr>
      <w:r>
        <w:t>three return services to Wyndham Vale on weekdays; and</w:t>
      </w:r>
    </w:p>
    <w:p w:rsidR="00E25CC6" w:rsidRDefault="00E25CC6" w:rsidP="00970369">
      <w:pPr>
        <w:pStyle w:val="BulletText"/>
      </w:pPr>
      <w:r>
        <w:t>one return service to Warrnambool on Sundays.</w:t>
      </w:r>
    </w:p>
    <w:p w:rsidR="00E25CC6" w:rsidRDefault="00E25CC6" w:rsidP="00970369">
      <w:r>
        <w:t>This initiative contributes to the Department of Economic Development, Jobs, Transport and Resources’ Train Services output.</w:t>
      </w:r>
    </w:p>
    <w:p w:rsidR="00E25CC6" w:rsidRDefault="00E25CC6">
      <w:pPr>
        <w:spacing w:after="0"/>
        <w:rPr>
          <w:rFonts w:ascii="Calibri" w:hAnsi="Calibri"/>
          <w:b/>
          <w:i/>
          <w:kern w:val="28"/>
          <w:sz w:val="24"/>
          <w:szCs w:val="22"/>
        </w:rPr>
      </w:pPr>
      <w:r>
        <w:br w:type="page"/>
      </w:r>
    </w:p>
    <w:p w:rsidR="00E25CC6" w:rsidRDefault="00E25CC6" w:rsidP="00500A53">
      <w:pPr>
        <w:pStyle w:val="Heading3"/>
      </w:pPr>
      <w:bookmarkStart w:id="21" w:name="DEDJTR_AssInit"/>
      <w:r w:rsidRPr="00500A53">
        <w:t>Asset initiatives</w:t>
      </w:r>
    </w:p>
    <w:p w:rsidR="00E25CC6" w:rsidRDefault="00E25CC6" w:rsidP="00341B58">
      <w:pPr>
        <w:pStyle w:val="Tableheading"/>
      </w:pPr>
      <w:r>
        <w:t>Table 1.13:</w:t>
      </w:r>
      <w:r>
        <w:tab/>
        <w:t xml:space="preserve">Asset initiatives – Department </w:t>
      </w:r>
      <w:r w:rsidRPr="00FA2145">
        <w:rPr>
          <w:rFonts w:eastAsiaTheme="minorHAnsi"/>
        </w:rPr>
        <w:t>of Economic Development, Jobs, Transport and Resources</w:t>
      </w:r>
    </w:p>
    <w:p w:rsidR="00E25CC6" w:rsidRDefault="00E25CC6" w:rsidP="00AB17EC">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28"/>
        <w:gridCol w:w="856"/>
        <w:gridCol w:w="856"/>
        <w:gridCol w:w="857"/>
        <w:gridCol w:w="861"/>
        <w:gridCol w:w="8"/>
        <w:gridCol w:w="275"/>
        <w:gridCol w:w="8"/>
        <w:gridCol w:w="275"/>
        <w:gridCol w:w="8"/>
        <w:gridCol w:w="283"/>
        <w:gridCol w:w="283"/>
        <w:gridCol w:w="283"/>
        <w:gridCol w:w="283"/>
        <w:gridCol w:w="12"/>
      </w:tblGrid>
      <w:tr w:rsidR="00E25CC6" w:rsidRPr="00AB17EC" w:rsidTr="00A85608">
        <w:trPr>
          <w:cantSplit/>
          <w:tblHeader/>
        </w:trPr>
        <w:tc>
          <w:tcPr>
            <w:tcW w:w="2628"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AB17EC">
            <w:pPr>
              <w:pStyle w:val="Tabletext"/>
              <w:rPr>
                <w:rFonts w:eastAsiaTheme="minorEastAsia"/>
                <w:lang w:eastAsia="en-AU"/>
              </w:rPr>
            </w:pPr>
            <w:r w:rsidRPr="00AB17EC">
              <w:rPr>
                <w:rFonts w:eastAsiaTheme="minorEastAsia"/>
                <w:lang w:eastAsia="en-AU"/>
              </w:rPr>
              <w:t xml:space="preserve"> </w:t>
            </w:r>
          </w:p>
        </w:tc>
        <w:tc>
          <w:tcPr>
            <w:tcW w:w="856"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56"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57"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61" w:type="dxa"/>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57" w:type="dxa"/>
            <w:gridSpan w:val="6"/>
            <w:tcBorders>
              <w:top w:val="single" w:sz="4" w:space="0" w:color="auto"/>
              <w:left w:val="nil"/>
              <w:bottom w:val="single" w:sz="4" w:space="0" w:color="auto"/>
              <w:right w:val="nil"/>
            </w:tcBorders>
            <w:shd w:val="clear" w:color="auto" w:fill="000000"/>
          </w:tcPr>
          <w:p w:rsidR="00E25CC6" w:rsidRPr="00AB17EC" w:rsidRDefault="00E25CC6" w:rsidP="00AB17EC">
            <w:pPr>
              <w:pStyle w:val="Tabletextheading"/>
              <w:rPr>
                <w:rFonts w:eastAsiaTheme="minorEastAsia"/>
                <w:lang w:eastAsia="en-AU"/>
              </w:rPr>
            </w:pPr>
            <w:r w:rsidRPr="00AB17EC">
              <w:rPr>
                <w:rFonts w:eastAsiaTheme="minorEastAsia"/>
                <w:lang w:eastAsia="en-AU"/>
              </w:rPr>
              <w:t>2019</w:t>
            </w:r>
            <w:r>
              <w:rPr>
                <w:rFonts w:eastAsiaTheme="minorEastAsia"/>
                <w:lang w:eastAsia="en-AU"/>
              </w:rPr>
              <w:noBreakHyphen/>
            </w:r>
            <w:r w:rsidRPr="00AB17EC">
              <w:rPr>
                <w:rFonts w:eastAsiaTheme="minorEastAsia"/>
                <w:lang w:eastAsia="en-AU"/>
              </w:rPr>
              <w:t>20</w:t>
            </w:r>
          </w:p>
        </w:tc>
        <w:tc>
          <w:tcPr>
            <w:tcW w:w="861" w:type="dxa"/>
            <w:gridSpan w:val="4"/>
            <w:tcBorders>
              <w:top w:val="single" w:sz="4" w:space="0" w:color="auto"/>
              <w:left w:val="nil"/>
              <w:bottom w:val="single" w:sz="4" w:space="0" w:color="auto"/>
              <w:right w:val="single" w:sz="4" w:space="0" w:color="auto"/>
            </w:tcBorders>
            <w:shd w:val="clear" w:color="auto" w:fill="000000"/>
          </w:tcPr>
          <w:p w:rsidR="00E25CC6" w:rsidRPr="00AB17EC" w:rsidRDefault="00E25CC6" w:rsidP="00AB17EC">
            <w:pPr>
              <w:pStyle w:val="Tabletextheading"/>
              <w:rPr>
                <w:rFonts w:eastAsiaTheme="minorEastAsia" w:cs="Calibri"/>
                <w:iCs/>
                <w:lang w:eastAsia="en-AU"/>
              </w:rPr>
            </w:pPr>
            <w:r w:rsidRPr="00AB17EC">
              <w:rPr>
                <w:rFonts w:eastAsiaTheme="minorEastAsia" w:cs="Calibri"/>
                <w:iCs/>
                <w:lang w:eastAsia="en-AU"/>
              </w:rPr>
              <w:t>TEI</w:t>
            </w:r>
          </w:p>
        </w:tc>
      </w:tr>
      <w:tr w:rsidR="00E25CC6" w:rsidRPr="00AB17EC" w:rsidTr="00A85608">
        <w:trPr>
          <w:cantSplit/>
        </w:trPr>
        <w:tc>
          <w:tcPr>
            <w:tcW w:w="2628" w:type="dxa"/>
            <w:tcBorders>
              <w:top w:val="single" w:sz="4" w:space="0" w:color="auto"/>
              <w:left w:val="nil"/>
              <w:bottom w:val="nil"/>
              <w:right w:val="nil"/>
            </w:tcBorders>
          </w:tcPr>
          <w:p w:rsidR="00E25CC6" w:rsidRPr="00AB17EC" w:rsidRDefault="00E25CC6" w:rsidP="00AB17EC">
            <w:pPr>
              <w:pStyle w:val="Tabletext"/>
              <w:rPr>
                <w:rFonts w:eastAsiaTheme="minorEastAsia"/>
                <w:b/>
                <w:bCs/>
                <w:color w:val="000000"/>
                <w:lang w:eastAsia="en-AU"/>
              </w:rPr>
            </w:pPr>
            <w:r w:rsidRPr="00AB17EC">
              <w:rPr>
                <w:rFonts w:eastAsiaTheme="minorEastAsia"/>
                <w:b/>
                <w:bCs/>
                <w:color w:val="000000"/>
                <w:lang w:eastAsia="en-AU"/>
              </w:rPr>
              <w:t>Creative Industries</w:t>
            </w:r>
          </w:p>
        </w:tc>
        <w:tc>
          <w:tcPr>
            <w:tcW w:w="856" w:type="dxa"/>
            <w:tcBorders>
              <w:top w:val="single" w:sz="4" w:space="0" w:color="auto"/>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6" w:type="dxa"/>
            <w:tcBorders>
              <w:top w:val="single" w:sz="4" w:space="0" w:color="auto"/>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tcBorders>
              <w:top w:val="single" w:sz="4" w:space="0" w:color="auto"/>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tcBorders>
              <w:top w:val="single" w:sz="4" w:space="0" w:color="auto"/>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gridSpan w:val="6"/>
            <w:tcBorders>
              <w:top w:val="single" w:sz="4" w:space="0" w:color="auto"/>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gridSpan w:val="4"/>
            <w:tcBorders>
              <w:top w:val="single" w:sz="4" w:space="0" w:color="auto"/>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Collections Storage Victoria</w:t>
            </w:r>
            <w:r>
              <w:rPr>
                <w:rFonts w:eastAsiaTheme="minorEastAsia"/>
                <w:color w:val="000000"/>
                <w:lang w:eastAsia="en-AU"/>
              </w:rPr>
              <w:t xml:space="preserve"> – </w:t>
            </w:r>
            <w:r w:rsidRPr="00AB17EC">
              <w:rPr>
                <w:rFonts w:eastAsiaTheme="minorEastAsia"/>
                <w:color w:val="000000"/>
                <w:lang w:eastAsia="en-AU"/>
              </w:rPr>
              <w:t>phase 1</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12.0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11.0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23.0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Geelong Performing Arts Centre Redevelopment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3.2</w:t>
            </w:r>
          </w:p>
        </w:tc>
      </w:tr>
      <w:tr w:rsidR="00E25CC6" w:rsidRPr="00AB17EC" w:rsidTr="00A85608">
        <w:trPr>
          <w:gridAfter w:val="1"/>
          <w:wAfter w:w="12" w:type="dxa"/>
          <w:cantSplit/>
        </w:trPr>
        <w:tc>
          <w:tcPr>
            <w:tcW w:w="6058" w:type="dxa"/>
            <w:gridSpan w:val="5"/>
            <w:tcBorders>
              <w:top w:val="nil"/>
              <w:left w:val="nil"/>
              <w:bottom w:val="nil"/>
              <w:right w:val="nil"/>
            </w:tcBorders>
            <w:shd w:val="solid" w:color="FFFFFF" w:fill="auto"/>
          </w:tcPr>
          <w:p w:rsidR="00E25CC6" w:rsidRPr="00AB17EC" w:rsidRDefault="00E25CC6" w:rsidP="00AB17EC">
            <w:pPr>
              <w:pStyle w:val="Tabletext"/>
              <w:rPr>
                <w:rFonts w:eastAsiaTheme="minorEastAsia"/>
                <w:b/>
                <w:bCs/>
                <w:color w:val="000000"/>
                <w:lang w:eastAsia="en-AU"/>
              </w:rPr>
            </w:pPr>
            <w:r w:rsidRPr="00AB17EC">
              <w:rPr>
                <w:rFonts w:eastAsiaTheme="minorEastAsia"/>
                <w:b/>
                <w:bCs/>
                <w:color w:val="000000"/>
                <w:lang w:eastAsia="en-AU"/>
              </w:rPr>
              <w:t>Resources and Primary Industries</w:t>
            </w:r>
          </w:p>
        </w:tc>
        <w:tc>
          <w:tcPr>
            <w:tcW w:w="283" w:type="dxa"/>
            <w:gridSpan w:val="2"/>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gridSpan w:val="2"/>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91" w:type="dxa"/>
            <w:gridSpan w:val="2"/>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2628" w:type="dxa"/>
            <w:tcBorders>
              <w:top w:val="nil"/>
              <w:left w:val="nil"/>
              <w:bottom w:val="nil"/>
              <w:right w:val="nil"/>
            </w:tcBorders>
            <w:shd w:val="solid" w:color="FFFFFF" w:fill="auto"/>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Access to medicinal cannabis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1.9</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1.9</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Guaranteeing Victoria</w:t>
            </w:r>
            <w:r>
              <w:rPr>
                <w:rFonts w:eastAsiaTheme="minorEastAsia"/>
                <w:color w:val="000000"/>
                <w:lang w:eastAsia="en-AU"/>
              </w:rPr>
              <w:t>’</w:t>
            </w:r>
            <w:r w:rsidRPr="00AB17EC">
              <w:rPr>
                <w:rFonts w:eastAsiaTheme="minorEastAsia"/>
                <w:color w:val="000000"/>
                <w:lang w:eastAsia="en-AU"/>
              </w:rPr>
              <w:t>s food export future – Biosecurity</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4.5</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0.4</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4.9</w:t>
            </w:r>
          </w:p>
        </w:tc>
      </w:tr>
      <w:tr w:rsidR="00E25CC6" w:rsidRPr="00AB17EC" w:rsidTr="00A85608">
        <w:trPr>
          <w:cantSplit/>
        </w:trPr>
        <w:tc>
          <w:tcPr>
            <w:tcW w:w="2628" w:type="dxa"/>
            <w:tcBorders>
              <w:top w:val="nil"/>
              <w:left w:val="nil"/>
              <w:bottom w:val="nil"/>
              <w:right w:val="nil"/>
            </w:tcBorders>
            <w:shd w:val="solid" w:color="FFFFFF" w:fill="auto"/>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Modernising Earth Resources Management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0.9</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1.5</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2.4</w:t>
            </w:r>
          </w:p>
        </w:tc>
      </w:tr>
      <w:tr w:rsidR="00E25CC6" w:rsidRPr="00AB17EC" w:rsidTr="00A85608">
        <w:trPr>
          <w:cantSplit/>
        </w:trPr>
        <w:tc>
          <w:tcPr>
            <w:tcW w:w="2628" w:type="dxa"/>
            <w:tcBorders>
              <w:top w:val="nil"/>
              <w:left w:val="nil"/>
              <w:bottom w:val="nil"/>
              <w:right w:val="nil"/>
            </w:tcBorders>
            <w:shd w:val="solid" w:color="FFFFFF" w:fill="auto"/>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Sustainable Hunting Action Plan</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0.4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1.5</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1.9</w:t>
            </w:r>
          </w:p>
        </w:tc>
      </w:tr>
      <w:tr w:rsidR="00E25CC6" w:rsidRPr="00AB17EC" w:rsidTr="00A85608">
        <w:trPr>
          <w:gridAfter w:val="1"/>
          <w:wAfter w:w="12" w:type="dxa"/>
          <w:cantSplit/>
        </w:trPr>
        <w:tc>
          <w:tcPr>
            <w:tcW w:w="6066" w:type="dxa"/>
            <w:gridSpan w:val="6"/>
            <w:tcBorders>
              <w:top w:val="nil"/>
              <w:left w:val="nil"/>
              <w:bottom w:val="nil"/>
              <w:right w:val="nil"/>
            </w:tcBorders>
          </w:tcPr>
          <w:p w:rsidR="00E25CC6" w:rsidRPr="00AB17EC" w:rsidRDefault="00E25CC6" w:rsidP="00AB17EC">
            <w:pPr>
              <w:pStyle w:val="Tabletext"/>
              <w:rPr>
                <w:rFonts w:eastAsiaTheme="minorEastAsia"/>
                <w:b/>
                <w:bCs/>
                <w:color w:val="000000"/>
                <w:lang w:eastAsia="en-AU"/>
              </w:rPr>
            </w:pPr>
            <w:r w:rsidRPr="00AB17EC">
              <w:rPr>
                <w:rFonts w:eastAsiaTheme="minorEastAsia"/>
                <w:b/>
                <w:bCs/>
                <w:color w:val="000000"/>
                <w:lang w:eastAsia="en-AU"/>
              </w:rPr>
              <w:t>Transport Network Safety, Operation and Development</w:t>
            </w:r>
          </w:p>
        </w:tc>
        <w:tc>
          <w:tcPr>
            <w:tcW w:w="283" w:type="dxa"/>
            <w:gridSpan w:val="2"/>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gridSpan w:val="2"/>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283"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283" w:type="dxa"/>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Co</w:t>
            </w:r>
            <w:r>
              <w:rPr>
                <w:rFonts w:eastAsiaTheme="minorEastAsia"/>
                <w:color w:val="000000"/>
                <w:lang w:eastAsia="en-AU"/>
              </w:rPr>
              <w:noBreakHyphen/>
            </w:r>
            <w:r w:rsidRPr="00AB17EC">
              <w:rPr>
                <w:rFonts w:eastAsiaTheme="minorEastAsia"/>
                <w:color w:val="000000"/>
                <w:lang w:eastAsia="en-AU"/>
              </w:rPr>
              <w:t>investment for upgrades to State</w:t>
            </w:r>
            <w:r>
              <w:rPr>
                <w:rFonts w:eastAsiaTheme="minorEastAsia"/>
                <w:color w:val="000000"/>
                <w:lang w:eastAsia="en-AU"/>
              </w:rPr>
              <w:noBreakHyphen/>
            </w:r>
            <w:r w:rsidRPr="00AB17EC">
              <w:rPr>
                <w:rFonts w:eastAsiaTheme="minorEastAsia"/>
                <w:color w:val="000000"/>
                <w:lang w:eastAsia="en-AU"/>
              </w:rPr>
              <w:t>owned rail sidings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3.3</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8.5</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Railway Station Car Parking Fund</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7.1</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7.4</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5.4</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19.9</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Registration system upgrades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7.4</w:t>
            </w:r>
          </w:p>
        </w:tc>
      </w:tr>
      <w:tr w:rsidR="00E25CC6" w:rsidRPr="00AB17EC" w:rsidTr="00A85608">
        <w:trPr>
          <w:cantSplit/>
        </w:trPr>
        <w:tc>
          <w:tcPr>
            <w:tcW w:w="2628" w:type="dxa"/>
            <w:tcBorders>
              <w:top w:val="nil"/>
              <w:left w:val="nil"/>
              <w:bottom w:val="nil"/>
              <w:right w:val="nil"/>
            </w:tcBorders>
          </w:tcPr>
          <w:p w:rsidR="00E25CC6" w:rsidRPr="00AB17EC" w:rsidRDefault="00E25CC6" w:rsidP="00475DF7">
            <w:pPr>
              <w:pStyle w:val="Tabletext"/>
              <w:rPr>
                <w:rFonts w:eastAsiaTheme="minorEastAsia"/>
                <w:color w:val="000000"/>
                <w:vertAlign w:val="superscript"/>
                <w:lang w:eastAsia="en-AU"/>
              </w:rPr>
            </w:pPr>
            <w:r w:rsidRPr="00AB17EC">
              <w:rPr>
                <w:rFonts w:eastAsiaTheme="minorEastAsia"/>
                <w:color w:val="000000"/>
                <w:lang w:eastAsia="en-AU"/>
              </w:rPr>
              <w:t>Road and Rail Minor Works</w:t>
            </w:r>
            <w:r w:rsidRPr="00AB17EC">
              <w:rPr>
                <w:rFonts w:eastAsiaTheme="minorEastAsia"/>
                <w:color w:val="000000"/>
                <w:vertAlign w:val="superscript"/>
                <w:lang w:eastAsia="en-AU"/>
              </w:rPr>
              <w:t xml:space="preserve"> (a)(b)</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15.4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12.7</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0.8</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28.9</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Road Restoration and Road Surface Replacement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45.0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3.1</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48.1</w:t>
            </w:r>
          </w:p>
        </w:tc>
      </w:tr>
      <w:tr w:rsidR="00E25CC6" w:rsidRPr="00AB17EC" w:rsidTr="00A85608">
        <w:trPr>
          <w:cantSplit/>
        </w:trPr>
        <w:tc>
          <w:tcPr>
            <w:tcW w:w="2628" w:type="dxa"/>
            <w:tcBorders>
              <w:top w:val="nil"/>
              <w:left w:val="nil"/>
              <w:bottom w:val="nil"/>
              <w:right w:val="nil"/>
            </w:tcBorders>
          </w:tcPr>
          <w:p w:rsidR="00E25CC6" w:rsidRPr="00AB17EC" w:rsidRDefault="00E25CC6" w:rsidP="00475DF7">
            <w:pPr>
              <w:pStyle w:val="Tabletext"/>
              <w:rPr>
                <w:rFonts w:eastAsiaTheme="minorEastAsia"/>
                <w:color w:val="000000"/>
                <w:vertAlign w:val="superscript"/>
                <w:lang w:eastAsia="en-AU"/>
              </w:rPr>
            </w:pPr>
            <w:r w:rsidRPr="00AB17EC">
              <w:rPr>
                <w:rFonts w:eastAsiaTheme="minorEastAsia"/>
                <w:color w:val="000000"/>
                <w:lang w:eastAsia="en-AU"/>
              </w:rPr>
              <w:t xml:space="preserve">Road Safety </w:t>
            </w:r>
            <w:r w:rsidRPr="00AB17EC">
              <w:rPr>
                <w:rFonts w:eastAsiaTheme="minorEastAsia"/>
                <w:color w:val="000000"/>
                <w:vertAlign w:val="superscript"/>
                <w:lang w:eastAsia="en-AU"/>
              </w:rPr>
              <w:t>(c)(d)</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49.0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57.0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98.0</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29.0</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266.0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b/>
                <w:bCs/>
                <w:i/>
                <w:iCs/>
                <w:color w:val="000000"/>
                <w:lang w:eastAsia="en-AU"/>
              </w:rPr>
            </w:pPr>
            <w:r w:rsidRPr="00AB17EC">
              <w:rPr>
                <w:rFonts w:eastAsiaTheme="minorEastAsia"/>
                <w:b/>
                <w:bCs/>
                <w:i/>
                <w:iCs/>
                <w:color w:val="000000"/>
                <w:lang w:eastAsia="en-AU"/>
              </w:rPr>
              <w:t>Metropolitan Roads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Pr>
                <w:rFonts w:ascii="Calibri" w:eastAsiaTheme="minorEastAsia" w:hAnsi="Calibri" w:cs="Calibri"/>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O</w:t>
            </w:r>
            <w:r>
              <w:rPr>
                <w:rFonts w:eastAsiaTheme="minorEastAsia"/>
                <w:color w:val="000000"/>
                <w:lang w:eastAsia="en-AU"/>
              </w:rPr>
              <w:t>’</w:t>
            </w:r>
            <w:r w:rsidRPr="00AB17EC">
              <w:rPr>
                <w:rFonts w:eastAsiaTheme="minorEastAsia"/>
                <w:color w:val="000000"/>
                <w:lang w:eastAsia="en-AU"/>
              </w:rPr>
              <w:t>Herns Road upgrade</w:t>
            </w:r>
            <w:r w:rsidRPr="00AB17EC">
              <w:rPr>
                <w:rFonts w:eastAsiaTheme="minorEastAsia"/>
                <w:color w:val="000000"/>
                <w:vertAlign w:val="superscript"/>
                <w:lang w:eastAsia="en-AU"/>
              </w:rPr>
              <w:t xml:space="preserve"> (e)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38.4</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32.0</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77.8</w:t>
            </w:r>
          </w:p>
        </w:tc>
      </w:tr>
      <w:tr w:rsidR="00E25CC6" w:rsidRPr="00AB17EC" w:rsidTr="00A85608">
        <w:trPr>
          <w:cantSplit/>
        </w:trPr>
        <w:tc>
          <w:tcPr>
            <w:tcW w:w="2628" w:type="dxa"/>
            <w:tcBorders>
              <w:top w:val="nil"/>
              <w:left w:val="nil"/>
              <w:bottom w:val="nil"/>
              <w:right w:val="nil"/>
            </w:tcBorders>
          </w:tcPr>
          <w:p w:rsidR="00E25CC6" w:rsidRPr="00AB17EC" w:rsidRDefault="00E25CC6" w:rsidP="00475DF7">
            <w:pPr>
              <w:pStyle w:val="Tabletext"/>
              <w:rPr>
                <w:rFonts w:eastAsiaTheme="minorEastAsia"/>
                <w:color w:val="000000"/>
                <w:vertAlign w:val="superscript"/>
                <w:lang w:eastAsia="en-AU"/>
              </w:rPr>
            </w:pPr>
            <w:r w:rsidRPr="00AB17EC">
              <w:rPr>
                <w:rFonts w:eastAsiaTheme="minorEastAsia"/>
                <w:color w:val="000000"/>
                <w:lang w:eastAsia="en-AU"/>
              </w:rPr>
              <w:t>Outer suburban arterial roads package:</w:t>
            </w:r>
            <w:r w:rsidRPr="00AB17EC">
              <w:rPr>
                <w:rFonts w:eastAsiaTheme="minorEastAsia"/>
                <w:color w:val="000000"/>
                <w:vertAlign w:val="superscript"/>
                <w:lang w:eastAsia="en-AU"/>
              </w:rPr>
              <w:t xml:space="preserve"> (f)(g)</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Pr>
                <w:rFonts w:eastAsiaTheme="minorEastAsia"/>
                <w:color w:val="000000"/>
                <w:lang w:eastAsia="en-AU"/>
              </w:rPr>
              <w:t xml:space="preserve"> </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Pr>
                <w:rFonts w:ascii="Calibri" w:eastAsiaTheme="minorEastAsia" w:hAnsi="Calibri" w:cs="Calibri"/>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 – Dohertys Road Improvement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50.1</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 –</w:t>
            </w:r>
            <w:r>
              <w:rPr>
                <w:rFonts w:eastAsiaTheme="minorEastAsia"/>
                <w:color w:val="000000"/>
                <w:lang w:eastAsia="en-AU"/>
              </w:rPr>
              <w:t xml:space="preserve"> </w:t>
            </w:r>
            <w:r w:rsidRPr="00AB17EC">
              <w:rPr>
                <w:rFonts w:eastAsiaTheme="minorEastAsia"/>
                <w:color w:val="000000"/>
                <w:lang w:eastAsia="en-AU"/>
              </w:rPr>
              <w:t>Hallam Road Duplication</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38.4</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 – Plenty Road Upgrade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gridSpan w:val="4"/>
            <w:tcBorders>
              <w:top w:val="nil"/>
              <w:left w:val="nil"/>
              <w:bottom w:val="nil"/>
              <w:right w:val="nil"/>
            </w:tcBorders>
          </w:tcPr>
          <w:p w:rsidR="00E25CC6" w:rsidRPr="00AB17EC" w:rsidRDefault="00E25CC6" w:rsidP="00A85608">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101.0</w:t>
            </w:r>
            <w:r>
              <w:rPr>
                <w:rFonts w:ascii="Calibri" w:eastAsiaTheme="minorEastAsia" w:hAnsi="Calibri" w:cs="Calibri"/>
                <w:color w:val="000000"/>
                <w:sz w:val="20"/>
                <w:lang w:eastAsia="en-AU"/>
              </w:rPr>
              <w:t>–</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139.4</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 –</w:t>
            </w:r>
            <w:r>
              <w:rPr>
                <w:rFonts w:eastAsiaTheme="minorEastAsia"/>
                <w:color w:val="000000"/>
                <w:lang w:eastAsia="en-AU"/>
              </w:rPr>
              <w:t xml:space="preserve"> </w:t>
            </w:r>
            <w:r w:rsidRPr="00AB17EC">
              <w:rPr>
                <w:rFonts w:eastAsiaTheme="minorEastAsia"/>
                <w:color w:val="000000"/>
                <w:lang w:eastAsia="en-AU"/>
              </w:rPr>
              <w:t>Planning funding for:</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10.0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10.0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Armstrong</w:t>
            </w:r>
            <w:r>
              <w:rPr>
                <w:rFonts w:eastAsiaTheme="minorEastAsia"/>
                <w:color w:val="000000"/>
                <w:lang w:eastAsia="en-AU"/>
              </w:rPr>
              <w:noBreakHyphen/>
            </w:r>
            <w:r w:rsidRPr="00AB17EC">
              <w:rPr>
                <w:rFonts w:eastAsiaTheme="minorEastAsia"/>
                <w:color w:val="000000"/>
                <w:lang w:eastAsia="en-AU"/>
              </w:rPr>
              <w:t>Ison Arterial</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Derrimut Road Duplication</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Dohertys Road Improvement (Stage 2)</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Duncans Road Interchange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Golf Links Road Upgrade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Hallam Road Duplication (Stage 2)</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Leakes Road Duplication</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gridSpan w:val="6"/>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gridSpan w:val="4"/>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bl>
    <w:p w:rsidR="00E25CC6" w:rsidRDefault="00E25CC6"/>
    <w:p w:rsidR="00E25CC6" w:rsidRDefault="00E25CC6" w:rsidP="00475DF7">
      <w:pPr>
        <w:pStyle w:val="Tableheading"/>
      </w:pPr>
      <w:r>
        <w:t>Table 1.13:</w:t>
      </w:r>
      <w:r>
        <w:tab/>
        <w:t xml:space="preserve">Asset initiatives – Department </w:t>
      </w:r>
      <w:r w:rsidRPr="00FA2145">
        <w:rPr>
          <w:rFonts w:eastAsiaTheme="minorHAnsi"/>
        </w:rPr>
        <w:t>of Economic Development, Jobs, Transport and Resources</w:t>
      </w:r>
      <w:r>
        <w:rPr>
          <w:rFonts w:eastAsiaTheme="minorHAnsi"/>
        </w:rPr>
        <w:t xml:space="preserve"> </w:t>
      </w:r>
      <w:r w:rsidRPr="00475DF7">
        <w:rPr>
          <w:rFonts w:eastAsiaTheme="minorHAnsi"/>
          <w:i/>
        </w:rPr>
        <w:t>(continued)</w:t>
      </w:r>
    </w:p>
    <w:p w:rsidR="00E25CC6" w:rsidRDefault="00E25CC6" w:rsidP="00475DF7">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28"/>
        <w:gridCol w:w="856"/>
        <w:gridCol w:w="856"/>
        <w:gridCol w:w="857"/>
        <w:gridCol w:w="861"/>
        <w:gridCol w:w="857"/>
        <w:gridCol w:w="861"/>
      </w:tblGrid>
      <w:tr w:rsidR="00E25CC6" w:rsidRPr="00AB17EC" w:rsidTr="00237767">
        <w:trPr>
          <w:cantSplit/>
          <w:tblHeader/>
        </w:trPr>
        <w:tc>
          <w:tcPr>
            <w:tcW w:w="2628"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237767">
            <w:pPr>
              <w:pStyle w:val="Tabletext"/>
              <w:rPr>
                <w:rFonts w:eastAsiaTheme="minorEastAsia"/>
                <w:lang w:eastAsia="en-AU"/>
              </w:rPr>
            </w:pPr>
            <w:r w:rsidRPr="00AB17EC">
              <w:rPr>
                <w:rFonts w:eastAsiaTheme="minorEastAsia"/>
                <w:lang w:eastAsia="en-AU"/>
              </w:rPr>
              <w:t xml:space="preserve"> </w:t>
            </w:r>
          </w:p>
        </w:tc>
        <w:tc>
          <w:tcPr>
            <w:tcW w:w="856"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56"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5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61"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5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2019</w:t>
            </w:r>
            <w:r>
              <w:rPr>
                <w:rFonts w:eastAsiaTheme="minorEastAsia"/>
                <w:lang w:eastAsia="en-AU"/>
              </w:rPr>
              <w:noBreakHyphen/>
            </w:r>
            <w:r w:rsidRPr="00AB17EC">
              <w:rPr>
                <w:rFonts w:eastAsiaTheme="minorEastAsia"/>
                <w:lang w:eastAsia="en-AU"/>
              </w:rPr>
              <w:t>20</w:t>
            </w:r>
          </w:p>
        </w:tc>
        <w:tc>
          <w:tcPr>
            <w:tcW w:w="861" w:type="dxa"/>
            <w:tcBorders>
              <w:top w:val="single" w:sz="4" w:space="0" w:color="auto"/>
              <w:left w:val="nil"/>
              <w:bottom w:val="single" w:sz="4" w:space="0" w:color="auto"/>
              <w:right w:val="single" w:sz="4" w:space="0" w:color="auto"/>
            </w:tcBorders>
            <w:shd w:val="clear" w:color="auto" w:fill="000000"/>
          </w:tcPr>
          <w:p w:rsidR="00E25CC6" w:rsidRPr="00AB17EC" w:rsidRDefault="00E25CC6" w:rsidP="00237767">
            <w:pPr>
              <w:pStyle w:val="Tabletextheading"/>
              <w:rPr>
                <w:rFonts w:eastAsiaTheme="minorEastAsia" w:cs="Calibri"/>
                <w:iCs/>
                <w:lang w:eastAsia="en-AU"/>
              </w:rPr>
            </w:pPr>
            <w:r w:rsidRPr="00AB17EC">
              <w:rPr>
                <w:rFonts w:eastAsiaTheme="minorEastAsia" w:cs="Calibri"/>
                <w:iCs/>
                <w:lang w:eastAsia="en-AU"/>
              </w:rPr>
              <w:t>TEI</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Monash Freeway Pavement Works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Narre Warren</w:t>
            </w:r>
            <w:r>
              <w:rPr>
                <w:rFonts w:eastAsiaTheme="minorEastAsia"/>
                <w:color w:val="000000"/>
                <w:lang w:eastAsia="en-AU"/>
              </w:rPr>
              <w:noBreakHyphen/>
            </w:r>
            <w:r w:rsidRPr="00AB17EC">
              <w:rPr>
                <w:rFonts w:eastAsiaTheme="minorEastAsia"/>
                <w:color w:val="000000"/>
                <w:lang w:eastAsia="en-AU"/>
              </w:rPr>
              <w:t>Cranbourne Road</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Nepean Highway Improvement Plan</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Palmers Road Upgrade</w:t>
            </w:r>
          </w:p>
        </w:tc>
        <w:tc>
          <w:tcPr>
            <w:tcW w:w="856"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p>
        </w:tc>
        <w:tc>
          <w:tcPr>
            <w:tcW w:w="856"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p>
        </w:tc>
        <w:tc>
          <w:tcPr>
            <w:tcW w:w="861"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p>
        </w:tc>
        <w:tc>
          <w:tcPr>
            <w:tcW w:w="857"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b/>
                <w:bCs/>
                <w:color w:val="000000"/>
                <w:sz w:val="20"/>
                <w:lang w:eastAsia="en-AU"/>
              </w:rPr>
            </w:pP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Pr>
                <w:rFonts w:eastAsiaTheme="minorEastAsia"/>
                <w:color w:val="000000"/>
                <w:lang w:eastAsia="en-AU"/>
              </w:rPr>
              <w:t xml:space="preserve">    </w:t>
            </w:r>
            <w:r w:rsidRPr="00AB17EC">
              <w:rPr>
                <w:rFonts w:eastAsiaTheme="minorEastAsia"/>
                <w:color w:val="000000"/>
                <w:lang w:eastAsia="en-AU"/>
              </w:rPr>
              <w:t>Western Port Highway</w:t>
            </w:r>
            <w:r>
              <w:rPr>
                <w:rFonts w:eastAsiaTheme="minorEastAsia"/>
                <w:color w:val="000000"/>
                <w:lang w:eastAsia="en-AU"/>
              </w:rPr>
              <w:t xml:space="preserve"> Interchange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 xml:space="preserve">Streamlining Hoddle Street </w:t>
            </w:r>
            <w:r w:rsidRPr="00AB17EC">
              <w:rPr>
                <w:rFonts w:eastAsiaTheme="minorEastAsia"/>
                <w:color w:val="000000"/>
                <w:vertAlign w:val="superscript"/>
                <w:lang w:eastAsia="en-AU"/>
              </w:rPr>
              <w:t>(a)</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11.2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33.7</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11.2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56.2</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 xml:space="preserve">Thompsons Road duplication </w:t>
            </w:r>
            <w:r w:rsidRPr="00AB17EC">
              <w:rPr>
                <w:rFonts w:eastAsiaTheme="minorEastAsia"/>
                <w:color w:val="000000"/>
                <w:vertAlign w:val="superscript"/>
                <w:lang w:eastAsia="en-AU"/>
              </w:rPr>
              <w:t>(a)</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30.7</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76.2</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41.4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148.3</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Western Distributor</w:t>
            </w:r>
            <w:r w:rsidRPr="00AB17EC">
              <w:rPr>
                <w:rFonts w:eastAsiaTheme="minorEastAsia"/>
                <w:color w:val="000000"/>
                <w:vertAlign w:val="superscript"/>
                <w:lang w:eastAsia="en-AU"/>
              </w:rPr>
              <w:t xml:space="preserve"> (h)</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17.9</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262.0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139.3</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486.0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555.0</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5 500.0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 xml:space="preserve">Yan Yean Road duplication </w:t>
            </w:r>
            <w:r w:rsidRPr="00AB17EC">
              <w:rPr>
                <w:rFonts w:eastAsiaTheme="minorEastAsia"/>
                <w:color w:val="000000"/>
                <w:vertAlign w:val="superscript"/>
                <w:lang w:eastAsia="en-AU"/>
              </w:rPr>
              <w:t>(a)</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12.6</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50.5</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37.9</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25.2</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126.2</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b/>
                <w:bCs/>
                <w:i/>
                <w:iCs/>
                <w:color w:val="000000"/>
                <w:lang w:eastAsia="en-AU"/>
              </w:rPr>
            </w:pPr>
            <w:r w:rsidRPr="00AB17EC">
              <w:rPr>
                <w:rFonts w:eastAsiaTheme="minorEastAsia"/>
                <w:b/>
                <w:bCs/>
                <w:i/>
                <w:iCs/>
                <w:color w:val="000000"/>
                <w:lang w:eastAsia="en-AU"/>
              </w:rPr>
              <w:t>Regional Roads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Bacchus Marsh Traffic Improvements Project</w:t>
            </w:r>
            <w:r w:rsidRPr="00AB17EC">
              <w:rPr>
                <w:rFonts w:eastAsiaTheme="minorEastAsia"/>
                <w:color w:val="000000"/>
                <w:vertAlign w:val="superscript"/>
                <w:lang w:eastAsia="en-AU"/>
              </w:rPr>
              <w:t xml:space="preserve"> (i)</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0.1</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2.5</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12.8</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Building our regions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29.0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22.0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51.1</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 xml:space="preserve">Drysdale Bypass </w:t>
            </w:r>
            <w:r w:rsidRPr="00AB17EC">
              <w:rPr>
                <w:rFonts w:eastAsiaTheme="minorEastAsia"/>
                <w:color w:val="000000"/>
                <w:vertAlign w:val="superscript"/>
                <w:lang w:eastAsia="en-AU"/>
              </w:rPr>
              <w:t>(a)</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26.4</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39.2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32.5</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102.6</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Midland Highway/Napier Street Improvement Works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12.0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Murray River bridges</w:t>
            </w:r>
            <w:r>
              <w:rPr>
                <w:rFonts w:eastAsiaTheme="minorEastAsia"/>
                <w:color w:val="000000"/>
                <w:lang w:eastAsia="en-AU"/>
              </w:rPr>
              <w:t xml:space="preserve"> – </w:t>
            </w:r>
            <w:r w:rsidRPr="00AB17EC">
              <w:rPr>
                <w:rFonts w:eastAsiaTheme="minorEastAsia"/>
                <w:color w:val="000000"/>
                <w:lang w:eastAsia="en-AU"/>
              </w:rPr>
              <w:t>Yarrawonga and Mulwala Bridge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0.6</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0.6</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 xml:space="preserve">Napier Street Bendigo Duplication </w:t>
            </w:r>
            <w:r w:rsidRPr="00AB17EC">
              <w:rPr>
                <w:rFonts w:eastAsiaTheme="minorEastAsia"/>
                <w:color w:val="000000"/>
                <w:vertAlign w:val="superscript"/>
                <w:lang w:eastAsia="en-AU"/>
              </w:rPr>
              <w:t>(a)</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8.7</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5.3</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17.2</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Regional overtaking lanes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4.8</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24.0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19.2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48.1</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b/>
                <w:bCs/>
                <w:i/>
                <w:iCs/>
                <w:color w:val="000000"/>
                <w:lang w:eastAsia="en-AU"/>
              </w:rPr>
            </w:pPr>
            <w:r w:rsidRPr="00AB17EC">
              <w:rPr>
                <w:rFonts w:eastAsiaTheme="minorEastAsia"/>
                <w:b/>
                <w:bCs/>
                <w:i/>
                <w:iCs/>
                <w:color w:val="000000"/>
                <w:lang w:eastAsia="en-AU"/>
              </w:rPr>
              <w:t>Metropolitan Public Transport</w:t>
            </w:r>
          </w:p>
        </w:tc>
        <w:tc>
          <w:tcPr>
            <w:tcW w:w="856"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 xml:space="preserve">28 more high capacity metro trains </w:t>
            </w:r>
            <w:r w:rsidRPr="00AB17EC">
              <w:rPr>
                <w:rFonts w:eastAsiaTheme="minorEastAsia"/>
                <w:color w:val="000000"/>
                <w:vertAlign w:val="superscript"/>
                <w:lang w:eastAsia="en-AU"/>
              </w:rPr>
              <w:t>(j)</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tbc</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875.0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Additional X</w:t>
            </w:r>
            <w:r>
              <w:rPr>
                <w:rFonts w:eastAsiaTheme="minorEastAsia"/>
                <w:color w:val="000000"/>
                <w:lang w:eastAsia="en-AU"/>
              </w:rPr>
              <w:t>’</w:t>
            </w:r>
            <w:r w:rsidRPr="00AB17EC">
              <w:rPr>
                <w:rFonts w:eastAsiaTheme="minorEastAsia"/>
                <w:color w:val="000000"/>
                <w:lang w:eastAsia="en-AU"/>
              </w:rPr>
              <w:t>Trapolis trains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39.2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19.6</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39.2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97.9</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Bridge strengthening for E</w:t>
            </w:r>
            <w:r>
              <w:rPr>
                <w:rFonts w:eastAsiaTheme="minorEastAsia"/>
                <w:color w:val="000000"/>
                <w:lang w:eastAsia="en-AU"/>
              </w:rPr>
              <w:noBreakHyphen/>
            </w:r>
            <w:r w:rsidRPr="00AB17EC">
              <w:rPr>
                <w:rFonts w:eastAsiaTheme="minorEastAsia"/>
                <w:color w:val="000000"/>
                <w:lang w:eastAsia="en-AU"/>
              </w:rPr>
              <w:t>Class trams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1.8</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1.8</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City Loop fire and safety upgrade (Stage 2) including intruder alarm</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46.5</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58.7</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23.3</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132.9</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Frankston Station Precinct Development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5.5</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18.6</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19.5</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6.3</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50.0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Hurstbridge Corridor Upgrade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1.0</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42.1</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85.8</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135.9</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vertAlign w:val="superscript"/>
                <w:lang w:eastAsia="en-AU"/>
              </w:rPr>
            </w:pPr>
            <w:r w:rsidRPr="00AB17EC">
              <w:rPr>
                <w:rFonts w:eastAsiaTheme="minorEastAsia"/>
                <w:color w:val="000000"/>
                <w:lang w:eastAsia="en-AU"/>
              </w:rPr>
              <w:t xml:space="preserve">Mernda rail extension project </w:t>
            </w:r>
            <w:r w:rsidRPr="00AB17EC">
              <w:rPr>
                <w:rFonts w:eastAsiaTheme="minorEastAsia"/>
                <w:color w:val="000000"/>
                <w:vertAlign w:val="superscript"/>
                <w:lang w:eastAsia="en-AU"/>
              </w:rPr>
              <w:t>(a)</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12.5</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100.0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276.2</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199.1</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587.7</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b/>
                <w:bCs/>
                <w:i/>
                <w:iCs/>
                <w:color w:val="000000"/>
                <w:lang w:eastAsia="en-AU"/>
              </w:rPr>
            </w:pPr>
            <w:r w:rsidRPr="00AB17EC">
              <w:rPr>
                <w:rFonts w:eastAsiaTheme="minorEastAsia"/>
                <w:b/>
                <w:bCs/>
                <w:i/>
                <w:iCs/>
                <w:color w:val="000000"/>
                <w:lang w:eastAsia="en-AU"/>
              </w:rPr>
              <w:t>Regional Public Transport</w:t>
            </w:r>
          </w:p>
        </w:tc>
        <w:tc>
          <w:tcPr>
            <w:tcW w:w="856"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6"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tcBorders>
              <w:top w:val="nil"/>
              <w:left w:val="nil"/>
              <w:bottom w:val="nil"/>
              <w:right w:val="nil"/>
            </w:tcBorders>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 xml:space="preserve"> </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Ballarat rail upgrade</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31.0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196.4</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268.7</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20.7</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516.7</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Bendigo and Eaglehawk station upgrades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3.8</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4.0</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15.8</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Bendigo line upgrade planning</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2.0</w:t>
            </w:r>
          </w:p>
        </w:tc>
      </w:tr>
    </w:tbl>
    <w:p w:rsidR="00E25CC6" w:rsidRDefault="00E25CC6" w:rsidP="00475DF7">
      <w:pPr>
        <w:pStyle w:val="Tableheading"/>
      </w:pPr>
      <w:r>
        <w:t>Table 1.13:</w:t>
      </w:r>
      <w:r>
        <w:tab/>
        <w:t xml:space="preserve">Asset initiatives – Department </w:t>
      </w:r>
      <w:r w:rsidRPr="00FA2145">
        <w:rPr>
          <w:rFonts w:eastAsiaTheme="minorHAnsi"/>
        </w:rPr>
        <w:t>of Economic Development, Jobs, Transport and Resources</w:t>
      </w:r>
      <w:r>
        <w:rPr>
          <w:rFonts w:eastAsiaTheme="minorHAnsi"/>
        </w:rPr>
        <w:t xml:space="preserve"> </w:t>
      </w:r>
      <w:r w:rsidRPr="00475DF7">
        <w:rPr>
          <w:rFonts w:eastAsiaTheme="minorHAnsi"/>
          <w:i/>
        </w:rPr>
        <w:t>(continued)</w:t>
      </w:r>
    </w:p>
    <w:p w:rsidR="00E25CC6" w:rsidRDefault="00E25CC6" w:rsidP="00475DF7">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28"/>
        <w:gridCol w:w="856"/>
        <w:gridCol w:w="856"/>
        <w:gridCol w:w="857"/>
        <w:gridCol w:w="861"/>
        <w:gridCol w:w="857"/>
        <w:gridCol w:w="861"/>
      </w:tblGrid>
      <w:tr w:rsidR="00E25CC6" w:rsidRPr="00AB17EC" w:rsidTr="00237767">
        <w:trPr>
          <w:cantSplit/>
          <w:tblHeader/>
        </w:trPr>
        <w:tc>
          <w:tcPr>
            <w:tcW w:w="2628" w:type="dxa"/>
            <w:tcBorders>
              <w:top w:val="single" w:sz="4" w:space="0" w:color="auto"/>
              <w:left w:val="single" w:sz="4" w:space="0" w:color="auto"/>
              <w:bottom w:val="single" w:sz="4" w:space="0" w:color="auto"/>
              <w:right w:val="nil"/>
            </w:tcBorders>
            <w:shd w:val="clear" w:color="auto" w:fill="000000"/>
          </w:tcPr>
          <w:p w:rsidR="00E25CC6" w:rsidRPr="00AB17EC" w:rsidRDefault="00E25CC6" w:rsidP="00237767">
            <w:pPr>
              <w:pStyle w:val="Tabletext"/>
              <w:rPr>
                <w:rFonts w:eastAsiaTheme="minorEastAsia"/>
                <w:lang w:eastAsia="en-AU"/>
              </w:rPr>
            </w:pPr>
            <w:r w:rsidRPr="00AB17EC">
              <w:rPr>
                <w:rFonts w:eastAsiaTheme="minorEastAsia"/>
                <w:lang w:eastAsia="en-AU"/>
              </w:rPr>
              <w:t xml:space="preserve"> </w:t>
            </w:r>
          </w:p>
        </w:tc>
        <w:tc>
          <w:tcPr>
            <w:tcW w:w="856"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2015</w:t>
            </w:r>
            <w:r>
              <w:rPr>
                <w:rFonts w:eastAsiaTheme="minorEastAsia"/>
                <w:lang w:eastAsia="en-AU"/>
              </w:rPr>
              <w:noBreakHyphen/>
            </w:r>
            <w:r w:rsidRPr="00AB17EC">
              <w:rPr>
                <w:rFonts w:eastAsiaTheme="minorEastAsia"/>
                <w:lang w:eastAsia="en-AU"/>
              </w:rPr>
              <w:t>16</w:t>
            </w:r>
          </w:p>
        </w:tc>
        <w:tc>
          <w:tcPr>
            <w:tcW w:w="856"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2016</w:t>
            </w:r>
            <w:r>
              <w:rPr>
                <w:rFonts w:eastAsiaTheme="minorEastAsia"/>
                <w:lang w:eastAsia="en-AU"/>
              </w:rPr>
              <w:noBreakHyphen/>
            </w:r>
            <w:r w:rsidRPr="00AB17EC">
              <w:rPr>
                <w:rFonts w:eastAsiaTheme="minorEastAsia"/>
                <w:lang w:eastAsia="en-AU"/>
              </w:rPr>
              <w:t>17</w:t>
            </w:r>
          </w:p>
        </w:tc>
        <w:tc>
          <w:tcPr>
            <w:tcW w:w="85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2017</w:t>
            </w:r>
            <w:r>
              <w:rPr>
                <w:rFonts w:eastAsiaTheme="minorEastAsia"/>
                <w:lang w:eastAsia="en-AU"/>
              </w:rPr>
              <w:noBreakHyphen/>
            </w:r>
            <w:r w:rsidRPr="00AB17EC">
              <w:rPr>
                <w:rFonts w:eastAsiaTheme="minorEastAsia"/>
                <w:lang w:eastAsia="en-AU"/>
              </w:rPr>
              <w:t>18</w:t>
            </w:r>
          </w:p>
        </w:tc>
        <w:tc>
          <w:tcPr>
            <w:tcW w:w="861"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2018</w:t>
            </w:r>
            <w:r>
              <w:rPr>
                <w:rFonts w:eastAsiaTheme="minorEastAsia"/>
                <w:lang w:eastAsia="en-AU"/>
              </w:rPr>
              <w:noBreakHyphen/>
            </w:r>
            <w:r w:rsidRPr="00AB17EC">
              <w:rPr>
                <w:rFonts w:eastAsiaTheme="minorEastAsia"/>
                <w:lang w:eastAsia="en-AU"/>
              </w:rPr>
              <w:t>19</w:t>
            </w:r>
          </w:p>
        </w:tc>
        <w:tc>
          <w:tcPr>
            <w:tcW w:w="857" w:type="dxa"/>
            <w:tcBorders>
              <w:top w:val="single" w:sz="4" w:space="0" w:color="auto"/>
              <w:left w:val="nil"/>
              <w:bottom w:val="single" w:sz="4" w:space="0" w:color="auto"/>
              <w:right w:val="nil"/>
            </w:tcBorders>
            <w:shd w:val="clear" w:color="auto" w:fill="000000"/>
          </w:tcPr>
          <w:p w:rsidR="00E25CC6" w:rsidRPr="00AB17EC" w:rsidRDefault="00E25CC6" w:rsidP="00237767">
            <w:pPr>
              <w:pStyle w:val="Tabletextheading"/>
              <w:rPr>
                <w:rFonts w:eastAsiaTheme="minorEastAsia"/>
                <w:lang w:eastAsia="en-AU"/>
              </w:rPr>
            </w:pPr>
            <w:r w:rsidRPr="00AB17EC">
              <w:rPr>
                <w:rFonts w:eastAsiaTheme="minorEastAsia"/>
                <w:lang w:eastAsia="en-AU"/>
              </w:rPr>
              <w:t>2019</w:t>
            </w:r>
            <w:r>
              <w:rPr>
                <w:rFonts w:eastAsiaTheme="minorEastAsia"/>
                <w:lang w:eastAsia="en-AU"/>
              </w:rPr>
              <w:noBreakHyphen/>
            </w:r>
            <w:r w:rsidRPr="00AB17EC">
              <w:rPr>
                <w:rFonts w:eastAsiaTheme="minorEastAsia"/>
                <w:lang w:eastAsia="en-AU"/>
              </w:rPr>
              <w:t>20</w:t>
            </w:r>
          </w:p>
        </w:tc>
        <w:tc>
          <w:tcPr>
            <w:tcW w:w="861" w:type="dxa"/>
            <w:tcBorders>
              <w:top w:val="single" w:sz="4" w:space="0" w:color="auto"/>
              <w:left w:val="nil"/>
              <w:bottom w:val="single" w:sz="4" w:space="0" w:color="auto"/>
              <w:right w:val="single" w:sz="4" w:space="0" w:color="auto"/>
            </w:tcBorders>
            <w:shd w:val="clear" w:color="auto" w:fill="000000"/>
          </w:tcPr>
          <w:p w:rsidR="00E25CC6" w:rsidRPr="00AB17EC" w:rsidRDefault="00E25CC6" w:rsidP="00237767">
            <w:pPr>
              <w:pStyle w:val="Tabletextheading"/>
              <w:rPr>
                <w:rFonts w:eastAsiaTheme="minorEastAsia" w:cs="Calibri"/>
                <w:iCs/>
                <w:lang w:eastAsia="en-AU"/>
              </w:rPr>
            </w:pPr>
            <w:r w:rsidRPr="00AB17EC">
              <w:rPr>
                <w:rFonts w:eastAsiaTheme="minorEastAsia" w:cs="Calibri"/>
                <w:iCs/>
                <w:lang w:eastAsia="en-AU"/>
              </w:rPr>
              <w:t>TEI</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Gippsland corridor station upgrades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9.0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9.0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Gippsland track upgrades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2.6</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2.6</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Improvements to the North East Line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8.0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7.0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15.0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 xml:space="preserve">Major periodic maintenance </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23.3</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117.9</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141.2</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More regional trains</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112.8</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51.4</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43.2</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21.4</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228.8</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New services to Armstrong Creek</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3.0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Next generation regional train</w:t>
            </w:r>
            <w:r>
              <w:rPr>
                <w:rFonts w:eastAsiaTheme="minorEastAsia"/>
                <w:color w:val="000000"/>
                <w:lang w:eastAsia="en-AU"/>
              </w:rPr>
              <w:t xml:space="preserve"> – </w:t>
            </w:r>
            <w:r w:rsidRPr="00AB17EC">
              <w:rPr>
                <w:rFonts w:eastAsiaTheme="minorEastAsia"/>
                <w:color w:val="000000"/>
                <w:lang w:eastAsia="en-AU"/>
              </w:rPr>
              <w:t>development funding</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6.6</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3.4</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10.0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Track duplication between South Geelong and Waurn Ponds planning</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1.0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3.0</w:t>
            </w:r>
          </w:p>
        </w:tc>
      </w:tr>
      <w:tr w:rsidR="00E25CC6" w:rsidRPr="00AB17EC" w:rsidTr="00A85608">
        <w:trPr>
          <w:cantSplit/>
        </w:trPr>
        <w:tc>
          <w:tcPr>
            <w:tcW w:w="2628" w:type="dxa"/>
            <w:tcBorders>
              <w:top w:val="nil"/>
              <w:left w:val="nil"/>
              <w:bottom w:val="nil"/>
              <w:right w:val="nil"/>
            </w:tcBorders>
          </w:tcPr>
          <w:p w:rsidR="00E25CC6" w:rsidRPr="00AB17EC" w:rsidRDefault="00E25CC6" w:rsidP="00AB17EC">
            <w:pPr>
              <w:pStyle w:val="Tabletext"/>
              <w:rPr>
                <w:rFonts w:eastAsiaTheme="minorEastAsia"/>
                <w:color w:val="000000"/>
                <w:lang w:eastAsia="en-AU"/>
              </w:rPr>
            </w:pPr>
            <w:r w:rsidRPr="00AB17EC">
              <w:rPr>
                <w:rFonts w:eastAsiaTheme="minorEastAsia"/>
                <w:color w:val="000000"/>
                <w:lang w:eastAsia="en-AU"/>
              </w:rPr>
              <w:t>Upfield, Somerton and Wallan enhancement planning</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6"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2.0</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 xml:space="preserve"> 3.0</w:t>
            </w:r>
          </w:p>
        </w:tc>
        <w:tc>
          <w:tcPr>
            <w:tcW w:w="861"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57" w:type="dxa"/>
            <w:tcBorders>
              <w:top w:val="nil"/>
              <w:left w:val="nil"/>
              <w:bottom w:val="nil"/>
              <w:right w:val="nil"/>
            </w:tcBorders>
          </w:tcPr>
          <w:p w:rsidR="00E25CC6" w:rsidRPr="00AB17EC" w:rsidRDefault="00E25CC6" w:rsidP="00AB17EC">
            <w:pPr>
              <w:pStyle w:val="TableofFigures"/>
              <w:rPr>
                <w:rFonts w:eastAsiaTheme="minorEastAsia"/>
                <w:color w:val="000000"/>
                <w:lang w:eastAsia="en-AU"/>
              </w:rPr>
            </w:pPr>
            <w:r w:rsidRPr="00AB17EC">
              <w:rPr>
                <w:rFonts w:eastAsiaTheme="minorEastAsia"/>
                <w:color w:val="000000"/>
                <w:lang w:eastAsia="en-AU"/>
              </w:rPr>
              <w:t>..</w:t>
            </w:r>
          </w:p>
        </w:tc>
        <w:tc>
          <w:tcPr>
            <w:tcW w:w="861" w:type="dxa"/>
            <w:tcBorders>
              <w:top w:val="nil"/>
              <w:left w:val="nil"/>
              <w:bottom w:val="nil"/>
              <w:right w:val="nil"/>
            </w:tcBorders>
          </w:tcPr>
          <w:p w:rsidR="00E25CC6" w:rsidRPr="00AB17EC" w:rsidRDefault="00E25CC6" w:rsidP="00AB17EC">
            <w:pPr>
              <w:autoSpaceDE w:val="0"/>
              <w:autoSpaceDN w:val="0"/>
              <w:adjustRightInd w:val="0"/>
              <w:spacing w:after="0"/>
              <w:jc w:val="right"/>
              <w:rPr>
                <w:rFonts w:ascii="Calibri" w:eastAsiaTheme="minorEastAsia" w:hAnsi="Calibri" w:cs="Calibri"/>
                <w:color w:val="000000"/>
                <w:sz w:val="20"/>
                <w:lang w:eastAsia="en-AU"/>
              </w:rPr>
            </w:pPr>
            <w:r w:rsidRPr="00AB17EC">
              <w:rPr>
                <w:rFonts w:ascii="Calibri" w:eastAsiaTheme="minorEastAsia" w:hAnsi="Calibri" w:cs="Calibri"/>
                <w:color w:val="000000"/>
                <w:sz w:val="20"/>
                <w:lang w:eastAsia="en-AU"/>
              </w:rPr>
              <w:t xml:space="preserve"> 5.0</w:t>
            </w:r>
          </w:p>
        </w:tc>
      </w:tr>
      <w:tr w:rsidR="00E25CC6" w:rsidRPr="00AB17EC" w:rsidTr="00A85608">
        <w:trPr>
          <w:cantSplit/>
        </w:trPr>
        <w:tc>
          <w:tcPr>
            <w:tcW w:w="2628" w:type="dxa"/>
            <w:tcBorders>
              <w:top w:val="single" w:sz="6" w:space="0" w:color="auto"/>
              <w:left w:val="nil"/>
              <w:bottom w:val="nil"/>
              <w:right w:val="nil"/>
            </w:tcBorders>
            <w:shd w:val="solid" w:color="FFFFFF" w:fill="auto"/>
          </w:tcPr>
          <w:p w:rsidR="00E25CC6" w:rsidRPr="00AB17EC" w:rsidRDefault="00E25CC6" w:rsidP="00AB17EC">
            <w:pPr>
              <w:pStyle w:val="Tabletext"/>
              <w:rPr>
                <w:rFonts w:eastAsiaTheme="minorEastAsia"/>
                <w:b/>
                <w:bCs/>
                <w:color w:val="000000"/>
                <w:vertAlign w:val="superscript"/>
                <w:lang w:eastAsia="en-AU"/>
              </w:rPr>
            </w:pPr>
            <w:r w:rsidRPr="00AB17EC">
              <w:rPr>
                <w:rFonts w:eastAsiaTheme="minorEastAsia"/>
                <w:b/>
                <w:bCs/>
                <w:color w:val="000000"/>
                <w:lang w:eastAsia="en-AU"/>
              </w:rPr>
              <w:t xml:space="preserve">Total asset initiatives </w:t>
            </w:r>
            <w:r w:rsidRPr="00AB17EC">
              <w:rPr>
                <w:rFonts w:eastAsiaTheme="minorEastAsia"/>
                <w:b/>
                <w:bCs/>
                <w:color w:val="000000"/>
                <w:vertAlign w:val="superscript"/>
                <w:lang w:eastAsia="en-AU"/>
              </w:rPr>
              <w:t>(k)</w:t>
            </w:r>
          </w:p>
        </w:tc>
        <w:tc>
          <w:tcPr>
            <w:tcW w:w="856" w:type="dxa"/>
            <w:tcBorders>
              <w:top w:val="single" w:sz="6" w:space="0" w:color="auto"/>
              <w:left w:val="nil"/>
              <w:bottom w:val="nil"/>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61.3</w:t>
            </w:r>
          </w:p>
        </w:tc>
        <w:tc>
          <w:tcPr>
            <w:tcW w:w="856" w:type="dxa"/>
            <w:tcBorders>
              <w:top w:val="single" w:sz="6" w:space="0" w:color="auto"/>
              <w:left w:val="nil"/>
              <w:bottom w:val="nil"/>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986.7</w:t>
            </w:r>
          </w:p>
        </w:tc>
        <w:tc>
          <w:tcPr>
            <w:tcW w:w="857" w:type="dxa"/>
            <w:tcBorders>
              <w:top w:val="single" w:sz="6" w:space="0" w:color="auto"/>
              <w:left w:val="nil"/>
              <w:bottom w:val="nil"/>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1 194.7</w:t>
            </w:r>
          </w:p>
        </w:tc>
        <w:tc>
          <w:tcPr>
            <w:tcW w:w="861" w:type="dxa"/>
            <w:tcBorders>
              <w:top w:val="single" w:sz="6" w:space="0" w:color="auto"/>
              <w:left w:val="nil"/>
              <w:bottom w:val="nil"/>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1 504.1</w:t>
            </w:r>
          </w:p>
        </w:tc>
        <w:tc>
          <w:tcPr>
            <w:tcW w:w="857" w:type="dxa"/>
            <w:tcBorders>
              <w:top w:val="single" w:sz="6" w:space="0" w:color="auto"/>
              <w:left w:val="nil"/>
              <w:bottom w:val="nil"/>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717.4</w:t>
            </w:r>
          </w:p>
        </w:tc>
        <w:tc>
          <w:tcPr>
            <w:tcW w:w="861" w:type="dxa"/>
            <w:tcBorders>
              <w:top w:val="single" w:sz="6" w:space="0" w:color="auto"/>
              <w:left w:val="nil"/>
              <w:bottom w:val="nil"/>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9 601.6</w:t>
            </w:r>
            <w:r>
              <w:rPr>
                <w:rFonts w:ascii="Calibri" w:eastAsiaTheme="minorEastAsia" w:hAnsi="Calibri" w:cs="Calibri"/>
                <w:b/>
                <w:bCs/>
                <w:color w:val="000000"/>
                <w:sz w:val="20"/>
                <w:lang w:eastAsia="en-AU"/>
              </w:rPr>
              <w:t>–</w:t>
            </w:r>
          </w:p>
        </w:tc>
      </w:tr>
      <w:tr w:rsidR="00E25CC6" w:rsidRPr="00AB17EC" w:rsidTr="00A85608">
        <w:trPr>
          <w:cantSplit/>
        </w:trPr>
        <w:tc>
          <w:tcPr>
            <w:tcW w:w="2628" w:type="dxa"/>
            <w:tcBorders>
              <w:top w:val="nil"/>
              <w:left w:val="nil"/>
              <w:bottom w:val="single" w:sz="12" w:space="0" w:color="auto"/>
              <w:right w:val="nil"/>
            </w:tcBorders>
            <w:shd w:val="solid" w:color="FFFFFF" w:fill="auto"/>
          </w:tcPr>
          <w:p w:rsidR="00E25CC6" w:rsidRPr="00AB17EC" w:rsidRDefault="00E25CC6" w:rsidP="00AB17EC">
            <w:pPr>
              <w:pStyle w:val="Tabletext"/>
              <w:rPr>
                <w:rFonts w:eastAsiaTheme="minorEastAsia"/>
                <w:b/>
                <w:bCs/>
                <w:color w:val="000000"/>
                <w:lang w:eastAsia="en-AU"/>
              </w:rPr>
            </w:pPr>
            <w:r w:rsidRPr="00AB17EC">
              <w:rPr>
                <w:rFonts w:eastAsiaTheme="minorEastAsia"/>
                <w:b/>
                <w:bCs/>
                <w:color w:val="000000"/>
                <w:lang w:eastAsia="en-AU"/>
              </w:rPr>
              <w:t xml:space="preserve"> </w:t>
            </w:r>
          </w:p>
        </w:tc>
        <w:tc>
          <w:tcPr>
            <w:tcW w:w="856" w:type="dxa"/>
            <w:tcBorders>
              <w:top w:val="nil"/>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6" w:type="dxa"/>
            <w:tcBorders>
              <w:top w:val="nil"/>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tcBorders>
              <w:top w:val="nil"/>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tcBorders>
              <w:top w:val="nil"/>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57" w:type="dxa"/>
            <w:tcBorders>
              <w:top w:val="nil"/>
              <w:left w:val="nil"/>
              <w:bottom w:val="single" w:sz="12" w:space="0" w:color="auto"/>
              <w:right w:val="nil"/>
            </w:tcBorders>
            <w:shd w:val="solid" w:color="FFFFFF" w:fill="auto"/>
          </w:tcPr>
          <w:p w:rsidR="00E25CC6" w:rsidRPr="00AB17EC" w:rsidRDefault="00E25CC6" w:rsidP="00AB17EC">
            <w:pPr>
              <w:pStyle w:val="TableofFigures"/>
              <w:rPr>
                <w:rFonts w:eastAsiaTheme="minorEastAsia"/>
                <w:b/>
                <w:bCs/>
                <w:color w:val="000000"/>
                <w:lang w:eastAsia="en-AU"/>
              </w:rPr>
            </w:pPr>
            <w:r w:rsidRPr="00AB17EC">
              <w:rPr>
                <w:rFonts w:eastAsiaTheme="minorEastAsia"/>
                <w:b/>
                <w:bCs/>
                <w:color w:val="000000"/>
                <w:lang w:eastAsia="en-AU"/>
              </w:rPr>
              <w:t xml:space="preserve"> </w:t>
            </w:r>
          </w:p>
        </w:tc>
        <w:tc>
          <w:tcPr>
            <w:tcW w:w="861" w:type="dxa"/>
            <w:tcBorders>
              <w:top w:val="nil"/>
              <w:left w:val="nil"/>
              <w:bottom w:val="single" w:sz="12" w:space="0" w:color="auto"/>
              <w:right w:val="nil"/>
            </w:tcBorders>
            <w:shd w:val="solid" w:color="FFFFFF" w:fill="auto"/>
          </w:tcPr>
          <w:p w:rsidR="00E25CC6" w:rsidRPr="00AB17EC" w:rsidRDefault="00E25CC6" w:rsidP="00AB17EC">
            <w:pPr>
              <w:autoSpaceDE w:val="0"/>
              <w:autoSpaceDN w:val="0"/>
              <w:adjustRightInd w:val="0"/>
              <w:spacing w:after="0"/>
              <w:jc w:val="right"/>
              <w:rPr>
                <w:rFonts w:ascii="Calibri" w:eastAsiaTheme="minorEastAsia" w:hAnsi="Calibri" w:cs="Calibri"/>
                <w:b/>
                <w:bCs/>
                <w:color w:val="000000"/>
                <w:sz w:val="20"/>
                <w:lang w:eastAsia="en-AU"/>
              </w:rPr>
            </w:pPr>
            <w:r w:rsidRPr="00AB17EC">
              <w:rPr>
                <w:rFonts w:ascii="Calibri" w:eastAsiaTheme="minorEastAsia" w:hAnsi="Calibri" w:cs="Calibri"/>
                <w:b/>
                <w:bCs/>
                <w:color w:val="000000"/>
                <w:sz w:val="20"/>
                <w:lang w:eastAsia="en-AU"/>
              </w:rPr>
              <w:t>9 640.0</w:t>
            </w:r>
          </w:p>
        </w:tc>
      </w:tr>
    </w:tbl>
    <w:p w:rsidR="00E25CC6" w:rsidRDefault="00E25CC6" w:rsidP="00566998">
      <w:pPr>
        <w:pStyle w:val="Source"/>
      </w:pPr>
      <w:r>
        <w:t>Source: Department of Treasury and Finance</w:t>
      </w:r>
      <w:r>
        <w:fldChar w:fldCharType="begin"/>
      </w:r>
      <w:r>
        <w:instrText xml:space="preserve"> XE "</w:instrText>
      </w:r>
      <w:r w:rsidRPr="00556208">
        <w:instrText>Department of Economic Development, Jobs, Transport and Resources:Asset initiatives</w:instrText>
      </w:r>
      <w:r>
        <w:instrText xml:space="preserve">" \r "DEDJTR_AssInit" </w:instrText>
      </w:r>
      <w:r>
        <w:fldChar w:fldCharType="end"/>
      </w:r>
    </w:p>
    <w:bookmarkEnd w:id="21"/>
    <w:p w:rsidR="00E25CC6" w:rsidRDefault="00E25CC6" w:rsidP="00566998">
      <w:pPr>
        <w:pStyle w:val="Notes"/>
      </w:pPr>
      <w:r>
        <w:t xml:space="preserve">Notes: </w:t>
      </w:r>
    </w:p>
    <w:p w:rsidR="00E25CC6" w:rsidRDefault="00E25CC6" w:rsidP="00566998">
      <w:pPr>
        <w:pStyle w:val="Notes"/>
      </w:pPr>
      <w:r>
        <w:t>(a)</w:t>
      </w:r>
      <w:r>
        <w:tab/>
        <w:t>The balance of the election commitment was delivered in the 2015</w:t>
      </w:r>
      <w:r>
        <w:noBreakHyphen/>
        <w:t>16 Budget.</w:t>
      </w:r>
    </w:p>
    <w:p w:rsidR="00E25CC6" w:rsidRDefault="00E25CC6" w:rsidP="00EA3ABF">
      <w:pPr>
        <w:pStyle w:val="Notes"/>
      </w:pPr>
      <w:r>
        <w:t>(b)</w:t>
      </w:r>
      <w:r>
        <w:tab/>
        <w:t>This initiative contributes to the following outputs:</w:t>
      </w:r>
    </w:p>
    <w:p w:rsidR="00E25CC6" w:rsidRDefault="00E25CC6" w:rsidP="00EA3ABF">
      <w:pPr>
        <w:pStyle w:val="NotesDash"/>
      </w:pPr>
      <w:r>
        <w:t>Bus Services;</w:t>
      </w:r>
    </w:p>
    <w:p w:rsidR="00E25CC6" w:rsidRDefault="00E25CC6" w:rsidP="00EA3ABF">
      <w:pPr>
        <w:pStyle w:val="NotesDash"/>
      </w:pPr>
      <w:r>
        <w:t>Road Operations and Network Improvements;</w:t>
      </w:r>
    </w:p>
    <w:p w:rsidR="00E25CC6" w:rsidRDefault="00E25CC6" w:rsidP="00EA3ABF">
      <w:pPr>
        <w:pStyle w:val="NotesDash"/>
      </w:pPr>
      <w:r>
        <w:t>Transport Safety, Security, and Emergency Management;</w:t>
      </w:r>
    </w:p>
    <w:p w:rsidR="00E25CC6" w:rsidRDefault="00E25CC6" w:rsidP="00EA3ABF">
      <w:pPr>
        <w:pStyle w:val="NotesDash"/>
      </w:pPr>
      <w:r>
        <w:t>Train Services; and</w:t>
      </w:r>
    </w:p>
    <w:p w:rsidR="00E25CC6" w:rsidRPr="00CD63A7" w:rsidRDefault="00E25CC6" w:rsidP="00566998">
      <w:pPr>
        <w:pStyle w:val="NotesDash"/>
      </w:pPr>
      <w:r>
        <w:t>Tram Services.</w:t>
      </w:r>
    </w:p>
    <w:p w:rsidR="00E25CC6" w:rsidRDefault="00E25CC6" w:rsidP="00A12F4E">
      <w:pPr>
        <w:pStyle w:val="Notes"/>
      </w:pPr>
      <w:r>
        <w:t>(c)</w:t>
      </w:r>
      <w:r>
        <w:tab/>
        <w:t>This project is to be funded by the Transport Accident Commission.</w:t>
      </w:r>
    </w:p>
    <w:p w:rsidR="00E25CC6" w:rsidRDefault="00E25CC6" w:rsidP="00A12F4E">
      <w:pPr>
        <w:pStyle w:val="Notes"/>
      </w:pPr>
      <w:r>
        <w:t>(d)</w:t>
      </w:r>
      <w:r>
        <w:tab/>
        <w:t>The TEI includes funding beyond 2019</w:t>
      </w:r>
      <w:r>
        <w:noBreakHyphen/>
        <w:t>20 of $33 million.</w:t>
      </w:r>
    </w:p>
    <w:p w:rsidR="00E25CC6" w:rsidRDefault="00E25CC6" w:rsidP="00944EF6">
      <w:pPr>
        <w:pStyle w:val="Notes"/>
      </w:pPr>
      <w:r>
        <w:t>(e)</w:t>
      </w:r>
      <w:r>
        <w:tab/>
        <w:t>The TEI includes Commonwealth funding of $40.44 million.</w:t>
      </w:r>
    </w:p>
    <w:p w:rsidR="00E25CC6" w:rsidRDefault="00E25CC6" w:rsidP="00944EF6">
      <w:pPr>
        <w:pStyle w:val="Notes"/>
      </w:pPr>
      <w:r>
        <w:t>(f)</w:t>
      </w:r>
      <w:r>
        <w:tab/>
        <w:t>Funding for these projects is being held in central contingency pending the outcome of a strategic business case which will assess a range of procurement options, including procurement using a Private Public Partnership (PPP) availability model. Project cash flows will be determined following confirmation of final procurement model.</w:t>
      </w:r>
    </w:p>
    <w:p w:rsidR="00E25CC6" w:rsidRDefault="00E25CC6" w:rsidP="006D25F0">
      <w:pPr>
        <w:pStyle w:val="Notes"/>
      </w:pPr>
      <w:r>
        <w:t>(g)</w:t>
      </w:r>
      <w:r>
        <w:tab/>
        <w:t>Funding will be released progressively as planning is completed.</w:t>
      </w:r>
    </w:p>
    <w:p w:rsidR="00E25CC6" w:rsidRDefault="00E25CC6" w:rsidP="006D25F0">
      <w:pPr>
        <w:pStyle w:val="Notes"/>
      </w:pPr>
      <w:r>
        <w:t>(h)</w:t>
      </w:r>
      <w:r>
        <w:tab/>
        <w:t>Includes works to the Monash Freeway from EastLink to Clyde Road in Berwick and Webb Dock Access upgrade improvement works.</w:t>
      </w:r>
      <w:r w:rsidRPr="00102FAE">
        <w:t xml:space="preserve"> </w:t>
      </w:r>
      <w:r>
        <w:t>The project is anticipated to be funded through a combination of tolls on the new road connections, an extension to CityLink concession and a government contribution. The cash flows in this table represent the State’s expected contribution over the forward estimates.</w:t>
      </w:r>
    </w:p>
    <w:p w:rsidR="00E25CC6" w:rsidRDefault="00E25CC6" w:rsidP="006D25F0">
      <w:pPr>
        <w:pStyle w:val="Notes"/>
      </w:pPr>
      <w:r>
        <w:t>(i)</w:t>
      </w:r>
      <w:r>
        <w:tab/>
        <w:t>The TEI includes Commonwealth funding of $10.24 million.</w:t>
      </w:r>
    </w:p>
    <w:p w:rsidR="00E25CC6" w:rsidRDefault="00E25CC6" w:rsidP="006D25F0">
      <w:pPr>
        <w:pStyle w:val="Notes"/>
      </w:pPr>
      <w:r>
        <w:t xml:space="preserve"> (j)</w:t>
      </w:r>
      <w:r>
        <w:tab/>
        <w:t>The TEI is additional to funding of $1.301 billion in the 2015</w:t>
      </w:r>
      <w:r>
        <w:noBreakHyphen/>
        <w:t>16 Budget. The new trains and depot will be procured as a public private partnership and the final financial impacts will be confirmed following the conclusion of the procurement process.</w:t>
      </w:r>
    </w:p>
    <w:p w:rsidR="00E25CC6" w:rsidRDefault="00E25CC6" w:rsidP="006D25F0">
      <w:pPr>
        <w:pStyle w:val="Notes"/>
      </w:pPr>
      <w:r>
        <w:t>(k)</w:t>
      </w:r>
      <w:r>
        <w:tab/>
        <w:t>Tables may not add due to rounding.</w:t>
      </w:r>
    </w:p>
    <w:p w:rsidR="00E25CC6" w:rsidRPr="00D51487" w:rsidRDefault="00E25CC6" w:rsidP="00944EF6">
      <w:pPr>
        <w:pStyle w:val="Notes"/>
      </w:pPr>
    </w:p>
    <w:p w:rsidR="00E25CC6" w:rsidRPr="00D4671F" w:rsidRDefault="00E25CC6" w:rsidP="00BF1480">
      <w:pPr>
        <w:pStyle w:val="Heading4"/>
      </w:pPr>
      <w:r>
        <w:t>Creative Industries</w:t>
      </w:r>
    </w:p>
    <w:p w:rsidR="00E25CC6" w:rsidRPr="00156074" w:rsidRDefault="00E25CC6" w:rsidP="00156074">
      <w:pPr>
        <w:pStyle w:val="Heading5"/>
      </w:pPr>
      <w:r w:rsidRPr="00156074">
        <w:t>Collections Storage Victoria – phase 1</w:t>
      </w:r>
    </w:p>
    <w:p w:rsidR="00E25CC6" w:rsidRDefault="00E25CC6" w:rsidP="00EB0D6A">
      <w:r>
        <w:t>An additional collections storage site will be constructed in Ballarat, and</w:t>
      </w:r>
      <w:r w:rsidRPr="00CE7776">
        <w:t xml:space="preserve"> concept design and planning</w:t>
      </w:r>
      <w:r>
        <w:t xml:space="preserve"> will begin </w:t>
      </w:r>
      <w:r w:rsidRPr="00CE7776">
        <w:t>for the development of a</w:t>
      </w:r>
      <w:r>
        <w:t xml:space="preserve"> </w:t>
      </w:r>
      <w:r w:rsidRPr="00CE7776">
        <w:t>new collections store at Spotswood.</w:t>
      </w:r>
      <w:r>
        <w:t xml:space="preserve"> This will address overcrowding issues at existing stores and ensure collections are appropriately </w:t>
      </w:r>
      <w:r w:rsidRPr="00517361">
        <w:t>preserved for future Victorians</w:t>
      </w:r>
      <w:r>
        <w:t>.</w:t>
      </w:r>
    </w:p>
    <w:p w:rsidR="00E25CC6" w:rsidRPr="00B2081A" w:rsidRDefault="00E25CC6" w:rsidP="00B2081A">
      <w:r>
        <w:t xml:space="preserve">This initiative contributes to the Department of Economic Development, Jobs, Transport and </w:t>
      </w:r>
      <w:r>
        <w:rPr>
          <w:rFonts w:cs="Garamond"/>
          <w:color w:val="000000"/>
        </w:rPr>
        <w:t>Resources’ Cultural Infrastructure and Facilities output.</w:t>
      </w:r>
    </w:p>
    <w:p w:rsidR="00E25CC6" w:rsidRPr="00156074" w:rsidRDefault="00E25CC6" w:rsidP="00156074">
      <w:pPr>
        <w:pStyle w:val="Heading5"/>
      </w:pPr>
      <w:r w:rsidRPr="00156074">
        <w:t>Geelong Performing Arts Centre redevelopment</w:t>
      </w:r>
    </w:p>
    <w:p w:rsidR="00E25CC6" w:rsidRDefault="00E25CC6" w:rsidP="00EB0D6A">
      <w:pPr>
        <w:autoSpaceDE w:val="0"/>
        <w:autoSpaceDN w:val="0"/>
        <w:adjustRightInd w:val="0"/>
        <w:rPr>
          <w:rFonts w:cs="Garamond"/>
          <w:color w:val="000000"/>
        </w:rPr>
      </w:pPr>
      <w:r>
        <w:rPr>
          <w:rFonts w:cs="Garamond"/>
          <w:color w:val="000000"/>
        </w:rPr>
        <w:t>The redevelopment of the Geelong Performing Arts Centre will</w:t>
      </w:r>
      <w:r w:rsidRPr="0078699B">
        <w:rPr>
          <w:rFonts w:cs="Garamond"/>
          <w:color w:val="000000"/>
        </w:rPr>
        <w:t xml:space="preserve"> expand and improve amenity and access</w:t>
      </w:r>
      <w:r>
        <w:rPr>
          <w:rFonts w:cs="Garamond"/>
          <w:color w:val="000000"/>
        </w:rPr>
        <w:t xml:space="preserve"> at the 35 year old centre. Funding is also provided for business disruption costs to enable the Centre to continue to deliver programming and services to the community throughout the construction period, as well as other associated project costs. </w:t>
      </w:r>
    </w:p>
    <w:p w:rsidR="00E25CC6" w:rsidRDefault="00E25CC6" w:rsidP="00EB0D6A">
      <w:pPr>
        <w:autoSpaceDE w:val="0"/>
        <w:autoSpaceDN w:val="0"/>
        <w:adjustRightInd w:val="0"/>
        <w:rPr>
          <w:rFonts w:ascii="Helv" w:hAnsi="Helv" w:cs="Helv"/>
          <w:color w:val="000000"/>
          <w:sz w:val="20"/>
        </w:rPr>
      </w:pPr>
      <w:r>
        <w:rPr>
          <w:rFonts w:cs="Garamond"/>
          <w:color w:val="000000"/>
        </w:rPr>
        <w:t>This initiative contributes to the Department of Economic Development, Jobs, Transport and Resources’ Cultural Infrastructure and Facilities output.</w:t>
      </w:r>
      <w:r>
        <w:rPr>
          <w:rFonts w:cs="Garamond"/>
          <w:color w:val="000000"/>
        </w:rPr>
        <w:fldChar w:fldCharType="begin"/>
      </w:r>
      <w:r>
        <w:instrText xml:space="preserve"> XE "</w:instrText>
      </w:r>
      <w:r w:rsidRPr="00621959">
        <w:instrText>Department of Economic Development, Jobs, Transport and Resources:Creative Industries</w:instrText>
      </w:r>
      <w:r>
        <w:instrText xml:space="preserve">" </w:instrText>
      </w:r>
      <w:r>
        <w:rPr>
          <w:rFonts w:cs="Garamond"/>
          <w:color w:val="000000"/>
        </w:rPr>
        <w:fldChar w:fldCharType="end"/>
      </w:r>
    </w:p>
    <w:p w:rsidR="00E25CC6" w:rsidRPr="00D4671F" w:rsidRDefault="00E25CC6" w:rsidP="00BF1480">
      <w:pPr>
        <w:pStyle w:val="Heading4"/>
      </w:pPr>
      <w:r>
        <w:t>Resources and Primary Industries</w:t>
      </w:r>
    </w:p>
    <w:p w:rsidR="00E25CC6" w:rsidRPr="00D66294" w:rsidRDefault="00E25CC6" w:rsidP="00D66294">
      <w:pPr>
        <w:pStyle w:val="Heading5"/>
        <w:rPr>
          <w:rFonts w:eastAsiaTheme="minorHAnsi"/>
        </w:rPr>
      </w:pPr>
      <w:r w:rsidRPr="00D66294">
        <w:rPr>
          <w:rFonts w:eastAsiaTheme="minorHAnsi"/>
        </w:rPr>
        <w:t xml:space="preserve">Access to Medicinal Cannabis </w:t>
      </w:r>
    </w:p>
    <w:p w:rsidR="00E25CC6" w:rsidRPr="00D66294" w:rsidRDefault="00E25CC6" w:rsidP="00D66294">
      <w:pPr>
        <w:rPr>
          <w:rFonts w:eastAsiaTheme="minorHAnsi"/>
        </w:rPr>
      </w:pPr>
      <w:r>
        <w:rPr>
          <w:rFonts w:eastAsiaTheme="minorHAnsi"/>
        </w:rPr>
        <w:t>Refer to output initiative for description of this initiative.</w:t>
      </w:r>
    </w:p>
    <w:p w:rsidR="00E25CC6" w:rsidRPr="00202ADD" w:rsidRDefault="00E25CC6" w:rsidP="00156074">
      <w:pPr>
        <w:pStyle w:val="Heading5"/>
        <w:rPr>
          <w:rFonts w:eastAsiaTheme="minorHAnsi"/>
        </w:rPr>
      </w:pPr>
      <w:r w:rsidRPr="00202ADD">
        <w:rPr>
          <w:rFonts w:eastAsiaTheme="minorHAnsi"/>
        </w:rPr>
        <w:t>Guaranteeing Victoria</w:t>
      </w:r>
      <w:r>
        <w:rPr>
          <w:rFonts w:eastAsiaTheme="minorHAnsi"/>
        </w:rPr>
        <w:t>’</w:t>
      </w:r>
      <w:r w:rsidRPr="00202ADD">
        <w:rPr>
          <w:rFonts w:eastAsiaTheme="minorHAnsi"/>
        </w:rPr>
        <w:t>s food export future – Bio</w:t>
      </w:r>
      <w:r>
        <w:rPr>
          <w:rFonts w:eastAsiaTheme="minorHAnsi"/>
        </w:rPr>
        <w:t>s</w:t>
      </w:r>
      <w:r w:rsidRPr="00202ADD">
        <w:rPr>
          <w:rFonts w:eastAsiaTheme="minorHAnsi"/>
        </w:rPr>
        <w:t>ecurity</w:t>
      </w:r>
    </w:p>
    <w:p w:rsidR="00E25CC6" w:rsidRDefault="00E25CC6" w:rsidP="00944EF6">
      <w:r w:rsidRPr="00F1593D">
        <w:t>Specialist equipment and supporting information technology systems will be upgraded in regional areas to improve the detection, diagnosis and analysis of biosecurity hazards such as plant and animal pests and diseases. This will support Victoria</w:t>
      </w:r>
      <w:r>
        <w:t>’</w:t>
      </w:r>
      <w:r w:rsidRPr="00F1593D">
        <w:t>s agricultur</w:t>
      </w:r>
      <w:r>
        <w:t>e</w:t>
      </w:r>
      <w:r w:rsidRPr="00F1593D">
        <w:t xml:space="preserve"> </w:t>
      </w:r>
      <w:r>
        <w:t>producers</w:t>
      </w:r>
      <w:r w:rsidRPr="00F1593D">
        <w:t xml:space="preserve"> in gaining and maintaining access to </w:t>
      </w:r>
      <w:r>
        <w:t xml:space="preserve">domestic and </w:t>
      </w:r>
      <w:r w:rsidRPr="00F1593D">
        <w:t>export market</w:t>
      </w:r>
      <w:r>
        <w:t>s</w:t>
      </w:r>
      <w:r w:rsidRPr="00F1593D">
        <w:t>.</w:t>
      </w:r>
    </w:p>
    <w:p w:rsidR="00E25CC6" w:rsidRDefault="00E25CC6" w:rsidP="00944EF6">
      <w:pPr>
        <w:rPr>
          <w:rFonts w:eastAsiaTheme="minorHAnsi"/>
        </w:rPr>
      </w:pPr>
      <w:r w:rsidRPr="007C435B">
        <w:rPr>
          <w:rFonts w:eastAsiaTheme="minorHAnsi"/>
        </w:rPr>
        <w:t>This initiative contributes to the Department of Economic Development, Jobs, Transport and Resources</w:t>
      </w:r>
      <w:r>
        <w:rPr>
          <w:rFonts w:eastAsiaTheme="minorHAnsi"/>
        </w:rPr>
        <w:t>’</w:t>
      </w:r>
      <w:r w:rsidRPr="007C435B">
        <w:rPr>
          <w:rFonts w:eastAsiaTheme="minorHAnsi"/>
        </w:rPr>
        <w:t xml:space="preserve"> Agriculture output.</w:t>
      </w:r>
    </w:p>
    <w:p w:rsidR="00E25CC6" w:rsidRDefault="00E25CC6" w:rsidP="00660327">
      <w:pPr>
        <w:pStyle w:val="Heading5"/>
        <w:rPr>
          <w:rFonts w:eastAsiaTheme="minorHAnsi"/>
        </w:rPr>
      </w:pPr>
      <w:r>
        <w:rPr>
          <w:rFonts w:eastAsiaTheme="minorHAnsi"/>
        </w:rPr>
        <w:t>Modernising Earth Resources Management</w:t>
      </w:r>
    </w:p>
    <w:p w:rsidR="00E25CC6" w:rsidRPr="00D66294" w:rsidRDefault="00E25CC6" w:rsidP="00660327">
      <w:pPr>
        <w:rPr>
          <w:rFonts w:eastAsiaTheme="minorHAnsi"/>
        </w:rPr>
      </w:pPr>
      <w:r>
        <w:rPr>
          <w:rFonts w:eastAsiaTheme="minorHAnsi"/>
        </w:rPr>
        <w:t>Refer to output initiative for description of this initiative.</w:t>
      </w:r>
    </w:p>
    <w:p w:rsidR="00E25CC6" w:rsidRDefault="00E25CC6" w:rsidP="00660327">
      <w:pPr>
        <w:pStyle w:val="Heading5"/>
        <w:rPr>
          <w:rFonts w:eastAsiaTheme="minorHAnsi"/>
        </w:rPr>
      </w:pPr>
      <w:r>
        <w:rPr>
          <w:rFonts w:eastAsiaTheme="minorHAnsi"/>
        </w:rPr>
        <w:t>Sustainable Hunting Action Plan</w:t>
      </w:r>
    </w:p>
    <w:p w:rsidR="00E25CC6" w:rsidRPr="00D66294" w:rsidRDefault="00E25CC6" w:rsidP="00660327">
      <w:pPr>
        <w:rPr>
          <w:rFonts w:eastAsiaTheme="minorHAnsi"/>
        </w:rPr>
      </w:pPr>
      <w:r>
        <w:rPr>
          <w:rFonts w:eastAsiaTheme="minorHAnsi"/>
        </w:rPr>
        <w:t>Refer to output initiative for description of this initiative.</w:t>
      </w:r>
    </w:p>
    <w:p w:rsidR="00E25CC6" w:rsidRDefault="00E25CC6">
      <w:pPr>
        <w:spacing w:after="0"/>
        <w:rPr>
          <w:rFonts w:ascii="Calibri" w:hAnsi="Calibri"/>
          <w:i/>
          <w:sz w:val="24"/>
          <w:szCs w:val="22"/>
        </w:rPr>
      </w:pPr>
      <w:r>
        <w:br w:type="page"/>
      </w:r>
    </w:p>
    <w:p w:rsidR="00E25CC6" w:rsidRDefault="00E25CC6" w:rsidP="00BF1480">
      <w:pPr>
        <w:pStyle w:val="Heading4"/>
      </w:pPr>
      <w:r w:rsidRPr="00D4671F">
        <w:t>Transport Network Safety, Operation and Development</w:t>
      </w:r>
    </w:p>
    <w:p w:rsidR="00E25CC6" w:rsidRPr="00202ADD" w:rsidRDefault="00E25CC6" w:rsidP="007F558F">
      <w:pPr>
        <w:pStyle w:val="Heading5"/>
        <w:rPr>
          <w:rFonts w:eastAsiaTheme="minorHAnsi"/>
        </w:rPr>
      </w:pPr>
      <w:bookmarkStart w:id="22" w:name="DEDJTR_TransNetChap1b"/>
      <w:r>
        <w:rPr>
          <w:rFonts w:eastAsiaTheme="minorHAnsi"/>
        </w:rPr>
        <w:t>Co</w:t>
      </w:r>
      <w:r>
        <w:rPr>
          <w:rFonts w:eastAsiaTheme="minorHAnsi"/>
        </w:rPr>
        <w:noBreakHyphen/>
        <w:t>investment for upgrades to State</w:t>
      </w:r>
      <w:r>
        <w:rPr>
          <w:rFonts w:eastAsiaTheme="minorHAnsi"/>
        </w:rPr>
        <w:noBreakHyphen/>
        <w:t>owned rail sidings</w:t>
      </w:r>
    </w:p>
    <w:p w:rsidR="00E25CC6" w:rsidRPr="00AF13FD" w:rsidRDefault="00E25CC6" w:rsidP="007F558F">
      <w:r w:rsidRPr="00AF13FD">
        <w:t>The Government will make a co</w:t>
      </w:r>
      <w:r>
        <w:noBreakHyphen/>
      </w:r>
      <w:r w:rsidRPr="00AF13FD">
        <w:t>contribution to GrainCorp</w:t>
      </w:r>
      <w:r>
        <w:t>’</w:t>
      </w:r>
      <w:r w:rsidRPr="00AF13FD">
        <w:t>s Project Regeneration wh</w:t>
      </w:r>
      <w:r>
        <w:t>ich will fund upgrades of State</w:t>
      </w:r>
      <w:r>
        <w:noBreakHyphen/>
      </w:r>
      <w:r w:rsidRPr="00AF13FD">
        <w:t xml:space="preserve">owned </w:t>
      </w:r>
      <w:r>
        <w:t xml:space="preserve">rail </w:t>
      </w:r>
      <w:r w:rsidRPr="00AF13FD">
        <w:t>siding assets at nine Victorian grain terminals. These upgrades will maximise the volume of grain transported via rail and reduce costs to the grain industry.</w:t>
      </w:r>
      <w:r>
        <w:t xml:space="preserve"> </w:t>
      </w:r>
    </w:p>
    <w:p w:rsidR="00E25CC6" w:rsidRPr="00F1593D" w:rsidRDefault="00E25CC6" w:rsidP="007F558F">
      <w:r w:rsidRPr="00F1593D">
        <w:t>This initiative contributes to the Department of Economic Development, Jobs, Transport and Resources</w:t>
      </w:r>
      <w:r>
        <w:t>’</w:t>
      </w:r>
      <w:r w:rsidRPr="00F1593D">
        <w:t xml:space="preserve"> </w:t>
      </w:r>
      <w:r>
        <w:t xml:space="preserve">Train Services </w:t>
      </w:r>
      <w:r w:rsidRPr="00F1593D">
        <w:t>output.</w:t>
      </w:r>
    </w:p>
    <w:p w:rsidR="00E25CC6" w:rsidRPr="00156074" w:rsidRDefault="00E25CC6" w:rsidP="007F558F">
      <w:pPr>
        <w:pStyle w:val="Heading5"/>
      </w:pPr>
      <w:r w:rsidRPr="00156074">
        <w:t>Railway Station Ca</w:t>
      </w:r>
      <w:r>
        <w:t>r Parking Fund</w:t>
      </w:r>
    </w:p>
    <w:p w:rsidR="00E25CC6" w:rsidRPr="00E96BDB" w:rsidRDefault="00E25CC6" w:rsidP="007F558F">
      <w:pPr>
        <w:autoSpaceDE w:val="0"/>
        <w:autoSpaceDN w:val="0"/>
        <w:adjustRightInd w:val="0"/>
        <w:spacing w:after="240"/>
        <w:rPr>
          <w:rFonts w:cs="Helv"/>
          <w:color w:val="000000"/>
          <w:szCs w:val="22"/>
          <w:lang w:eastAsia="en-AU"/>
        </w:rPr>
      </w:pPr>
      <w:r>
        <w:rPr>
          <w:rFonts w:cs="Helv"/>
          <w:color w:val="000000"/>
          <w:szCs w:val="22"/>
          <w:lang w:eastAsia="en-AU"/>
        </w:rPr>
        <w:t>A r</w:t>
      </w:r>
      <w:r w:rsidRPr="00E96BDB">
        <w:rPr>
          <w:rFonts w:cs="Helv"/>
          <w:color w:val="000000"/>
          <w:szCs w:val="22"/>
          <w:lang w:eastAsia="en-AU"/>
        </w:rPr>
        <w:t>ailway station car parking fund will</w:t>
      </w:r>
      <w:r>
        <w:rPr>
          <w:rFonts w:cs="Helv"/>
          <w:color w:val="000000"/>
          <w:szCs w:val="22"/>
          <w:lang w:eastAsia="en-AU"/>
        </w:rPr>
        <w:t xml:space="preserve"> be established to create more than 1 500</w:t>
      </w:r>
      <w:r w:rsidRPr="00E96BDB">
        <w:rPr>
          <w:rFonts w:cs="Helv"/>
          <w:color w:val="000000"/>
          <w:szCs w:val="22"/>
          <w:lang w:eastAsia="en-AU"/>
        </w:rPr>
        <w:t xml:space="preserve"> new parking spaces</w:t>
      </w:r>
      <w:r>
        <w:rPr>
          <w:rFonts w:cs="Helv"/>
          <w:color w:val="000000"/>
          <w:szCs w:val="22"/>
          <w:lang w:eastAsia="en-AU"/>
        </w:rPr>
        <w:t xml:space="preserve"> across metropolitan and regional Victoria</w:t>
      </w:r>
      <w:r w:rsidRPr="00E96BDB">
        <w:rPr>
          <w:rFonts w:cs="Helv"/>
          <w:color w:val="000000"/>
          <w:szCs w:val="22"/>
          <w:lang w:eastAsia="en-AU"/>
        </w:rPr>
        <w:t xml:space="preserve">. This initiative complements previously funded initiatives to increase </w:t>
      </w:r>
      <w:r>
        <w:rPr>
          <w:rFonts w:cs="Helv"/>
          <w:color w:val="000000"/>
          <w:szCs w:val="22"/>
          <w:lang w:eastAsia="en-AU"/>
        </w:rPr>
        <w:t xml:space="preserve">rail </w:t>
      </w:r>
      <w:r w:rsidRPr="00E96BDB">
        <w:rPr>
          <w:rFonts w:cs="Helv"/>
          <w:color w:val="000000"/>
          <w:szCs w:val="22"/>
          <w:lang w:eastAsia="en-AU"/>
        </w:rPr>
        <w:t>patro</w:t>
      </w:r>
      <w:r>
        <w:rPr>
          <w:rFonts w:cs="Helv"/>
          <w:color w:val="000000"/>
          <w:szCs w:val="22"/>
          <w:lang w:eastAsia="en-AU"/>
        </w:rPr>
        <w:t xml:space="preserve">nage and system capacity. </w:t>
      </w:r>
    </w:p>
    <w:p w:rsidR="00E25CC6" w:rsidRPr="00151F59" w:rsidRDefault="00E25CC6" w:rsidP="007F558F">
      <w:pPr>
        <w:autoSpaceDE w:val="0"/>
        <w:autoSpaceDN w:val="0"/>
        <w:adjustRightInd w:val="0"/>
        <w:spacing w:after="240"/>
        <w:rPr>
          <w:rFonts w:cs="Helv"/>
          <w:color w:val="000000"/>
          <w:szCs w:val="22"/>
          <w:lang w:eastAsia="en-AU"/>
        </w:rPr>
      </w:pPr>
      <w:r w:rsidRPr="00E96BDB">
        <w:rPr>
          <w:rFonts w:cs="Helv"/>
          <w:color w:val="000000"/>
          <w:szCs w:val="22"/>
          <w:lang w:eastAsia="en-AU"/>
        </w:rPr>
        <w:t>This initiative delivers on the Government</w:t>
      </w:r>
      <w:r>
        <w:rPr>
          <w:rFonts w:cs="Helv"/>
          <w:color w:val="000000"/>
          <w:szCs w:val="22"/>
          <w:lang w:eastAsia="en-AU"/>
        </w:rPr>
        <w:t>’</w:t>
      </w:r>
      <w:r w:rsidRPr="00E96BDB">
        <w:rPr>
          <w:rFonts w:cs="Helv"/>
          <w:color w:val="000000"/>
          <w:szCs w:val="22"/>
          <w:lang w:eastAsia="en-AU"/>
        </w:rPr>
        <w:t xml:space="preserve">s election commitment as published in </w:t>
      </w:r>
      <w:r w:rsidRPr="00151F59">
        <w:rPr>
          <w:rFonts w:cs="Helv"/>
          <w:color w:val="000000"/>
          <w:szCs w:val="22"/>
          <w:lang w:eastAsia="en-AU"/>
        </w:rPr>
        <w:t>Labor</w:t>
      </w:r>
      <w:r>
        <w:rPr>
          <w:rFonts w:cs="Helv"/>
          <w:color w:val="000000"/>
          <w:szCs w:val="22"/>
          <w:lang w:eastAsia="en-AU"/>
        </w:rPr>
        <w:t>’</w:t>
      </w:r>
      <w:r w:rsidRPr="00151F59">
        <w:rPr>
          <w:rFonts w:cs="Helv"/>
          <w:color w:val="000000"/>
          <w:szCs w:val="22"/>
          <w:lang w:eastAsia="en-AU"/>
        </w:rPr>
        <w:t>s Financial Statement 2014.</w:t>
      </w:r>
    </w:p>
    <w:p w:rsidR="00E25CC6" w:rsidRPr="00E96BDB" w:rsidRDefault="00E25CC6" w:rsidP="007F558F">
      <w:r w:rsidRPr="00E96BDB">
        <w:rPr>
          <w:rFonts w:cs="Helv"/>
          <w:color w:val="000000"/>
          <w:szCs w:val="22"/>
          <w:lang w:eastAsia="en-AU"/>
        </w:rPr>
        <w:t>This initiative contributes to the Department of Economic Development, Jobs, Transport and Resources</w:t>
      </w:r>
      <w:r>
        <w:rPr>
          <w:rFonts w:cs="Helv"/>
          <w:color w:val="000000"/>
          <w:szCs w:val="22"/>
          <w:lang w:eastAsia="en-AU"/>
        </w:rPr>
        <w:t>’</w:t>
      </w:r>
      <w:r w:rsidRPr="00E96BDB">
        <w:rPr>
          <w:rFonts w:cs="Helv"/>
          <w:color w:val="000000"/>
          <w:szCs w:val="22"/>
          <w:lang w:eastAsia="en-AU"/>
        </w:rPr>
        <w:t xml:space="preserve"> Train Services output.</w:t>
      </w:r>
    </w:p>
    <w:p w:rsidR="00E25CC6" w:rsidRPr="007552A4" w:rsidRDefault="00E25CC6" w:rsidP="007F558F">
      <w:pPr>
        <w:pStyle w:val="Heading5"/>
        <w:rPr>
          <w:lang w:eastAsia="en-AU"/>
        </w:rPr>
      </w:pPr>
      <w:r>
        <w:rPr>
          <w:lang w:eastAsia="en-AU"/>
        </w:rPr>
        <w:t>Registration system upgrades</w:t>
      </w:r>
    </w:p>
    <w:p w:rsidR="00E25CC6" w:rsidRDefault="00E25CC6" w:rsidP="007F558F">
      <w:pPr>
        <w:rPr>
          <w:rFonts w:asciiTheme="minorHAnsi" w:hAnsiTheme="minorHAnsi"/>
          <w:b/>
          <w:i/>
        </w:rPr>
      </w:pPr>
      <w:r>
        <w:t>Refer to the output initiative for a description of this initiative.</w:t>
      </w:r>
    </w:p>
    <w:p w:rsidR="00E25CC6" w:rsidRPr="00156074" w:rsidRDefault="00E25CC6" w:rsidP="00472563">
      <w:pPr>
        <w:pStyle w:val="Heading5"/>
      </w:pPr>
      <w:bookmarkStart w:id="23" w:name="DEDJTR_Roads"/>
      <w:r w:rsidRPr="00156074">
        <w:t xml:space="preserve">Road and Rail Minor Works </w:t>
      </w:r>
    </w:p>
    <w:p w:rsidR="00E25CC6" w:rsidRDefault="00E25CC6" w:rsidP="00472563">
      <w:r w:rsidRPr="00DC2C5C">
        <w:t xml:space="preserve">A package of small road and public transport initiatives will </w:t>
      </w:r>
      <w:r>
        <w:t xml:space="preserve">be delivered to </w:t>
      </w:r>
      <w:r w:rsidRPr="00DC2C5C">
        <w:t>improve and maintain Victoria</w:t>
      </w:r>
      <w:r>
        <w:t>’</w:t>
      </w:r>
      <w:r w:rsidRPr="00DC2C5C">
        <w:t>s roads and ensure accessible pub</w:t>
      </w:r>
      <w:r>
        <w:t>lic transport for all Victorian</w:t>
      </w:r>
      <w:r w:rsidRPr="00DC2C5C">
        <w:t>s.</w:t>
      </w:r>
      <w:r>
        <w:t xml:space="preserve"> The package includes:</w:t>
      </w:r>
    </w:p>
    <w:p w:rsidR="00E25CC6" w:rsidRDefault="00E25CC6" w:rsidP="00472563">
      <w:pPr>
        <w:pStyle w:val="BulletText"/>
      </w:pPr>
      <w:r>
        <w:t xml:space="preserve">a study of options to upgrade the Barry Street/Melbourne – Lancefield Road intersection in Romsey; </w:t>
      </w:r>
    </w:p>
    <w:p w:rsidR="00E25CC6" w:rsidRDefault="00E25CC6" w:rsidP="00472563">
      <w:pPr>
        <w:pStyle w:val="BulletText"/>
      </w:pPr>
      <w:r>
        <w:t xml:space="preserve">safety improvements to the cross intersection at Strathfieldsaye Road and Tannery Lane, Strathfieldsaye; </w:t>
      </w:r>
    </w:p>
    <w:p w:rsidR="00E25CC6" w:rsidRDefault="00E25CC6" w:rsidP="00472563">
      <w:pPr>
        <w:pStyle w:val="BulletText"/>
      </w:pPr>
      <w:r>
        <w:t xml:space="preserve">Koroit Primary pedestrian safety upgrade; </w:t>
      </w:r>
    </w:p>
    <w:p w:rsidR="00E25CC6" w:rsidRDefault="00E25CC6" w:rsidP="00472563">
      <w:pPr>
        <w:pStyle w:val="BulletText"/>
      </w:pPr>
      <w:r>
        <w:t>Grange Road/Oakleigh Road intersection lights;</w:t>
      </w:r>
    </w:p>
    <w:p w:rsidR="00E25CC6" w:rsidRDefault="00E25CC6" w:rsidP="00472563">
      <w:pPr>
        <w:pStyle w:val="BulletText"/>
      </w:pPr>
      <w:r>
        <w:t xml:space="preserve">a </w:t>
      </w:r>
      <w:r w:rsidRPr="006B5E5E">
        <w:t>feasibility study</w:t>
      </w:r>
      <w:r>
        <w:t xml:space="preserve"> investigating improvements to</w:t>
      </w:r>
      <w:r w:rsidRPr="006B5E5E">
        <w:t xml:space="preserve"> the</w:t>
      </w:r>
      <w:r>
        <w:t xml:space="preserve"> route 86 tram; and</w:t>
      </w:r>
    </w:p>
    <w:p w:rsidR="00E25CC6" w:rsidRPr="00DC2C5C" w:rsidRDefault="00E25CC6" w:rsidP="00472563">
      <w:pPr>
        <w:pStyle w:val="BulletText"/>
      </w:pPr>
      <w:r>
        <w:t>a range of regional rail and bus projects to improve access, security, car parking and passenger experience at railway stations and bus/coach stops.</w:t>
      </w:r>
    </w:p>
    <w:p w:rsidR="00E25CC6" w:rsidRPr="00DA7BC8" w:rsidRDefault="00E25CC6" w:rsidP="00DA7BC8">
      <w:r w:rsidRPr="00DA7BC8">
        <w:t>This initiative delivers on the Government</w:t>
      </w:r>
      <w:r>
        <w:t>’</w:t>
      </w:r>
      <w:r w:rsidRPr="00DA7BC8">
        <w:t>s election commitment as published in Labor</w:t>
      </w:r>
      <w:r>
        <w:t>’</w:t>
      </w:r>
      <w:r w:rsidRPr="00DA7BC8">
        <w:t>s Financial Statement 2014.</w:t>
      </w:r>
    </w:p>
    <w:p w:rsidR="00E25CC6" w:rsidRDefault="00E25CC6">
      <w:pPr>
        <w:spacing w:after="0"/>
      </w:pPr>
      <w:r>
        <w:br w:type="page"/>
      </w:r>
    </w:p>
    <w:p w:rsidR="00E25CC6" w:rsidRPr="00DC2C5C" w:rsidRDefault="00E25CC6" w:rsidP="00472563">
      <w:r w:rsidRPr="00DC2C5C">
        <w:t>This initiative contributes to the Department of Economic Development, Jobs, Transport and Resources</w:t>
      </w:r>
      <w:r>
        <w:t>’</w:t>
      </w:r>
      <w:r w:rsidRPr="00DC2C5C">
        <w:t>:</w:t>
      </w:r>
    </w:p>
    <w:p w:rsidR="00E25CC6" w:rsidRDefault="00E25CC6" w:rsidP="00472563">
      <w:pPr>
        <w:pStyle w:val="BulletText"/>
      </w:pPr>
      <w:r>
        <w:t>Bus services output;</w:t>
      </w:r>
    </w:p>
    <w:p w:rsidR="00E25CC6" w:rsidRPr="00DC2C5C" w:rsidRDefault="00E25CC6" w:rsidP="00472563">
      <w:pPr>
        <w:pStyle w:val="BulletText"/>
      </w:pPr>
      <w:r w:rsidRPr="00DC2C5C">
        <w:t xml:space="preserve">Road </w:t>
      </w:r>
      <w:r>
        <w:t>Operations and Network Improvements output;</w:t>
      </w:r>
      <w:r w:rsidRPr="00DC2C5C">
        <w:t xml:space="preserve"> </w:t>
      </w:r>
    </w:p>
    <w:p w:rsidR="00E25CC6" w:rsidRPr="00DC2C5C" w:rsidRDefault="00E25CC6" w:rsidP="00472563">
      <w:pPr>
        <w:pStyle w:val="BulletText"/>
      </w:pPr>
      <w:r w:rsidRPr="00DC2C5C">
        <w:t>Transport Safety, Security and Emergency output</w:t>
      </w:r>
      <w:r>
        <w:t>;</w:t>
      </w:r>
    </w:p>
    <w:p w:rsidR="00E25CC6" w:rsidRPr="00DC2C5C" w:rsidRDefault="00E25CC6" w:rsidP="00472563">
      <w:pPr>
        <w:pStyle w:val="BulletText"/>
      </w:pPr>
      <w:r w:rsidRPr="00DC2C5C">
        <w:t>Train Services output; and</w:t>
      </w:r>
    </w:p>
    <w:p w:rsidR="00E25CC6" w:rsidRPr="00DC2C5C" w:rsidRDefault="00E25CC6" w:rsidP="00472563">
      <w:pPr>
        <w:pStyle w:val="BulletText"/>
      </w:pPr>
      <w:r w:rsidRPr="00DC2C5C">
        <w:t>Tram Services output</w:t>
      </w:r>
      <w:r>
        <w:t>.</w:t>
      </w:r>
    </w:p>
    <w:p w:rsidR="00E25CC6" w:rsidRPr="00156074" w:rsidRDefault="00E25CC6" w:rsidP="00A73AE8">
      <w:pPr>
        <w:pStyle w:val="Heading5"/>
      </w:pPr>
      <w:r w:rsidRPr="00156074">
        <w:t>Road Restoration and Road Surface Replacement</w:t>
      </w:r>
      <w:r>
        <w:t xml:space="preserve"> </w:t>
      </w:r>
    </w:p>
    <w:p w:rsidR="00E25CC6" w:rsidRDefault="00E25CC6" w:rsidP="003D1D8A">
      <w:r>
        <w:t>Refer to the output initiative for a description of this initiative.</w:t>
      </w:r>
    </w:p>
    <w:p w:rsidR="00E25CC6" w:rsidRPr="00ED00E2" w:rsidRDefault="00E25CC6" w:rsidP="007F558F">
      <w:pPr>
        <w:pStyle w:val="Heading5"/>
        <w:rPr>
          <w:lang w:eastAsia="en-AU"/>
        </w:rPr>
      </w:pPr>
      <w:r>
        <w:rPr>
          <w:lang w:eastAsia="en-AU"/>
        </w:rPr>
        <w:t>Road Safety</w:t>
      </w:r>
    </w:p>
    <w:p w:rsidR="00E25CC6" w:rsidRPr="00ED00E2" w:rsidRDefault="00E25CC6" w:rsidP="003D1D8A">
      <w:pPr>
        <w:rPr>
          <w:lang w:eastAsia="en-AU"/>
        </w:rPr>
      </w:pPr>
      <w:r w:rsidRPr="00ED00E2">
        <w:rPr>
          <w:lang w:eastAsia="en-AU"/>
        </w:rPr>
        <w:t xml:space="preserve">New investment will </w:t>
      </w:r>
      <w:r>
        <w:rPr>
          <w:lang w:eastAsia="en-AU"/>
        </w:rPr>
        <w:t xml:space="preserve">be undertaken to </w:t>
      </w:r>
      <w:r w:rsidRPr="00ED00E2">
        <w:rPr>
          <w:lang w:eastAsia="en-AU"/>
        </w:rPr>
        <w:t xml:space="preserve">create safer </w:t>
      </w:r>
      <w:r>
        <w:rPr>
          <w:lang w:eastAsia="en-AU"/>
        </w:rPr>
        <w:t>journeys</w:t>
      </w:r>
      <w:r w:rsidRPr="00ED00E2">
        <w:rPr>
          <w:lang w:eastAsia="en-AU"/>
        </w:rPr>
        <w:t xml:space="preserve"> on dangerous rural roads</w:t>
      </w:r>
      <w:r>
        <w:rPr>
          <w:lang w:eastAsia="en-AU"/>
        </w:rPr>
        <w:t>. This includes</w:t>
      </w:r>
      <w:r w:rsidRPr="00ED00E2">
        <w:rPr>
          <w:lang w:eastAsia="en-AU"/>
        </w:rPr>
        <w:t xml:space="preserve"> safety infrastructure such as flexible barrier tre</w:t>
      </w:r>
      <w:r>
        <w:rPr>
          <w:lang w:eastAsia="en-AU"/>
        </w:rPr>
        <w:t>atments, tactile edge and centre</w:t>
      </w:r>
      <w:r w:rsidRPr="00ED00E2">
        <w:rPr>
          <w:lang w:eastAsia="en-AU"/>
        </w:rPr>
        <w:t xml:space="preserve"> line treatments and infrastructure support for safer travel speeds on low volume/high speed roads.</w:t>
      </w:r>
    </w:p>
    <w:p w:rsidR="00E25CC6" w:rsidRPr="006C69FA" w:rsidRDefault="00E25CC6" w:rsidP="003D1D8A">
      <w:pPr>
        <w:rPr>
          <w:b/>
        </w:rPr>
      </w:pPr>
      <w:r w:rsidRPr="006C69FA">
        <w:rPr>
          <w:lang w:eastAsia="en-AU"/>
        </w:rPr>
        <w:t>This initiative contributes to the Department of Economic Development, Jobs, Transport and Resources</w:t>
      </w:r>
      <w:r>
        <w:rPr>
          <w:lang w:eastAsia="en-AU"/>
        </w:rPr>
        <w:t>’</w:t>
      </w:r>
      <w:r w:rsidRPr="006C69FA">
        <w:rPr>
          <w:lang w:eastAsia="en-AU"/>
        </w:rPr>
        <w:t xml:space="preserve"> Transport Safe</w:t>
      </w:r>
      <w:r>
        <w:rPr>
          <w:lang w:eastAsia="en-AU"/>
        </w:rPr>
        <w:t>ty, Security and Emergency M</w:t>
      </w:r>
      <w:r w:rsidRPr="006C69FA">
        <w:rPr>
          <w:lang w:eastAsia="en-AU"/>
        </w:rPr>
        <w:t>anagement output</w:t>
      </w:r>
      <w:r>
        <w:rPr>
          <w:lang w:eastAsia="en-AU"/>
        </w:rPr>
        <w:t>.</w:t>
      </w:r>
    </w:p>
    <w:p w:rsidR="00E25CC6" w:rsidRPr="009163BA" w:rsidRDefault="00E25CC6" w:rsidP="009163BA">
      <w:pPr>
        <w:pStyle w:val="Heading5"/>
        <w:rPr>
          <w:b w:val="0"/>
          <w:i/>
        </w:rPr>
      </w:pPr>
      <w:r w:rsidRPr="009163BA">
        <w:rPr>
          <w:b w:val="0"/>
          <w:i/>
        </w:rPr>
        <w:t xml:space="preserve">Metropolitan </w:t>
      </w:r>
      <w:r>
        <w:rPr>
          <w:b w:val="0"/>
          <w:i/>
        </w:rPr>
        <w:t>R</w:t>
      </w:r>
      <w:r w:rsidRPr="009163BA">
        <w:rPr>
          <w:b w:val="0"/>
          <w:i/>
        </w:rPr>
        <w:t>oads</w:t>
      </w:r>
    </w:p>
    <w:p w:rsidR="00E25CC6" w:rsidRPr="00EF3BC9" w:rsidRDefault="00E25CC6" w:rsidP="007F558F">
      <w:pPr>
        <w:pStyle w:val="Heading5"/>
      </w:pPr>
      <w:r w:rsidRPr="00EF3BC9">
        <w:t>O</w:t>
      </w:r>
      <w:r>
        <w:t>’</w:t>
      </w:r>
      <w:r w:rsidRPr="00EF3BC9">
        <w:t>Herns Road upgrade</w:t>
      </w:r>
    </w:p>
    <w:p w:rsidR="00E25CC6" w:rsidRDefault="00E25CC6" w:rsidP="003D1D8A">
      <w:r>
        <w:t>A new ‘diamond interchange’ will be constructed at the intersection of O’Herns Road and the Hume Freeway, improving safety and easing congestion in Melbourne’s northern growth areas. In addition, a 1.4 kilometre section of O’Herns Road east of the new interchange will be duplicated and the intersection of O’Herns Road and Epping Road will be upgraded to a signalised intersection.</w:t>
      </w:r>
    </w:p>
    <w:p w:rsidR="00E25CC6" w:rsidRDefault="00E25CC6" w:rsidP="003D1D8A">
      <w:r>
        <w:t>The project is subject to equal funding from the Commonwealth Government.</w:t>
      </w:r>
    </w:p>
    <w:p w:rsidR="00E25CC6" w:rsidRPr="00DA7BC8" w:rsidRDefault="00E25CC6" w:rsidP="003D1D8A">
      <w:r w:rsidRPr="00DA7BC8">
        <w:t>This initiative delivers on the Government</w:t>
      </w:r>
      <w:r>
        <w:t>’</w:t>
      </w:r>
      <w:r w:rsidRPr="00DA7BC8">
        <w:t>s election commitment as published in Labor</w:t>
      </w:r>
      <w:r>
        <w:t>’</w:t>
      </w:r>
      <w:r w:rsidRPr="00DA7BC8">
        <w:t>s Financial Statement 2014.</w:t>
      </w:r>
    </w:p>
    <w:p w:rsidR="00E25CC6" w:rsidRDefault="00E25CC6" w:rsidP="003D1D8A">
      <w:r>
        <w:t>This initiative contributes to the Department of Economic Development, Jobs, Transport and Resources’ Road Operations and Network Improvements output.</w:t>
      </w:r>
    </w:p>
    <w:p w:rsidR="00E25CC6" w:rsidRPr="00156074" w:rsidRDefault="00E25CC6" w:rsidP="007F558F">
      <w:pPr>
        <w:pStyle w:val="Heading5"/>
      </w:pPr>
      <w:r w:rsidRPr="00156074">
        <w:t>Outer suburban arterial roads package</w:t>
      </w:r>
      <w:r>
        <w:t xml:space="preserve"> </w:t>
      </w:r>
    </w:p>
    <w:p w:rsidR="00E25CC6" w:rsidRPr="001027C7" w:rsidRDefault="00E25CC6" w:rsidP="007F558F">
      <w:r>
        <w:t xml:space="preserve">A north west and south east package of several </w:t>
      </w:r>
      <w:r w:rsidRPr="001027C7">
        <w:t>outer metropolitan arterial road improvements, road duplications and other upgrades will be progressed. These</w:t>
      </w:r>
      <w:r>
        <w:t xml:space="preserve"> will</w:t>
      </w:r>
      <w:r w:rsidRPr="001027C7">
        <w:t xml:space="preserve"> include:</w:t>
      </w:r>
    </w:p>
    <w:p w:rsidR="00E25CC6" w:rsidRPr="001027C7" w:rsidRDefault="00E25CC6" w:rsidP="007F558F">
      <w:pPr>
        <w:pStyle w:val="BulletText"/>
      </w:pPr>
      <w:r w:rsidRPr="001027C7">
        <w:t>Dohertys Road</w:t>
      </w:r>
      <w:r>
        <w:t xml:space="preserve"> Improvement;</w:t>
      </w:r>
    </w:p>
    <w:p w:rsidR="00E25CC6" w:rsidRPr="001027C7" w:rsidRDefault="00E25CC6" w:rsidP="007F558F">
      <w:pPr>
        <w:pStyle w:val="BulletText"/>
      </w:pPr>
      <w:r w:rsidRPr="001027C7">
        <w:t>Hallam Road Duplication</w:t>
      </w:r>
      <w:r>
        <w:t>; and</w:t>
      </w:r>
    </w:p>
    <w:p w:rsidR="00E25CC6" w:rsidRPr="001027C7" w:rsidRDefault="00E25CC6" w:rsidP="007F558F">
      <w:pPr>
        <w:pStyle w:val="BulletText"/>
      </w:pPr>
      <w:r w:rsidRPr="001027C7">
        <w:t>Plenty Road</w:t>
      </w:r>
      <w:r>
        <w:t xml:space="preserve"> Upgrade</w:t>
      </w:r>
      <w:r w:rsidRPr="001027C7">
        <w:t>.</w:t>
      </w:r>
    </w:p>
    <w:p w:rsidR="00E25CC6" w:rsidRDefault="00E25CC6">
      <w:pPr>
        <w:spacing w:after="0"/>
      </w:pPr>
      <w:r>
        <w:br w:type="page"/>
      </w:r>
    </w:p>
    <w:p w:rsidR="00E25CC6" w:rsidRDefault="00E25CC6" w:rsidP="003D1D8A">
      <w:r>
        <w:t xml:space="preserve">Business cases will be progressed to deliver a further package of arterial road upgrades including: </w:t>
      </w:r>
    </w:p>
    <w:p w:rsidR="00E25CC6" w:rsidRDefault="00E25CC6" w:rsidP="00264B7B">
      <w:pPr>
        <w:pStyle w:val="BulletText"/>
      </w:pPr>
      <w:r w:rsidRPr="001027C7">
        <w:t xml:space="preserve">Dohertys Road </w:t>
      </w:r>
      <w:r>
        <w:t>Improvement Stage 2;</w:t>
      </w:r>
    </w:p>
    <w:p w:rsidR="00E25CC6" w:rsidRPr="001027C7" w:rsidRDefault="00E25CC6" w:rsidP="00264B7B">
      <w:pPr>
        <w:pStyle w:val="BulletText"/>
      </w:pPr>
      <w:r>
        <w:t>Palmers Road Upgrade;</w:t>
      </w:r>
    </w:p>
    <w:p w:rsidR="00E25CC6" w:rsidRPr="00601137" w:rsidRDefault="00E25CC6" w:rsidP="00264B7B">
      <w:pPr>
        <w:pStyle w:val="BulletText"/>
      </w:pPr>
      <w:r w:rsidRPr="00601137">
        <w:t>Leakes Road Duplication</w:t>
      </w:r>
      <w:r>
        <w:t>;</w:t>
      </w:r>
    </w:p>
    <w:p w:rsidR="00E25CC6" w:rsidRPr="00601137" w:rsidRDefault="00E25CC6" w:rsidP="00264B7B">
      <w:pPr>
        <w:pStyle w:val="BulletText"/>
      </w:pPr>
      <w:r w:rsidRPr="00601137">
        <w:t>Derrimut Road Duplication</w:t>
      </w:r>
      <w:r>
        <w:t>;</w:t>
      </w:r>
    </w:p>
    <w:p w:rsidR="00E25CC6" w:rsidRPr="00601137" w:rsidRDefault="00E25CC6" w:rsidP="00264B7B">
      <w:pPr>
        <w:pStyle w:val="BulletText"/>
      </w:pPr>
      <w:r>
        <w:t>Armstrong</w:t>
      </w:r>
      <w:r>
        <w:noBreakHyphen/>
        <w:t>Ison Arterial</w:t>
      </w:r>
      <w:r w:rsidRPr="00601137">
        <w:t>, Wyndham Vale</w:t>
      </w:r>
      <w:r>
        <w:t>;</w:t>
      </w:r>
    </w:p>
    <w:p w:rsidR="00E25CC6" w:rsidRPr="00601137" w:rsidRDefault="00E25CC6" w:rsidP="00264B7B">
      <w:pPr>
        <w:pStyle w:val="BulletText"/>
      </w:pPr>
      <w:r w:rsidRPr="00601137">
        <w:t>Duncans Road Interchange, Werribee</w:t>
      </w:r>
      <w:r>
        <w:t>;</w:t>
      </w:r>
    </w:p>
    <w:p w:rsidR="00E25CC6" w:rsidRPr="00601137" w:rsidRDefault="00E25CC6" w:rsidP="00264B7B">
      <w:pPr>
        <w:pStyle w:val="BulletText"/>
      </w:pPr>
      <w:r w:rsidRPr="00601137">
        <w:t>Hallam Road Duplication</w:t>
      </w:r>
      <w:r>
        <w:t xml:space="preserve"> (Stage 2);</w:t>
      </w:r>
    </w:p>
    <w:p w:rsidR="00E25CC6" w:rsidRPr="00601137" w:rsidRDefault="00E25CC6" w:rsidP="00264B7B">
      <w:pPr>
        <w:pStyle w:val="BulletText"/>
      </w:pPr>
      <w:r w:rsidRPr="00601137">
        <w:t>Narre Warren</w:t>
      </w:r>
      <w:r>
        <w:noBreakHyphen/>
      </w:r>
      <w:r w:rsidRPr="00601137">
        <w:t>Cranbourne Road</w:t>
      </w:r>
      <w:r>
        <w:t>;</w:t>
      </w:r>
    </w:p>
    <w:p w:rsidR="00E25CC6" w:rsidRPr="00601137" w:rsidRDefault="00E25CC6" w:rsidP="00264B7B">
      <w:pPr>
        <w:pStyle w:val="BulletText"/>
      </w:pPr>
      <w:r w:rsidRPr="00601137">
        <w:t>Monash Freeway Pavement Works</w:t>
      </w:r>
      <w:r>
        <w:t>;</w:t>
      </w:r>
    </w:p>
    <w:p w:rsidR="00E25CC6" w:rsidRPr="00601137" w:rsidRDefault="00E25CC6" w:rsidP="00264B7B">
      <w:pPr>
        <w:pStyle w:val="BulletText"/>
      </w:pPr>
      <w:r w:rsidRPr="00601137">
        <w:t>Western Port Highway Interchange</w:t>
      </w:r>
      <w:r>
        <w:t>;</w:t>
      </w:r>
    </w:p>
    <w:p w:rsidR="00E25CC6" w:rsidRPr="00601137" w:rsidRDefault="00E25CC6" w:rsidP="00264B7B">
      <w:pPr>
        <w:pStyle w:val="BulletText"/>
      </w:pPr>
      <w:r w:rsidRPr="00601137">
        <w:t>Nepean Highway Improvement Plan</w:t>
      </w:r>
      <w:r>
        <w:t>; and</w:t>
      </w:r>
    </w:p>
    <w:p w:rsidR="00E25CC6" w:rsidRDefault="00E25CC6" w:rsidP="00312930">
      <w:pPr>
        <w:pStyle w:val="BulletText"/>
      </w:pPr>
      <w:r w:rsidRPr="00601137">
        <w:t>Golf</w:t>
      </w:r>
      <w:r>
        <w:t xml:space="preserve"> Links Road Upgrade, Langwarrin.</w:t>
      </w:r>
    </w:p>
    <w:p w:rsidR="00E25CC6" w:rsidRDefault="00E25CC6" w:rsidP="00312930">
      <w:r w:rsidRPr="001027C7">
        <w:t>These projects will improve the road network</w:t>
      </w:r>
      <w:r>
        <w:t>,</w:t>
      </w:r>
      <w:r w:rsidRPr="001027C7">
        <w:t xml:space="preserve"> </w:t>
      </w:r>
      <w:r>
        <w:t xml:space="preserve">the </w:t>
      </w:r>
      <w:r w:rsidRPr="001027C7">
        <w:t xml:space="preserve">operation of freight corridors, driver safety and reduce traffic congestion. </w:t>
      </w:r>
      <w:r>
        <w:t xml:space="preserve">Delivery options will be investigated for bundling of road upgrades and long term maintenance under an availability style public private partnership. </w:t>
      </w:r>
    </w:p>
    <w:p w:rsidR="00E25CC6" w:rsidRDefault="00E25CC6" w:rsidP="00312930">
      <w:r>
        <w:t>This initiative contributes to the Department of Economic Development, Jobs, Transport and Resources’ Road Operations and Network Improvements output.</w:t>
      </w:r>
    </w:p>
    <w:p w:rsidR="00E25CC6" w:rsidRPr="00156074" w:rsidRDefault="00E25CC6" w:rsidP="007F558F">
      <w:pPr>
        <w:pStyle w:val="Heading5"/>
      </w:pPr>
      <w:r w:rsidRPr="00156074">
        <w:t>Streamlining Hoddle Street</w:t>
      </w:r>
    </w:p>
    <w:p w:rsidR="00E25CC6" w:rsidRDefault="00E25CC6" w:rsidP="007F558F">
      <w:r>
        <w:t>Innovative intersection and traffic management treatments will be implemented at key locations along Melbourne’s Hoddle Street, including the pilot of a ‘continuous flow intersection’ at Swan Street. This initiative is aimed at improving travel times and reliability for people travelling along and across Hoddle Street in private vehicles and on public transport.</w:t>
      </w:r>
    </w:p>
    <w:p w:rsidR="00E25CC6" w:rsidRPr="00E97B3F" w:rsidRDefault="00E25CC6" w:rsidP="007F558F">
      <w:r w:rsidRPr="00DC1B8C">
        <w:t>This initiative delivers on the Government</w:t>
      </w:r>
      <w:r>
        <w:t>’</w:t>
      </w:r>
      <w:r w:rsidRPr="00DC1B8C">
        <w:t xml:space="preserve">s election commitment as published in </w:t>
      </w:r>
      <w:r w:rsidRPr="00E97B3F">
        <w:t>Labor</w:t>
      </w:r>
      <w:r>
        <w:t>’</w:t>
      </w:r>
      <w:r w:rsidRPr="00E97B3F">
        <w:t>s Financial Statement 2014.</w:t>
      </w:r>
    </w:p>
    <w:p w:rsidR="00E25CC6" w:rsidRDefault="00E25CC6" w:rsidP="007F558F">
      <w:r>
        <w:t>This initiative contributes to the Department of Economic Development, Jobs, Transport and Resources’ Road Operations and Network Improvements output.</w:t>
      </w:r>
    </w:p>
    <w:p w:rsidR="00E25CC6" w:rsidRPr="00156074" w:rsidRDefault="00E25CC6" w:rsidP="007F558F">
      <w:pPr>
        <w:pStyle w:val="Heading5"/>
      </w:pPr>
      <w:r w:rsidRPr="00156074">
        <w:t>Thompsons Road duplication</w:t>
      </w:r>
    </w:p>
    <w:p w:rsidR="00E25CC6" w:rsidRDefault="00E25CC6" w:rsidP="007F558F">
      <w:r>
        <w:t>Thompsons Road will be duplicated between Frankston</w:t>
      </w:r>
      <w:r>
        <w:noBreakHyphen/>
        <w:t>Dandenong Road and South Gippsland Highway, and between Narre Warren</w:t>
      </w:r>
      <w:r>
        <w:noBreakHyphen/>
        <w:t>Cranbourne Road and Berwick</w:t>
      </w:r>
      <w:r>
        <w:noBreakHyphen/>
        <w:t>Cranbourne Road in Melbourne’s south east. In addition, the intersection of Thompsons Road and Western Port Highway will be upgraded to a signalised intersection. The duplication will reduce congestion for local residents and businesses, and accommodate future urban growth along this important route.</w:t>
      </w:r>
    </w:p>
    <w:p w:rsidR="00E25CC6" w:rsidRPr="00E97B3F" w:rsidRDefault="00E25CC6" w:rsidP="007F558F">
      <w:r w:rsidRPr="00DC1B8C">
        <w:t>This initiative delivers on the Government</w:t>
      </w:r>
      <w:r>
        <w:t>’</w:t>
      </w:r>
      <w:r w:rsidRPr="00DC1B8C">
        <w:t xml:space="preserve">s election commitment as published in </w:t>
      </w:r>
      <w:r w:rsidRPr="00E97B3F">
        <w:t>Labor</w:t>
      </w:r>
      <w:r>
        <w:t>’</w:t>
      </w:r>
      <w:r w:rsidRPr="00E97B3F">
        <w:t>s Financial Statement 2014.</w:t>
      </w:r>
    </w:p>
    <w:p w:rsidR="00E25CC6" w:rsidRDefault="00E25CC6" w:rsidP="007F558F">
      <w:r>
        <w:t>This initiative contributes to the Department of Economic Development, Jobs, Transport and Resources’ Road Operations and Network Improvements output.</w:t>
      </w:r>
    </w:p>
    <w:p w:rsidR="00E25CC6" w:rsidRDefault="00E25CC6" w:rsidP="007F558F">
      <w:pPr>
        <w:pStyle w:val="Heading5"/>
      </w:pPr>
      <w:r>
        <w:t>Western Distributor</w:t>
      </w:r>
    </w:p>
    <w:p w:rsidR="00E25CC6" w:rsidRDefault="00E25CC6" w:rsidP="007F558F">
      <w:pPr>
        <w:autoSpaceDE w:val="0"/>
        <w:autoSpaceDN w:val="0"/>
        <w:adjustRightInd w:val="0"/>
        <w:rPr>
          <w:rFonts w:cs="Garamond"/>
          <w:color w:val="000000"/>
          <w:szCs w:val="22"/>
          <w:lang w:eastAsia="en-AU"/>
        </w:rPr>
      </w:pPr>
      <w:r>
        <w:rPr>
          <w:rFonts w:cs="Garamond"/>
          <w:color w:val="000000"/>
          <w:szCs w:val="22"/>
          <w:lang w:eastAsia="en-AU"/>
        </w:rPr>
        <w:t xml:space="preserve">The Western Distributor project will provide a much needed alternative to the West Gate Bridge, upgrades to the Monash Freeway and access improvement to Webb Dock. The project involves a tunnel under Yarraville, a second river crossing, widening the West Gate Freeway from 8 to 12 lanes, and other works providing connections to CityLink and the western edge of the central business district. </w:t>
      </w:r>
    </w:p>
    <w:p w:rsidR="00E25CC6" w:rsidRDefault="00E25CC6" w:rsidP="00312930">
      <w:pPr>
        <w:autoSpaceDE w:val="0"/>
        <w:autoSpaceDN w:val="0"/>
        <w:adjustRightInd w:val="0"/>
        <w:rPr>
          <w:rFonts w:cs="Garamond"/>
          <w:color w:val="000000"/>
          <w:szCs w:val="22"/>
          <w:lang w:eastAsia="en-AU"/>
        </w:rPr>
      </w:pPr>
      <w:r>
        <w:rPr>
          <w:rFonts w:cs="Garamond"/>
          <w:color w:val="000000"/>
          <w:szCs w:val="22"/>
          <w:lang w:eastAsia="en-AU"/>
        </w:rPr>
        <w:t xml:space="preserve">The $5.5 billion project will be funded through a combination of tolls on the new road connections, an extension to the CityLink concession and a government contribution. The </w:t>
      </w:r>
      <w:r>
        <w:rPr>
          <w:rFonts w:cs="Garamond"/>
          <w:i/>
          <w:iCs/>
          <w:color w:val="000000"/>
          <w:szCs w:val="22"/>
          <w:lang w:eastAsia="en-AU"/>
        </w:rPr>
        <w:t>2016</w:t>
      </w:r>
      <w:r>
        <w:rPr>
          <w:rFonts w:cs="Garamond"/>
          <w:i/>
          <w:iCs/>
          <w:color w:val="000000"/>
          <w:szCs w:val="22"/>
          <w:lang w:eastAsia="en-AU"/>
        </w:rPr>
        <w:noBreakHyphen/>
        <w:t>17 Budget</w:t>
      </w:r>
      <w:r>
        <w:rPr>
          <w:rFonts w:cs="Garamond"/>
          <w:color w:val="000000"/>
          <w:szCs w:val="22"/>
          <w:lang w:eastAsia="en-AU"/>
        </w:rPr>
        <w:t xml:space="preserve"> includes funding of $1.46 billion over the forward estimates towards the project, with provision for any additional contribution beyond the forward estimates in contingency. The Government is negotiating with Transurban under the Market</w:t>
      </w:r>
      <w:r>
        <w:rPr>
          <w:rFonts w:cs="Garamond"/>
          <w:color w:val="000000"/>
          <w:szCs w:val="22"/>
          <w:lang w:eastAsia="en-AU"/>
        </w:rPr>
        <w:noBreakHyphen/>
        <w:t>led Proposals Guidelines to deliver the project.</w:t>
      </w:r>
    </w:p>
    <w:p w:rsidR="00E25CC6" w:rsidRDefault="00E25CC6" w:rsidP="007F558F">
      <w:pPr>
        <w:autoSpaceDE w:val="0"/>
        <w:autoSpaceDN w:val="0"/>
        <w:adjustRightInd w:val="0"/>
        <w:rPr>
          <w:rFonts w:cs="Garamond"/>
          <w:color w:val="000000"/>
          <w:szCs w:val="22"/>
          <w:lang w:eastAsia="en-AU"/>
        </w:rPr>
      </w:pPr>
      <w:r>
        <w:rPr>
          <w:rFonts w:cs="Garamond"/>
          <w:color w:val="000000"/>
          <w:szCs w:val="22"/>
          <w:lang w:eastAsia="en-AU"/>
        </w:rPr>
        <w:t>The project includes the Monash Freeway Upgrade to widen the Monash Freeway from the EastLink interchange to Clyde Road in Berwick and providing a network</w:t>
      </w:r>
      <w:r>
        <w:rPr>
          <w:rFonts w:cs="Garamond"/>
          <w:color w:val="000000"/>
          <w:szCs w:val="22"/>
          <w:lang w:eastAsia="en-AU"/>
        </w:rPr>
        <w:noBreakHyphen/>
        <w:t>wide solution to reduce congestion along the M1 from Geelong to Pakenham. Budget funding includes up to $400 million for the Monash Freeway Upgrade.</w:t>
      </w:r>
    </w:p>
    <w:p w:rsidR="00E25CC6" w:rsidRDefault="00E25CC6" w:rsidP="007F558F">
      <w:pPr>
        <w:autoSpaceDE w:val="0"/>
        <w:autoSpaceDN w:val="0"/>
        <w:adjustRightInd w:val="0"/>
        <w:rPr>
          <w:rFonts w:cs="Garamond"/>
          <w:color w:val="000000"/>
          <w:szCs w:val="22"/>
          <w:lang w:eastAsia="en-AU"/>
        </w:rPr>
      </w:pPr>
      <w:r>
        <w:rPr>
          <w:rFonts w:cs="Garamond"/>
          <w:color w:val="000000"/>
          <w:szCs w:val="22"/>
          <w:lang w:eastAsia="en-AU"/>
        </w:rPr>
        <w:t>The project also includes $61.5 million in 2015</w:t>
      </w:r>
      <w:r>
        <w:rPr>
          <w:rFonts w:cs="Garamond"/>
          <w:color w:val="000000"/>
          <w:szCs w:val="22"/>
          <w:lang w:eastAsia="en-AU"/>
        </w:rPr>
        <w:noBreakHyphen/>
        <w:t>16 and 2016</w:t>
      </w:r>
      <w:r>
        <w:rPr>
          <w:rFonts w:cs="Garamond"/>
          <w:color w:val="000000"/>
          <w:szCs w:val="22"/>
          <w:lang w:eastAsia="en-AU"/>
        </w:rPr>
        <w:noBreakHyphen/>
        <w:t xml:space="preserve">17 to complete Webb Dock Access improvement works. This </w:t>
      </w:r>
      <w:r>
        <w:rPr>
          <w:lang w:eastAsia="en-AU"/>
        </w:rPr>
        <w:t>will provide a dedicated lane for access to the Bolte Bridge from the West Gate Freeway, reducing traffic merging and weaving on the West Gate Freeway. These works will also add an extra lane on Cook Street eastbound, improving traffic flow and safety for motorists.</w:t>
      </w:r>
    </w:p>
    <w:p w:rsidR="00E25CC6" w:rsidRDefault="00E25CC6" w:rsidP="007F558F">
      <w:pPr>
        <w:rPr>
          <w:lang w:eastAsia="en-AU"/>
        </w:rPr>
      </w:pPr>
      <w:r>
        <w:rPr>
          <w:lang w:eastAsia="en-AU"/>
        </w:rPr>
        <w:t>This initiative contributes to the Department of Economic Development, Jobs, Transport and Resources’ Road Operations and Network Improvements output.</w:t>
      </w:r>
    </w:p>
    <w:p w:rsidR="00E25CC6" w:rsidRDefault="00E25CC6" w:rsidP="007F558F">
      <w:pPr>
        <w:pStyle w:val="Heading5"/>
      </w:pPr>
      <w:r>
        <w:t>Yan Yean Road duplication</w:t>
      </w:r>
    </w:p>
    <w:p w:rsidR="00E25CC6" w:rsidRDefault="00E25CC6" w:rsidP="007F558F">
      <w:r>
        <w:t xml:space="preserve">Yan Yean Road will be </w:t>
      </w:r>
      <w:r w:rsidRPr="00C61886">
        <w:t>duplicated (including service lanes) between</w:t>
      </w:r>
      <w:r>
        <w:t xml:space="preserve"> Diamond Creek Road and Kurrak Road, Plenty. In addition, the intersection of Yan Yean Road and Kurrak Road will be upgraded to a signalised intersection. The duplication will improve the capacity and safety of Yan Yean Road and amenity for local residents.</w:t>
      </w:r>
    </w:p>
    <w:p w:rsidR="00E25CC6" w:rsidRPr="00E97B3F" w:rsidRDefault="00E25CC6" w:rsidP="007F558F">
      <w:r w:rsidRPr="00DC1B8C">
        <w:t>This initiative delivers on the Government</w:t>
      </w:r>
      <w:r>
        <w:t>’</w:t>
      </w:r>
      <w:r w:rsidRPr="00DC1B8C">
        <w:t xml:space="preserve">s election commitment as published in </w:t>
      </w:r>
      <w:r w:rsidRPr="00E97B3F">
        <w:t>Labor</w:t>
      </w:r>
      <w:r>
        <w:t>’</w:t>
      </w:r>
      <w:r w:rsidRPr="00E97B3F">
        <w:t>s Financial Statement 2014.</w:t>
      </w:r>
    </w:p>
    <w:p w:rsidR="00E25CC6" w:rsidRPr="00BA6C5E" w:rsidRDefault="00E25CC6" w:rsidP="007F558F">
      <w:r>
        <w:t>This initiative contributes to the Department of Economic Development, Jobs, Transport and Resources’ Road Operations and Network Improvements output.</w:t>
      </w:r>
    </w:p>
    <w:p w:rsidR="00E25CC6" w:rsidRDefault="00E25CC6">
      <w:pPr>
        <w:spacing w:after="0"/>
        <w:rPr>
          <w:rFonts w:ascii="Calibri" w:hAnsi="Calibri"/>
          <w:i/>
        </w:rPr>
      </w:pPr>
      <w:r>
        <w:rPr>
          <w:b/>
          <w:i/>
        </w:rPr>
        <w:br w:type="page"/>
      </w:r>
    </w:p>
    <w:p w:rsidR="00E25CC6" w:rsidRPr="009163BA" w:rsidRDefault="00E25CC6" w:rsidP="009163BA">
      <w:pPr>
        <w:pStyle w:val="Heading5"/>
        <w:rPr>
          <w:b w:val="0"/>
          <w:i/>
        </w:rPr>
      </w:pPr>
      <w:r w:rsidRPr="009163BA">
        <w:rPr>
          <w:b w:val="0"/>
          <w:i/>
        </w:rPr>
        <w:t>Regional Roads</w:t>
      </w:r>
    </w:p>
    <w:p w:rsidR="00E25CC6" w:rsidRPr="0057248E" w:rsidRDefault="00E25CC6" w:rsidP="002029F5">
      <w:pPr>
        <w:pStyle w:val="Heading5"/>
      </w:pPr>
      <w:r>
        <w:t>Bacchus Marsh Traffic Improvements Project</w:t>
      </w:r>
    </w:p>
    <w:p w:rsidR="00E25CC6" w:rsidRDefault="00E25CC6" w:rsidP="002029F5">
      <w:r>
        <w:t>New access ramps and a shared user path on the Western Highway at Halletts Way in Bacchus Marsh will be constructed to improve safety and amenity.</w:t>
      </w:r>
    </w:p>
    <w:p w:rsidR="00E25CC6" w:rsidRPr="0057248E" w:rsidRDefault="00E25CC6" w:rsidP="002029F5">
      <w:r w:rsidRPr="00BA2B04">
        <w:t>This initiative contributes to the Department of Economic Development, Jobs, Transport and Resources</w:t>
      </w:r>
      <w:r>
        <w:t>’</w:t>
      </w:r>
      <w:r w:rsidRPr="00BA2B04">
        <w:t xml:space="preserve"> </w:t>
      </w:r>
      <w:r w:rsidRPr="0057248E">
        <w:t>Road Ope</w:t>
      </w:r>
      <w:r>
        <w:t>rations and Network Improvements</w:t>
      </w:r>
      <w:r w:rsidRPr="0057248E">
        <w:t xml:space="preserve"> output</w:t>
      </w:r>
    </w:p>
    <w:p w:rsidR="00E25CC6" w:rsidRDefault="00E25CC6" w:rsidP="007F558F">
      <w:pPr>
        <w:pStyle w:val="Heading5"/>
      </w:pPr>
      <w:r>
        <w:t>Building our regions</w:t>
      </w:r>
    </w:p>
    <w:p w:rsidR="00E25CC6" w:rsidRDefault="00E25CC6" w:rsidP="007F558F">
      <w:r>
        <w:t xml:space="preserve">A package of works on regional roads will address community safety and amenity and plan for future upgrades that cater for growth, connectivity and improved productivity. The projects range from small scale local improvements to planning and preconstruction works on major regional highways including Western Highway, Princes Highway East, Midland Highway (between Castlemaine and Harcourt and between Bannockburn and Geelong) and the Shepparton Alternative Route. </w:t>
      </w:r>
    </w:p>
    <w:p w:rsidR="00E25CC6" w:rsidRDefault="00E25CC6" w:rsidP="007F558F">
      <w:r>
        <w:t>This initiative contributes to the Department of Economic Development, Jobs, Transport and Resources’ Road Operations and Network Improvements output.</w:t>
      </w:r>
    </w:p>
    <w:p w:rsidR="00E25CC6" w:rsidRPr="00156074" w:rsidRDefault="00E25CC6" w:rsidP="007F558F">
      <w:pPr>
        <w:pStyle w:val="Heading5"/>
      </w:pPr>
      <w:r w:rsidRPr="00156074">
        <w:t>Drysdale Bypass</w:t>
      </w:r>
    </w:p>
    <w:p w:rsidR="00E25CC6" w:rsidRDefault="00E25CC6" w:rsidP="007F558F">
      <w:r>
        <w:t>A six</w:t>
      </w:r>
      <w:r>
        <w:noBreakHyphen/>
        <w:t xml:space="preserve">kilometre bypass road will be constructed to enhance safety and reduce peak traffic congestion on High Street, the main street through the Drysdale town centre. In addition to the bypass road, the amenity and pedestrian and cyclist access on High Street will be enhanced. Construction of the bypass road is scheduled for completion in early 2020. </w:t>
      </w:r>
    </w:p>
    <w:p w:rsidR="00E25CC6" w:rsidRPr="00E97B3F" w:rsidRDefault="00E25CC6" w:rsidP="007F558F">
      <w:r w:rsidRPr="00763E35">
        <w:t>This initiative delivers on the Government</w:t>
      </w:r>
      <w:r>
        <w:t>’</w:t>
      </w:r>
      <w:r w:rsidRPr="00763E35">
        <w:t xml:space="preserve">s election commitment as published in </w:t>
      </w:r>
      <w:r w:rsidRPr="00E97B3F">
        <w:t>Labor</w:t>
      </w:r>
      <w:r>
        <w:t>’</w:t>
      </w:r>
      <w:r w:rsidRPr="00E97B3F">
        <w:t>s Financial Statement 2014.</w:t>
      </w:r>
    </w:p>
    <w:p w:rsidR="00E25CC6" w:rsidRDefault="00E25CC6" w:rsidP="007F558F">
      <w:r w:rsidRPr="00AF5941">
        <w:t>This initiative contributes to the Department of Economic Development, Jobs, Transport and Resources</w:t>
      </w:r>
      <w:r>
        <w:t>’</w:t>
      </w:r>
      <w:r w:rsidRPr="00AF5941">
        <w:t xml:space="preserve"> Road Ope</w:t>
      </w:r>
      <w:r>
        <w:t>rations and Network Improvements</w:t>
      </w:r>
      <w:r w:rsidRPr="00AF5941">
        <w:t xml:space="preserve"> output.</w:t>
      </w:r>
    </w:p>
    <w:p w:rsidR="00E25CC6" w:rsidRDefault="00E25CC6" w:rsidP="007F558F">
      <w:pPr>
        <w:pStyle w:val="Heading5"/>
        <w:rPr>
          <w:lang w:eastAsia="en-AU"/>
        </w:rPr>
      </w:pPr>
      <w:r>
        <w:rPr>
          <w:lang w:eastAsia="en-AU"/>
        </w:rPr>
        <w:t>Midland Highway/Napier Street Improvement Works</w:t>
      </w:r>
    </w:p>
    <w:p w:rsidR="00E25CC6" w:rsidRDefault="00E25CC6" w:rsidP="007F558F">
      <w:pPr>
        <w:rPr>
          <w:lang w:eastAsia="en-AU"/>
        </w:rPr>
      </w:pPr>
      <w:r>
        <w:rPr>
          <w:lang w:eastAsia="en-AU"/>
        </w:rPr>
        <w:t xml:space="preserve">In addition to the election commitment to duplicate Napier Street between Weeroona Avenue and Scott Street in Bendigo, duplication works will be undertaken between Scott Street and Hall Street along with other improvements such as intersection enhancements, provision for bicycle lanes, integrating and upgrading existing bus facilities along the entire route. </w:t>
      </w:r>
    </w:p>
    <w:p w:rsidR="00E25CC6" w:rsidRDefault="00E25CC6" w:rsidP="007F558F">
      <w:pPr>
        <w:rPr>
          <w:lang w:eastAsia="en-AU"/>
        </w:rPr>
      </w:pPr>
      <w:r>
        <w:rPr>
          <w:lang w:eastAsia="en-AU"/>
        </w:rPr>
        <w:t>This initiative will enhance integrated transport amenities and improve the functionality for multiple modes along the corridor.</w:t>
      </w:r>
    </w:p>
    <w:p w:rsidR="00E25CC6" w:rsidRDefault="00E25CC6" w:rsidP="007F558F">
      <w:r>
        <w:rPr>
          <w:lang w:eastAsia="en-AU"/>
        </w:rPr>
        <w:t>This initiative contributes to the delivery of the Department of Economic Development, Jobs, Transport and Resources’ Operations and Network Improvements output.</w:t>
      </w:r>
    </w:p>
    <w:p w:rsidR="00E25CC6" w:rsidRDefault="00E25CC6">
      <w:pPr>
        <w:spacing w:after="0"/>
        <w:rPr>
          <w:rFonts w:ascii="Calibri" w:hAnsi="Calibri"/>
          <w:b/>
        </w:rPr>
      </w:pPr>
      <w:r>
        <w:br w:type="page"/>
      </w:r>
    </w:p>
    <w:p w:rsidR="00E25CC6" w:rsidRPr="00156074" w:rsidRDefault="00E25CC6" w:rsidP="007F558F">
      <w:pPr>
        <w:pStyle w:val="Heading5"/>
      </w:pPr>
      <w:r>
        <w:t>Murray River b</w:t>
      </w:r>
      <w:r w:rsidRPr="00156074">
        <w:t>ridges – Yarrawonga and Mulwala Bridge</w:t>
      </w:r>
    </w:p>
    <w:p w:rsidR="00E25CC6" w:rsidRDefault="00E25CC6" w:rsidP="007F558F">
      <w:r>
        <w:t xml:space="preserve">Project development and site due diligence </w:t>
      </w:r>
      <w:r w:rsidRPr="00C61886">
        <w:t>activities will be undertaken to replace the two</w:t>
      </w:r>
      <w:r>
        <w:t xml:space="preserve"> existing Murray River vehicle crossings at the Yarrawonga Weir and the historic Mulwala Bridge. The development activities will be undertaken in partnership with the New South Wales Government. </w:t>
      </w:r>
    </w:p>
    <w:p w:rsidR="00E25CC6" w:rsidRDefault="00E25CC6" w:rsidP="007F558F">
      <w:r w:rsidRPr="00AF5941">
        <w:t>This initiative contributes to the Department of Economic Development, Jobs, Transport and Resources</w:t>
      </w:r>
      <w:r>
        <w:t>’</w:t>
      </w:r>
      <w:r w:rsidRPr="00AF5941">
        <w:t xml:space="preserve"> Road Operations and Network Improvement</w:t>
      </w:r>
      <w:r>
        <w:t>s</w:t>
      </w:r>
      <w:r w:rsidRPr="00AF5941">
        <w:t xml:space="preserve"> output.</w:t>
      </w:r>
    </w:p>
    <w:p w:rsidR="00E25CC6" w:rsidRDefault="00E25CC6" w:rsidP="007F558F">
      <w:pPr>
        <w:pStyle w:val="Heading5"/>
        <w:rPr>
          <w:lang w:eastAsia="en-AU"/>
        </w:rPr>
      </w:pPr>
      <w:r>
        <w:rPr>
          <w:lang w:eastAsia="en-AU"/>
        </w:rPr>
        <w:t>Napier Street Bendigo Duplication</w:t>
      </w:r>
    </w:p>
    <w:p w:rsidR="00E25CC6" w:rsidRDefault="00E25CC6" w:rsidP="007F558F">
      <w:pPr>
        <w:rPr>
          <w:lang w:eastAsia="en-AU"/>
        </w:rPr>
      </w:pPr>
      <w:r>
        <w:rPr>
          <w:lang w:eastAsia="en-AU"/>
        </w:rPr>
        <w:t>Napier Street will be duplicated between Weeroona Avenue and Scott Street in Bendigo. This initiative will improve capacity and provide a safer road network for all road users along this corridor.</w:t>
      </w:r>
    </w:p>
    <w:p w:rsidR="00E25CC6" w:rsidRPr="00DA7BC8" w:rsidRDefault="00E25CC6" w:rsidP="007F558F">
      <w:pPr>
        <w:rPr>
          <w:lang w:eastAsia="en-AU"/>
        </w:rPr>
      </w:pPr>
      <w:r w:rsidRPr="00DA7BC8">
        <w:rPr>
          <w:lang w:eastAsia="en-AU"/>
        </w:rPr>
        <w:t>This initiative delivers on the Government</w:t>
      </w:r>
      <w:r>
        <w:rPr>
          <w:lang w:eastAsia="en-AU"/>
        </w:rPr>
        <w:t>’</w:t>
      </w:r>
      <w:r w:rsidRPr="00DA7BC8">
        <w:rPr>
          <w:lang w:eastAsia="en-AU"/>
        </w:rPr>
        <w:t>s election commitment as published in Labor</w:t>
      </w:r>
      <w:r>
        <w:rPr>
          <w:lang w:eastAsia="en-AU"/>
        </w:rPr>
        <w:t>’</w:t>
      </w:r>
      <w:r w:rsidRPr="00DA7BC8">
        <w:rPr>
          <w:lang w:eastAsia="en-AU"/>
        </w:rPr>
        <w:t>s Financial Statement 2014.</w:t>
      </w:r>
    </w:p>
    <w:p w:rsidR="00E25CC6" w:rsidRDefault="00E25CC6" w:rsidP="007F558F">
      <w:r>
        <w:rPr>
          <w:lang w:eastAsia="en-AU"/>
        </w:rPr>
        <w:t>This initiative contributes to the Department of Economic Development, Jobs, Transport and Resources’ Operations and Network Improvements output.</w:t>
      </w:r>
    </w:p>
    <w:p w:rsidR="00E25CC6" w:rsidRPr="00156074" w:rsidRDefault="00E25CC6" w:rsidP="007F558F">
      <w:pPr>
        <w:pStyle w:val="Heading5"/>
      </w:pPr>
      <w:r w:rsidRPr="00156074">
        <w:t>Regional overtaking lanes</w:t>
      </w:r>
    </w:p>
    <w:p w:rsidR="00E25CC6" w:rsidRDefault="00E25CC6" w:rsidP="003D1D8A">
      <w:r>
        <w:t xml:space="preserve">A package of works to plan and construct overtaking lanes on a number of regional roads to reduce the risk of crashes and improve travel times and reliability. Several major regional highways have been identified including Princes Highway East, Midland Highway, Great Alpine Road and Murray Valley Highway. </w:t>
      </w:r>
    </w:p>
    <w:p w:rsidR="00E25CC6" w:rsidRDefault="00E25CC6" w:rsidP="003D1D8A">
      <w:r>
        <w:t>This initiative contributes to the Department of Economic Development, Jobs, Transport and Resources’ Road Operations and Network Improvements output.</w:t>
      </w:r>
      <w:bookmarkEnd w:id="23"/>
      <w:r>
        <w:fldChar w:fldCharType="begin"/>
      </w:r>
      <w:r>
        <w:instrText xml:space="preserve"> XE "</w:instrText>
      </w:r>
      <w:r w:rsidRPr="004A5F01">
        <w:instrText>Department of Economic Development, Jobs, Transport and Resources:Roads</w:instrText>
      </w:r>
      <w:r>
        <w:instrText xml:space="preserve">" \r "DEDJTR_Roads" </w:instrText>
      </w:r>
      <w:r>
        <w:fldChar w:fldCharType="end"/>
      </w:r>
    </w:p>
    <w:p w:rsidR="00E25CC6" w:rsidRPr="009163BA" w:rsidRDefault="00E25CC6" w:rsidP="009163BA">
      <w:pPr>
        <w:pStyle w:val="Heading5"/>
        <w:rPr>
          <w:b w:val="0"/>
          <w:i/>
        </w:rPr>
      </w:pPr>
      <w:bookmarkStart w:id="24" w:name="DEDJTR_PubTrans2"/>
      <w:r w:rsidRPr="009163BA">
        <w:rPr>
          <w:b w:val="0"/>
          <w:i/>
        </w:rPr>
        <w:t>Metropolitan Public Transport</w:t>
      </w:r>
    </w:p>
    <w:p w:rsidR="00E25CC6" w:rsidRDefault="00E25CC6" w:rsidP="007F558F">
      <w:pPr>
        <w:pStyle w:val="Heading5"/>
      </w:pPr>
      <w:r>
        <w:t xml:space="preserve">28 more high capacity metro trains </w:t>
      </w:r>
    </w:p>
    <w:p w:rsidR="00E25CC6" w:rsidRPr="00E004DA" w:rsidRDefault="00E25CC6" w:rsidP="007F558F">
      <w:pPr>
        <w:rPr>
          <w:bCs/>
          <w:szCs w:val="24"/>
        </w:rPr>
      </w:pPr>
      <w:r w:rsidRPr="00E004DA">
        <w:rPr>
          <w:bCs/>
          <w:szCs w:val="24"/>
        </w:rPr>
        <w:t xml:space="preserve">The </w:t>
      </w:r>
      <w:r>
        <w:rPr>
          <w:bCs/>
          <w:szCs w:val="24"/>
        </w:rPr>
        <w:t>High Capacity</w:t>
      </w:r>
      <w:r w:rsidRPr="00E004DA">
        <w:rPr>
          <w:bCs/>
          <w:szCs w:val="24"/>
        </w:rPr>
        <w:t xml:space="preserve"> </w:t>
      </w:r>
      <w:r>
        <w:rPr>
          <w:bCs/>
          <w:szCs w:val="24"/>
        </w:rPr>
        <w:t xml:space="preserve">Metro Trains </w:t>
      </w:r>
      <w:r w:rsidRPr="00E004DA">
        <w:rPr>
          <w:bCs/>
          <w:szCs w:val="24"/>
        </w:rPr>
        <w:t>project is being procured as an availability</w:t>
      </w:r>
      <w:r>
        <w:rPr>
          <w:bCs/>
          <w:szCs w:val="24"/>
        </w:rPr>
        <w:noBreakHyphen/>
      </w:r>
      <w:r w:rsidRPr="00E004DA">
        <w:rPr>
          <w:bCs/>
          <w:szCs w:val="24"/>
        </w:rPr>
        <w:t xml:space="preserve">based </w:t>
      </w:r>
      <w:r>
        <w:rPr>
          <w:bCs/>
          <w:szCs w:val="24"/>
        </w:rPr>
        <w:t>public private partnership</w:t>
      </w:r>
      <w:r w:rsidRPr="00E004DA">
        <w:rPr>
          <w:bCs/>
          <w:szCs w:val="24"/>
        </w:rPr>
        <w:t>, and is currently in the tender phase.</w:t>
      </w:r>
      <w:r>
        <w:rPr>
          <w:bCs/>
          <w:szCs w:val="24"/>
        </w:rPr>
        <w:t xml:space="preserve"> </w:t>
      </w:r>
      <w:r w:rsidRPr="00E004DA">
        <w:rPr>
          <w:bCs/>
          <w:szCs w:val="24"/>
        </w:rPr>
        <w:t xml:space="preserve">The original scope announced in the </w:t>
      </w:r>
      <w:r w:rsidRPr="00151F59">
        <w:rPr>
          <w:bCs/>
          <w:i/>
          <w:szCs w:val="24"/>
        </w:rPr>
        <w:t>2015</w:t>
      </w:r>
      <w:r>
        <w:rPr>
          <w:bCs/>
          <w:i/>
          <w:szCs w:val="24"/>
        </w:rPr>
        <w:noBreakHyphen/>
      </w:r>
      <w:r w:rsidRPr="00151F59">
        <w:rPr>
          <w:bCs/>
          <w:i/>
          <w:szCs w:val="24"/>
        </w:rPr>
        <w:t>16 Budget</w:t>
      </w:r>
      <w:r w:rsidRPr="00E004DA">
        <w:rPr>
          <w:bCs/>
          <w:szCs w:val="24"/>
        </w:rPr>
        <w:t xml:space="preserve"> included the design, financing, manufacture and commissioning of 37</w:t>
      </w:r>
      <w:r>
        <w:rPr>
          <w:bCs/>
          <w:szCs w:val="24"/>
        </w:rPr>
        <w:t> </w:t>
      </w:r>
      <w:r w:rsidRPr="00E004DA">
        <w:rPr>
          <w:bCs/>
          <w:szCs w:val="24"/>
        </w:rPr>
        <w:t xml:space="preserve">high capacity trains, along with a depot in Pakenham East. In March 2016 the Government expanded the order to secure the best possible price now for 28 additional trains which will be required for the Metro </w:t>
      </w:r>
      <w:r>
        <w:rPr>
          <w:bCs/>
          <w:szCs w:val="24"/>
        </w:rPr>
        <w:t>Tunnel</w:t>
      </w:r>
      <w:r w:rsidRPr="00E004DA">
        <w:rPr>
          <w:bCs/>
          <w:szCs w:val="24"/>
        </w:rPr>
        <w:t xml:space="preserve"> project. The contract is expected to be executed in November 2016, with the first train to be delivered in 2018. </w:t>
      </w:r>
    </w:p>
    <w:p w:rsidR="00E25CC6" w:rsidRDefault="00E25CC6" w:rsidP="007F558F">
      <w:pPr>
        <w:rPr>
          <w:bCs/>
          <w:szCs w:val="24"/>
        </w:rPr>
      </w:pPr>
      <w:r w:rsidRPr="00E004DA">
        <w:rPr>
          <w:bCs/>
          <w:szCs w:val="24"/>
        </w:rPr>
        <w:t>This initiative contributes to the Department of Economic Development, Jobs, Transport and Resources</w:t>
      </w:r>
      <w:r>
        <w:rPr>
          <w:bCs/>
          <w:szCs w:val="24"/>
        </w:rPr>
        <w:t>’</w:t>
      </w:r>
      <w:r w:rsidRPr="00E004DA">
        <w:rPr>
          <w:bCs/>
          <w:szCs w:val="24"/>
        </w:rPr>
        <w:t xml:space="preserve"> Train Services output.</w:t>
      </w:r>
    </w:p>
    <w:p w:rsidR="00E25CC6" w:rsidRPr="00156074" w:rsidRDefault="00E25CC6" w:rsidP="007F558F">
      <w:pPr>
        <w:pStyle w:val="Heading5"/>
      </w:pPr>
      <w:r w:rsidRPr="00156074">
        <w:t>Additional X</w:t>
      </w:r>
      <w:r>
        <w:t>’</w:t>
      </w:r>
      <w:r w:rsidRPr="00156074">
        <w:t xml:space="preserve">Trapolis trains </w:t>
      </w:r>
    </w:p>
    <w:p w:rsidR="00E25CC6" w:rsidRPr="00C4036D" w:rsidRDefault="00E25CC6" w:rsidP="007F558F">
      <w:pPr>
        <w:rPr>
          <w:lang w:eastAsia="en-AU"/>
        </w:rPr>
      </w:pPr>
      <w:r w:rsidRPr="00C4036D">
        <w:rPr>
          <w:lang w:eastAsia="en-AU"/>
        </w:rPr>
        <w:t xml:space="preserve">The Government will purchase </w:t>
      </w:r>
      <w:r>
        <w:rPr>
          <w:lang w:eastAsia="en-AU"/>
        </w:rPr>
        <w:t xml:space="preserve">an additional </w:t>
      </w:r>
      <w:r w:rsidRPr="00C4036D">
        <w:rPr>
          <w:lang w:eastAsia="en-AU"/>
        </w:rPr>
        <w:t>five six</w:t>
      </w:r>
      <w:r>
        <w:rPr>
          <w:lang w:eastAsia="en-AU"/>
        </w:rPr>
        <w:noBreakHyphen/>
      </w:r>
      <w:r w:rsidRPr="00C4036D">
        <w:rPr>
          <w:lang w:eastAsia="en-AU"/>
        </w:rPr>
        <w:t>car X</w:t>
      </w:r>
      <w:r>
        <w:rPr>
          <w:lang w:eastAsia="en-AU"/>
        </w:rPr>
        <w:t>’</w:t>
      </w:r>
      <w:r w:rsidRPr="00C4036D">
        <w:rPr>
          <w:lang w:eastAsia="en-AU"/>
        </w:rPr>
        <w:t xml:space="preserve">Trapolis trains. Together with the investment in the </w:t>
      </w:r>
      <w:r w:rsidRPr="00C4036D">
        <w:rPr>
          <w:i/>
          <w:lang w:eastAsia="en-AU"/>
        </w:rPr>
        <w:t>2015</w:t>
      </w:r>
      <w:r>
        <w:rPr>
          <w:i/>
          <w:lang w:eastAsia="en-AU"/>
        </w:rPr>
        <w:noBreakHyphen/>
      </w:r>
      <w:r w:rsidRPr="00C4036D">
        <w:rPr>
          <w:i/>
          <w:lang w:eastAsia="en-AU"/>
        </w:rPr>
        <w:t>16 Budget</w:t>
      </w:r>
      <w:r>
        <w:rPr>
          <w:i/>
          <w:lang w:eastAsia="en-AU"/>
        </w:rPr>
        <w:t xml:space="preserve"> </w:t>
      </w:r>
      <w:r w:rsidRPr="00C2320E">
        <w:rPr>
          <w:lang w:eastAsia="en-AU"/>
        </w:rPr>
        <w:t xml:space="preserve">complementing </w:t>
      </w:r>
      <w:r>
        <w:rPr>
          <w:lang w:eastAsia="en-AU"/>
        </w:rPr>
        <w:t>the fleet of 65 new high capacity Metro Trains currently ordered for use on the Metro Tunnel lines</w:t>
      </w:r>
      <w:r w:rsidRPr="00C2320E">
        <w:rPr>
          <w:lang w:eastAsia="en-AU"/>
        </w:rPr>
        <w:t>,</w:t>
      </w:r>
      <w:r w:rsidRPr="00C4036D">
        <w:rPr>
          <w:lang w:eastAsia="en-AU"/>
        </w:rPr>
        <w:t xml:space="preserve"> the new trains will </w:t>
      </w:r>
      <w:r>
        <w:rPr>
          <w:lang w:eastAsia="en-AU"/>
        </w:rPr>
        <w:t>manage growing demand across the metropolitan train network.</w:t>
      </w:r>
    </w:p>
    <w:p w:rsidR="00E25CC6" w:rsidRDefault="00E25CC6" w:rsidP="007F558F">
      <w:pPr>
        <w:rPr>
          <w:szCs w:val="22"/>
        </w:rPr>
      </w:pPr>
      <w:r w:rsidRPr="00C4036D">
        <w:rPr>
          <w:szCs w:val="22"/>
        </w:rPr>
        <w:t>This initiative contributes to the Department of Economic Development, Jobs, Transport and Resources</w:t>
      </w:r>
      <w:r>
        <w:rPr>
          <w:szCs w:val="22"/>
        </w:rPr>
        <w:t>’</w:t>
      </w:r>
      <w:r w:rsidRPr="00C4036D">
        <w:rPr>
          <w:szCs w:val="22"/>
        </w:rPr>
        <w:t xml:space="preserve"> Train Services output.</w:t>
      </w:r>
    </w:p>
    <w:p w:rsidR="00E25CC6" w:rsidRPr="00156074" w:rsidRDefault="00E25CC6" w:rsidP="00B17F4F">
      <w:pPr>
        <w:pStyle w:val="Heading5"/>
      </w:pPr>
      <w:r w:rsidRPr="00156074">
        <w:t>Bridge strengthening for E</w:t>
      </w:r>
      <w:r>
        <w:noBreakHyphen/>
      </w:r>
      <w:r w:rsidRPr="00156074">
        <w:t xml:space="preserve">Class trams </w:t>
      </w:r>
    </w:p>
    <w:p w:rsidR="00E25CC6" w:rsidRDefault="00E25CC6" w:rsidP="00B17F4F">
      <w:r>
        <w:t>The Government will investigate the strength of bridges on tram routes to ensure the bridges will be able to support E</w:t>
      </w:r>
      <w:r>
        <w:noBreakHyphen/>
        <w:t>Class trams on the network.</w:t>
      </w:r>
    </w:p>
    <w:p w:rsidR="00E25CC6" w:rsidRPr="00400A4E" w:rsidRDefault="00E25CC6" w:rsidP="00B17F4F">
      <w:r>
        <w:t>This initiative contributes to the Department of Economic Development, Jobs, Transport and Resources’ Road Operations and Network Improvements output.</w:t>
      </w:r>
    </w:p>
    <w:p w:rsidR="00E25CC6" w:rsidRPr="00156074" w:rsidRDefault="00E25CC6" w:rsidP="007F558F">
      <w:pPr>
        <w:pStyle w:val="Heading5"/>
      </w:pPr>
      <w:r w:rsidRPr="00156074">
        <w:t>City</w:t>
      </w:r>
      <w:r>
        <w:t xml:space="preserve"> Loop fire and safety upgrade (S</w:t>
      </w:r>
      <w:r w:rsidRPr="00156074">
        <w:t>tage 2) including intruder alarm</w:t>
      </w:r>
    </w:p>
    <w:p w:rsidR="00E25CC6" w:rsidRDefault="00E25CC6" w:rsidP="007F558F">
      <w:r w:rsidRPr="0066343C">
        <w:t xml:space="preserve">New smoke management and fire sprinkler systems will be installed at Melbourne Central, Flagstaff and Parliament stations. These works </w:t>
      </w:r>
      <w:r>
        <w:t xml:space="preserve">will </w:t>
      </w:r>
      <w:r w:rsidRPr="0066343C">
        <w:t>bring the City Loop in line with current safety standards. A new intruder detection and alarm system will be installed to prevent unauthorised access in the City Loop.</w:t>
      </w:r>
    </w:p>
    <w:p w:rsidR="00E25CC6" w:rsidRDefault="00E25CC6" w:rsidP="007F558F">
      <w:r>
        <w:t>This initiative contributes to the Department of Economic Development, Jobs, Transport and Resources’ Train Services output.</w:t>
      </w:r>
    </w:p>
    <w:p w:rsidR="00E25CC6" w:rsidRDefault="00E25CC6" w:rsidP="007F558F">
      <w:pPr>
        <w:pStyle w:val="Heading5"/>
      </w:pPr>
      <w:r>
        <w:t>Frankston Station Precinct Development</w:t>
      </w:r>
    </w:p>
    <w:p w:rsidR="00E25CC6" w:rsidRPr="00BA2E62" w:rsidRDefault="00E25CC6" w:rsidP="003D1D8A">
      <w:pPr>
        <w:rPr>
          <w:lang w:eastAsia="en-AU"/>
        </w:rPr>
      </w:pPr>
      <w:r>
        <w:rPr>
          <w:lang w:eastAsia="en-AU"/>
        </w:rPr>
        <w:t>The Frankston S</w:t>
      </w:r>
      <w:r w:rsidRPr="00BA2E62">
        <w:rPr>
          <w:lang w:eastAsia="en-AU"/>
        </w:rPr>
        <w:t>tation precinct will be redeveloped to impro</w:t>
      </w:r>
      <w:r>
        <w:rPr>
          <w:lang w:eastAsia="en-AU"/>
        </w:rPr>
        <w:t>ve Frankston station and Young S</w:t>
      </w:r>
      <w:r w:rsidRPr="00BA2E62">
        <w:rPr>
          <w:lang w:eastAsia="en-AU"/>
        </w:rPr>
        <w:t>treet, and provide better pedestrian</w:t>
      </w:r>
      <w:r>
        <w:rPr>
          <w:lang w:eastAsia="en-AU"/>
        </w:rPr>
        <w:t xml:space="preserve"> and transport</w:t>
      </w:r>
      <w:r w:rsidRPr="00BA2E62">
        <w:rPr>
          <w:lang w:eastAsia="en-AU"/>
        </w:rPr>
        <w:t xml:space="preserve"> connections. This will facilitate business activity, job creation, productivity and growth in Frankston.</w:t>
      </w:r>
    </w:p>
    <w:p w:rsidR="00E25CC6" w:rsidRPr="001E3A1D" w:rsidRDefault="00E25CC6" w:rsidP="003D1D8A">
      <w:pPr>
        <w:rPr>
          <w:lang w:eastAsia="en-AU"/>
        </w:rPr>
      </w:pPr>
      <w:r w:rsidRPr="00BA2E62">
        <w:rPr>
          <w:lang w:eastAsia="en-AU"/>
        </w:rPr>
        <w:t>This initiative delivers on the Government</w:t>
      </w:r>
      <w:r>
        <w:rPr>
          <w:lang w:eastAsia="en-AU"/>
        </w:rPr>
        <w:t>’</w:t>
      </w:r>
      <w:r w:rsidRPr="00BA2E62">
        <w:rPr>
          <w:lang w:eastAsia="en-AU"/>
        </w:rPr>
        <w:t xml:space="preserve">s election commitment as published in </w:t>
      </w:r>
      <w:r w:rsidRPr="001E3A1D">
        <w:rPr>
          <w:lang w:eastAsia="en-AU"/>
        </w:rPr>
        <w:t>Labor</w:t>
      </w:r>
      <w:r>
        <w:rPr>
          <w:lang w:eastAsia="en-AU"/>
        </w:rPr>
        <w:t>’</w:t>
      </w:r>
      <w:r w:rsidRPr="001E3A1D">
        <w:rPr>
          <w:lang w:eastAsia="en-AU"/>
        </w:rPr>
        <w:t>s Financial Statement 2014.</w:t>
      </w:r>
    </w:p>
    <w:p w:rsidR="00E25CC6" w:rsidRDefault="00E25CC6" w:rsidP="003D1D8A">
      <w:pPr>
        <w:rPr>
          <w:lang w:eastAsia="en-AU"/>
        </w:rPr>
      </w:pPr>
      <w:r w:rsidRPr="00BA2E62">
        <w:rPr>
          <w:lang w:eastAsia="en-AU"/>
        </w:rPr>
        <w:t>This initiative contributes to the Department of Economic Development, Jobs, Transport and Resources</w:t>
      </w:r>
      <w:r>
        <w:rPr>
          <w:lang w:eastAsia="en-AU"/>
        </w:rPr>
        <w:t>’</w:t>
      </w:r>
      <w:r w:rsidRPr="00BA2E62">
        <w:rPr>
          <w:lang w:eastAsia="en-AU"/>
        </w:rPr>
        <w:t xml:space="preserve"> Train Services output.</w:t>
      </w:r>
    </w:p>
    <w:p w:rsidR="00E25CC6" w:rsidRPr="00B3556C" w:rsidRDefault="00E25CC6" w:rsidP="007F558F">
      <w:pPr>
        <w:pStyle w:val="Heading5"/>
      </w:pPr>
      <w:r>
        <w:t>Hurstbridge Corridor U</w:t>
      </w:r>
      <w:r w:rsidRPr="00B3556C">
        <w:t>pgra</w:t>
      </w:r>
      <w:r>
        <w:t xml:space="preserve">de </w:t>
      </w:r>
    </w:p>
    <w:p w:rsidR="00E25CC6" w:rsidRDefault="00E25CC6" w:rsidP="007F558F">
      <w:r>
        <w:t xml:space="preserve">The Government will deliver a major upgrade of the Hurstbridge Corridor. This includes track duplication between Heidelberg and Rosanna, associated power upgrades and introducing a new bus service from Greensborough to Diamond Creek. This initiative includes development funding to plan for additional track duplications and other upgrades to further increase service capacity. </w:t>
      </w:r>
    </w:p>
    <w:p w:rsidR="00E25CC6" w:rsidRDefault="00E25CC6" w:rsidP="007F558F">
      <w:r>
        <w:t>The initiative contributes to the Department of Economic Development, Jobs, Transport and Resources’ Train Services output.</w:t>
      </w:r>
    </w:p>
    <w:p w:rsidR="00E25CC6" w:rsidRPr="00B3556C" w:rsidRDefault="00E25CC6" w:rsidP="007F558F">
      <w:pPr>
        <w:pStyle w:val="Heading5"/>
      </w:pPr>
      <w:r>
        <w:t>Mernda rail extension p</w:t>
      </w:r>
      <w:r w:rsidRPr="00B3556C">
        <w:t>roject</w:t>
      </w:r>
    </w:p>
    <w:p w:rsidR="00E25CC6" w:rsidRDefault="00E25CC6" w:rsidP="007F558F">
      <w:r>
        <w:t>The Government will extend metropolitan rail services from South Morang to Mernda, including construction of new tracks a new station at Mernda, a new station near Marymede College, and provision for a possible third new station. This initiative will provide a more reliable and sustainable transport network and improve connections to employment and education precincts along Melbourne’s northern corridor.</w:t>
      </w:r>
    </w:p>
    <w:p w:rsidR="00E25CC6" w:rsidRPr="00151F59" w:rsidRDefault="00E25CC6" w:rsidP="007F558F">
      <w:r w:rsidRPr="00666E1D">
        <w:t>This initiative delivers on the Government</w:t>
      </w:r>
      <w:r>
        <w:t>’</w:t>
      </w:r>
      <w:r w:rsidRPr="00666E1D">
        <w:t xml:space="preserve">s election commitment as published in </w:t>
      </w:r>
      <w:r w:rsidRPr="00151F59">
        <w:t>Labor</w:t>
      </w:r>
      <w:r>
        <w:t>’</w:t>
      </w:r>
      <w:r w:rsidRPr="00151F59">
        <w:t>s Financial Statement 2014.</w:t>
      </w:r>
    </w:p>
    <w:p w:rsidR="00E25CC6" w:rsidRDefault="00E25CC6" w:rsidP="007F558F">
      <w:r>
        <w:t>The initiative contributes to the Department of Economic Development, Jobs, Transport and Resources’ Train Services output.</w:t>
      </w:r>
    </w:p>
    <w:p w:rsidR="00E25CC6" w:rsidRPr="009163BA" w:rsidRDefault="00E25CC6" w:rsidP="009163BA">
      <w:pPr>
        <w:pStyle w:val="Heading5"/>
        <w:rPr>
          <w:b w:val="0"/>
          <w:i/>
        </w:rPr>
      </w:pPr>
      <w:r w:rsidRPr="009163BA">
        <w:rPr>
          <w:b w:val="0"/>
          <w:i/>
        </w:rPr>
        <w:t>Regional Public Transport</w:t>
      </w:r>
    </w:p>
    <w:p w:rsidR="00E25CC6" w:rsidRPr="00156074" w:rsidRDefault="00E25CC6" w:rsidP="00BA624E">
      <w:pPr>
        <w:pStyle w:val="Heading5"/>
      </w:pPr>
      <w:r>
        <w:t>Ballarat rail upgrade</w:t>
      </w:r>
    </w:p>
    <w:p w:rsidR="00E25CC6" w:rsidRDefault="00E25CC6" w:rsidP="00BA624E">
      <w:r>
        <w:t xml:space="preserve">The Government will address demand, punctuality and reliability issues along the Ballarat train line, which runs via Sunshine, Deer Park, Melton and Bacchus Marsh. This investment includes building a second rail track between Deer Park West and Melton, additional train station platforms, pedestrian links, car parking and passing loops. This upgrade will allow additional peak services from Ballarat every day. </w:t>
      </w:r>
    </w:p>
    <w:p w:rsidR="00E25CC6" w:rsidRDefault="00E25CC6" w:rsidP="00BA624E">
      <w:r>
        <w:t>This initiative contributes to the Department of Economic Development, Jobs, Transport and Resources’ Train Services output.</w:t>
      </w:r>
    </w:p>
    <w:p w:rsidR="00E25CC6" w:rsidRPr="00156074" w:rsidRDefault="00E25CC6" w:rsidP="00BA624E">
      <w:pPr>
        <w:pStyle w:val="Heading5"/>
      </w:pPr>
      <w:r w:rsidRPr="00156074">
        <w:t>Bendigo and Eaglehawk station upgrades</w:t>
      </w:r>
    </w:p>
    <w:p w:rsidR="00E25CC6" w:rsidRDefault="00E25CC6" w:rsidP="00BA624E">
      <w:r>
        <w:t>Bendigo and Eaglehawk stations will be upgraded to improve amenity, pedestrian movement and parking, and compliance</w:t>
      </w:r>
      <w:r w:rsidRPr="00B13E7E">
        <w:t xml:space="preserve"> </w:t>
      </w:r>
      <w:r>
        <w:t xml:space="preserve">with the </w:t>
      </w:r>
      <w:r w:rsidRPr="00740CE9">
        <w:rPr>
          <w:i/>
        </w:rPr>
        <w:t xml:space="preserve">Disability Discrimination </w:t>
      </w:r>
      <w:r w:rsidRPr="00151F59">
        <w:rPr>
          <w:i/>
        </w:rPr>
        <w:t>Act 1992</w:t>
      </w:r>
      <w:r>
        <w:rPr>
          <w:i/>
        </w:rPr>
        <w:t xml:space="preserve"> </w:t>
      </w:r>
      <w:r w:rsidRPr="003D1D8A">
        <w:t>(Cwth)</w:t>
      </w:r>
      <w:r w:rsidRPr="00151F59">
        <w:rPr>
          <w:i/>
        </w:rPr>
        <w:t>.</w:t>
      </w:r>
      <w:r>
        <w:t xml:space="preserve"> </w:t>
      </w:r>
    </w:p>
    <w:p w:rsidR="00E25CC6" w:rsidRDefault="00E25CC6" w:rsidP="00BA624E">
      <w:pPr>
        <w:rPr>
          <w:szCs w:val="22"/>
        </w:rPr>
      </w:pPr>
      <w:r>
        <w:rPr>
          <w:szCs w:val="22"/>
        </w:rPr>
        <w:t>This initiative contributes to the Department of Economic Development, Jobs, Transport and Resources’ Train Services output.</w:t>
      </w:r>
    </w:p>
    <w:p w:rsidR="00E25CC6" w:rsidRPr="005207D7" w:rsidRDefault="00E25CC6" w:rsidP="00BA624E">
      <w:pPr>
        <w:pStyle w:val="Heading5"/>
      </w:pPr>
      <w:r>
        <w:t xml:space="preserve">Bendigo line upgrade planning </w:t>
      </w:r>
    </w:p>
    <w:p w:rsidR="00E25CC6" w:rsidRPr="00DD3568" w:rsidRDefault="00E25CC6" w:rsidP="00BA624E">
      <w:r>
        <w:t>Planning and business case preparation will be undertaken to increase capacity and counter peak services on the Bendigo line.</w:t>
      </w:r>
    </w:p>
    <w:p w:rsidR="00E25CC6" w:rsidRDefault="00E25CC6" w:rsidP="00BA624E">
      <w:r>
        <w:rPr>
          <w:szCs w:val="22"/>
        </w:rPr>
        <w:t>This initiative contributes to the Department of Economic Development, Jobs, Transport and Resources’ Train Services output.</w:t>
      </w:r>
    </w:p>
    <w:p w:rsidR="00E25CC6" w:rsidRPr="00156074" w:rsidRDefault="00E25CC6" w:rsidP="00BA624E">
      <w:pPr>
        <w:pStyle w:val="Heading5"/>
      </w:pPr>
      <w:r w:rsidRPr="00156074">
        <w:t>Gippsland corridor station upgrades</w:t>
      </w:r>
    </w:p>
    <w:p w:rsidR="00E25CC6" w:rsidRPr="00DD3568" w:rsidRDefault="00E25CC6" w:rsidP="00BA624E">
      <w:r>
        <w:t xml:space="preserve">A number of stations on the Gippsland line will be upgraded to improve passenger amenity, and transport interchanges. In addition, car parking capacity enhancements will be undertaken where required. </w:t>
      </w:r>
    </w:p>
    <w:p w:rsidR="00E25CC6" w:rsidRDefault="00E25CC6" w:rsidP="00BA624E">
      <w:pPr>
        <w:rPr>
          <w:b/>
          <w:szCs w:val="22"/>
        </w:rPr>
      </w:pPr>
      <w:r w:rsidRPr="001413C0">
        <w:rPr>
          <w:szCs w:val="22"/>
        </w:rPr>
        <w:t>This initiative contributes to the Department of Economic Development, Jobs, Transport and Resources</w:t>
      </w:r>
      <w:r>
        <w:rPr>
          <w:szCs w:val="22"/>
        </w:rPr>
        <w:t>’</w:t>
      </w:r>
      <w:r w:rsidRPr="001413C0">
        <w:rPr>
          <w:szCs w:val="22"/>
        </w:rPr>
        <w:t xml:space="preserve"> Train Services output.</w:t>
      </w:r>
    </w:p>
    <w:p w:rsidR="00E25CC6" w:rsidRPr="00156074" w:rsidRDefault="00E25CC6" w:rsidP="00BA624E">
      <w:pPr>
        <w:pStyle w:val="Heading5"/>
      </w:pPr>
      <w:r w:rsidRPr="00156074">
        <w:t>Gippsland track upgrades</w:t>
      </w:r>
    </w:p>
    <w:p w:rsidR="00E25CC6" w:rsidRDefault="00E25CC6" w:rsidP="00BA624E">
      <w:r>
        <w:t>Planning and business case preparations will commence for additional track capacity on the Gippsland line including investigations into crossing loop enhancements between Moe and Bairnsdale and the duplication of the Bunyip River bridge.</w:t>
      </w:r>
    </w:p>
    <w:p w:rsidR="00E25CC6" w:rsidRPr="00447A96" w:rsidRDefault="00E25CC6" w:rsidP="00BA624E">
      <w:pPr>
        <w:rPr>
          <w:b/>
        </w:rPr>
      </w:pPr>
      <w:r w:rsidRPr="001413C0">
        <w:rPr>
          <w:szCs w:val="22"/>
        </w:rPr>
        <w:t>This initiative contributes to the Department of Economic Development, Jobs, Transport and Resources</w:t>
      </w:r>
      <w:r>
        <w:rPr>
          <w:szCs w:val="22"/>
        </w:rPr>
        <w:t>’</w:t>
      </w:r>
      <w:r w:rsidRPr="001413C0">
        <w:rPr>
          <w:szCs w:val="22"/>
        </w:rPr>
        <w:t xml:space="preserve"> Train Services output.</w:t>
      </w:r>
    </w:p>
    <w:p w:rsidR="00E25CC6" w:rsidRDefault="00E25CC6" w:rsidP="00BA624E">
      <w:pPr>
        <w:pStyle w:val="Heading5"/>
      </w:pPr>
      <w:r>
        <w:t>Improvements to the N</w:t>
      </w:r>
      <w:r w:rsidRPr="00396F73">
        <w:t>orth</w:t>
      </w:r>
      <w:r>
        <w:noBreakHyphen/>
        <w:t>E</w:t>
      </w:r>
      <w:r w:rsidRPr="00396F73">
        <w:t xml:space="preserve">ast </w:t>
      </w:r>
      <w:r>
        <w:t>L</w:t>
      </w:r>
      <w:r w:rsidRPr="00396F73">
        <w:t xml:space="preserve">ine </w:t>
      </w:r>
    </w:p>
    <w:p w:rsidR="00E25CC6" w:rsidRDefault="00E25CC6" w:rsidP="00BA624E">
      <w:r>
        <w:t xml:space="preserve">Regional train carriages on the Albury line will be </w:t>
      </w:r>
      <w:r w:rsidRPr="007B2933">
        <w:t>refurbish</w:t>
      </w:r>
      <w:r>
        <w:t>ed and existing regional trains will be</w:t>
      </w:r>
      <w:r w:rsidRPr="007B2933">
        <w:t xml:space="preserve"> reconfigure</w:t>
      </w:r>
      <w:r>
        <w:t>d</w:t>
      </w:r>
      <w:r w:rsidRPr="007B2933">
        <w:t xml:space="preserve"> to free up fleet for rolling maintenance and to maintain service continuity.</w:t>
      </w:r>
    </w:p>
    <w:p w:rsidR="00E25CC6" w:rsidRPr="000F212A" w:rsidRDefault="00E25CC6" w:rsidP="00BA624E">
      <w:r w:rsidRPr="001413C0">
        <w:rPr>
          <w:szCs w:val="22"/>
        </w:rPr>
        <w:t>This initiative contributes to the Department of Economic Development, Jobs, Transport and Resources</w:t>
      </w:r>
      <w:r>
        <w:rPr>
          <w:szCs w:val="22"/>
        </w:rPr>
        <w:t>’</w:t>
      </w:r>
      <w:r w:rsidRPr="001413C0">
        <w:rPr>
          <w:szCs w:val="22"/>
        </w:rPr>
        <w:t xml:space="preserve"> Train Services output.</w:t>
      </w:r>
    </w:p>
    <w:p w:rsidR="00E25CC6" w:rsidRPr="00156074" w:rsidRDefault="00E25CC6" w:rsidP="00BA624E">
      <w:pPr>
        <w:pStyle w:val="Heading5"/>
      </w:pPr>
      <w:r w:rsidRPr="00156074">
        <w:t>Major periodic maintenance</w:t>
      </w:r>
    </w:p>
    <w:p w:rsidR="00E25CC6" w:rsidRPr="0045748B" w:rsidRDefault="00E25CC6" w:rsidP="00BA624E">
      <w:r>
        <w:t>R</w:t>
      </w:r>
      <w:r w:rsidRPr="0045748B">
        <w:t xml:space="preserve">equired maintenance works </w:t>
      </w:r>
      <w:r>
        <w:t xml:space="preserve">will be undertaken </w:t>
      </w:r>
      <w:r w:rsidRPr="0045748B">
        <w:t xml:space="preserve">to address immediate </w:t>
      </w:r>
      <w:r>
        <w:t>level crossing safety improvements</w:t>
      </w:r>
      <w:r w:rsidRPr="0045748B">
        <w:t xml:space="preserve"> and planned major periodic maintenance to prevent deterioration of the network. This will support train punctuality and reliability </w:t>
      </w:r>
      <w:r>
        <w:t>of</w:t>
      </w:r>
      <w:r w:rsidRPr="0045748B">
        <w:t xml:space="preserve"> regional passenger services and improved availability for the rail freight network.</w:t>
      </w:r>
    </w:p>
    <w:p w:rsidR="00E25CC6" w:rsidRPr="0045748B" w:rsidRDefault="00E25CC6" w:rsidP="00BA624E">
      <w:r w:rsidRPr="0045748B">
        <w:t>This initiative contributes to the Department of Economic Development,</w:t>
      </w:r>
      <w:r>
        <w:t xml:space="preserve"> Jobs, Transport and Resources’ Train Services output.</w:t>
      </w:r>
    </w:p>
    <w:p w:rsidR="00E25CC6" w:rsidRPr="00156074" w:rsidRDefault="00E25CC6" w:rsidP="009C6E3F">
      <w:pPr>
        <w:pStyle w:val="Heading5"/>
      </w:pPr>
      <w:r>
        <w:t>More regional trains</w:t>
      </w:r>
    </w:p>
    <w:p w:rsidR="00E25CC6" w:rsidRDefault="00E25CC6" w:rsidP="009C6E3F">
      <w:pPr>
        <w:pStyle w:val="Default"/>
        <w:spacing w:after="120"/>
        <w:rPr>
          <w:sz w:val="22"/>
          <w:szCs w:val="22"/>
        </w:rPr>
      </w:pPr>
      <w:r>
        <w:rPr>
          <w:sz w:val="22"/>
          <w:szCs w:val="22"/>
        </w:rPr>
        <w:t>The Government will purchase 27 new VLocity carriages to meet demand on the regional network.</w:t>
      </w:r>
    </w:p>
    <w:p w:rsidR="00E25CC6" w:rsidRPr="009C6E3F" w:rsidRDefault="00E25CC6" w:rsidP="009C6E3F">
      <w:pPr>
        <w:pStyle w:val="Default"/>
        <w:spacing w:after="120"/>
        <w:rPr>
          <w:sz w:val="22"/>
          <w:szCs w:val="22"/>
        </w:rPr>
      </w:pPr>
      <w:r w:rsidRPr="00396F73">
        <w:rPr>
          <w:sz w:val="22"/>
          <w:szCs w:val="22"/>
        </w:rPr>
        <w:t>This initiative contributes to the Department of Economic Development, Jobs, Transport and Resources</w:t>
      </w:r>
      <w:r>
        <w:rPr>
          <w:sz w:val="22"/>
          <w:szCs w:val="22"/>
        </w:rPr>
        <w:t>’</w:t>
      </w:r>
      <w:r w:rsidRPr="00396F73">
        <w:rPr>
          <w:sz w:val="22"/>
          <w:szCs w:val="22"/>
        </w:rPr>
        <w:t xml:space="preserve"> Train Services output.</w:t>
      </w:r>
    </w:p>
    <w:p w:rsidR="00E25CC6" w:rsidRPr="00156074" w:rsidRDefault="00E25CC6" w:rsidP="00BA624E">
      <w:pPr>
        <w:pStyle w:val="Heading5"/>
      </w:pPr>
      <w:r w:rsidRPr="00156074">
        <w:t>New services to Armstrong Creek</w:t>
      </w:r>
    </w:p>
    <w:p w:rsidR="00E25CC6" w:rsidRDefault="00E25CC6" w:rsidP="00BA624E">
      <w:r w:rsidRPr="0066343C">
        <w:t xml:space="preserve">Detailed planning will be undertaken to determine service options for the Armstrong Creek growth corridor to improve public transport access and connections, and consider </w:t>
      </w:r>
      <w:r>
        <w:t>short</w:t>
      </w:r>
      <w:r>
        <w:noBreakHyphen/>
        <w:t>term</w:t>
      </w:r>
      <w:r w:rsidRPr="0066343C">
        <w:t xml:space="preserve"> investments in bus services and infrastructure.</w:t>
      </w:r>
    </w:p>
    <w:p w:rsidR="00E25CC6" w:rsidRPr="00312930" w:rsidRDefault="00E25CC6" w:rsidP="00312930">
      <w:r w:rsidRPr="00156074">
        <w:t>This initiative contributes to the Department of Economic Development, Jobs, Transport and Re</w:t>
      </w:r>
      <w:r>
        <w:t>sources’ Train Services output.</w:t>
      </w:r>
    </w:p>
    <w:p w:rsidR="00E25CC6" w:rsidRPr="00156074" w:rsidRDefault="00E25CC6" w:rsidP="00BA624E">
      <w:pPr>
        <w:pStyle w:val="Heading5"/>
      </w:pPr>
      <w:r w:rsidRPr="00156074">
        <w:t>Next generation regional train</w:t>
      </w:r>
      <w:r>
        <w:t xml:space="preserve"> – </w:t>
      </w:r>
      <w:r w:rsidRPr="00156074">
        <w:t>development funding</w:t>
      </w:r>
    </w:p>
    <w:p w:rsidR="00E25CC6" w:rsidRDefault="00E25CC6" w:rsidP="00BA624E">
      <w:r>
        <w:t xml:space="preserve">Project development activities will be undertaken to support the future acquisition of high capacity next generation regional trains. These trains will allow for the progressive retirement of the current ‘Classic fleet’ of locomotives and carriages. The initiative will investigate different trains, operating models, procurement strategies and commissioning schedules. </w:t>
      </w:r>
    </w:p>
    <w:p w:rsidR="00E25CC6" w:rsidRDefault="00E25CC6" w:rsidP="00BA624E">
      <w:r w:rsidRPr="00AF5941">
        <w:t>This initiative contributes to the Department of Economic Development, Jobs, Transport and Resources</w:t>
      </w:r>
      <w:r>
        <w:t>’</w:t>
      </w:r>
      <w:r w:rsidRPr="00AF5941">
        <w:t xml:space="preserve"> Train Services output.</w:t>
      </w:r>
    </w:p>
    <w:p w:rsidR="00E25CC6" w:rsidRPr="00F92795" w:rsidRDefault="00E25CC6" w:rsidP="00BA624E">
      <w:pPr>
        <w:pStyle w:val="Heading5"/>
      </w:pPr>
      <w:r w:rsidRPr="00F92795">
        <w:t xml:space="preserve">Track duplication between South Geelong and Waurn Ponds </w:t>
      </w:r>
      <w:r>
        <w:t>planning</w:t>
      </w:r>
    </w:p>
    <w:p w:rsidR="00E25CC6" w:rsidRDefault="00E25CC6" w:rsidP="00BA624E">
      <w:r w:rsidRPr="0066343C">
        <w:t xml:space="preserve">Planning will commence to </w:t>
      </w:r>
      <w:r>
        <w:t>consider the duplication of</w:t>
      </w:r>
      <w:r w:rsidRPr="0066343C">
        <w:t xml:space="preserve"> the track from South Geelong to the Barwon River and from the Barwon River to Waurn Ponds.</w:t>
      </w:r>
    </w:p>
    <w:p w:rsidR="00E25CC6" w:rsidRPr="001413C0" w:rsidRDefault="00E25CC6" w:rsidP="00BA624E">
      <w:r w:rsidRPr="001413C0">
        <w:t>This initiative contributes to the Department of Economic Development, Jobs, Transport and Resources</w:t>
      </w:r>
      <w:r>
        <w:t>’</w:t>
      </w:r>
      <w:r w:rsidRPr="001413C0">
        <w:t xml:space="preserve"> Train Services output.</w:t>
      </w:r>
    </w:p>
    <w:p w:rsidR="00E25CC6" w:rsidRPr="00156074" w:rsidRDefault="00E25CC6" w:rsidP="00CA51EE">
      <w:pPr>
        <w:pStyle w:val="Heading5"/>
      </w:pPr>
      <w:r>
        <w:t xml:space="preserve">Upfield, </w:t>
      </w:r>
      <w:r w:rsidRPr="00156074">
        <w:t xml:space="preserve">Somerton and Wallan </w:t>
      </w:r>
      <w:r>
        <w:t>enhancement planning</w:t>
      </w:r>
    </w:p>
    <w:p w:rsidR="00E25CC6" w:rsidRDefault="00E25CC6" w:rsidP="00CA51EE">
      <w:r>
        <w:t>Planning will be carried out for infrastructure upgrades between Upfield and Somerton to support new services to Wallan.</w:t>
      </w:r>
      <w:bookmarkEnd w:id="24"/>
      <w:r>
        <w:fldChar w:fldCharType="begin"/>
      </w:r>
      <w:r>
        <w:instrText xml:space="preserve"> XE "</w:instrText>
      </w:r>
      <w:r w:rsidRPr="001774C7">
        <w:instrText>Department of Economic Development, Jobs, Transport and Resources:Public transport</w:instrText>
      </w:r>
      <w:r>
        <w:instrText xml:space="preserve">" \r "DEDJTR_PubTrans2" </w:instrText>
      </w:r>
      <w:r>
        <w:fldChar w:fldCharType="end"/>
      </w:r>
      <w:r>
        <w:t xml:space="preserve"> .</w:t>
      </w:r>
      <w:r>
        <w:fldChar w:fldCharType="begin"/>
      </w:r>
      <w:r>
        <w:instrText xml:space="preserve"> XE "</w:instrText>
      </w:r>
      <w:r w:rsidRPr="001774C7">
        <w:instrText>Department of Economic Development, Jobs, Transport and Resources:</w:instrText>
      </w:r>
      <w:r>
        <w:instrText xml:space="preserve">Rail" \r "DEDJTR_PubTrans2" </w:instrText>
      </w:r>
      <w:r>
        <w:fldChar w:fldCharType="end"/>
      </w:r>
    </w:p>
    <w:p w:rsidR="00E25CC6" w:rsidRPr="00481F6A" w:rsidRDefault="00E25CC6" w:rsidP="00CA51EE">
      <w:pPr>
        <w:rPr>
          <w:szCs w:val="22"/>
        </w:rPr>
      </w:pPr>
      <w:r w:rsidRPr="00481F6A">
        <w:rPr>
          <w:szCs w:val="22"/>
        </w:rPr>
        <w:t>This initiative contributes to the Department of Economic Development, Jobs, Transport and Resources</w:t>
      </w:r>
      <w:r>
        <w:rPr>
          <w:szCs w:val="22"/>
        </w:rPr>
        <w:t>’</w:t>
      </w:r>
      <w:r w:rsidRPr="00481F6A">
        <w:rPr>
          <w:szCs w:val="22"/>
        </w:rPr>
        <w:t xml:space="preserve"> Train Services output.</w:t>
      </w:r>
      <w:r>
        <w:rPr>
          <w:szCs w:val="22"/>
        </w:rPr>
        <w:fldChar w:fldCharType="begin"/>
      </w:r>
      <w:r>
        <w:instrText xml:space="preserve"> XE "</w:instrText>
      </w:r>
      <w:r w:rsidRPr="008B3D6D">
        <w:rPr>
          <w:rFonts w:eastAsiaTheme="minorHAnsi"/>
        </w:rPr>
        <w:instrText>Department of Economic Development, Jobs, Transport and Resources:</w:instrText>
      </w:r>
      <w:r w:rsidRPr="008B3D6D">
        <w:instrText>Transport Network Safety, Operation and Development</w:instrText>
      </w:r>
      <w:r>
        <w:instrText xml:space="preserve">" \r "DEDJTR_TransNetChap1b" </w:instrText>
      </w:r>
      <w:r>
        <w:rPr>
          <w:szCs w:val="22"/>
        </w:rPr>
        <w:fldChar w:fldCharType="end"/>
      </w:r>
    </w:p>
    <w:bookmarkEnd w:id="22"/>
    <w:p w:rsidR="00E25CC6" w:rsidRDefault="00E25CC6">
      <w:pPr>
        <w:spacing w:after="0"/>
        <w:rPr>
          <w:rFonts w:ascii="Calibri" w:eastAsiaTheme="minorHAnsi" w:hAnsi="Calibri"/>
          <w:b/>
          <w:caps/>
          <w:sz w:val="26"/>
          <w:szCs w:val="22"/>
        </w:rPr>
      </w:pPr>
      <w:r>
        <w:rPr>
          <w:rFonts w:eastAsiaTheme="minorHAnsi"/>
        </w:rPr>
        <w:br w:type="page"/>
      </w:r>
    </w:p>
    <w:p w:rsidR="00E25CC6" w:rsidRPr="0096129B" w:rsidRDefault="00E25CC6" w:rsidP="0096129B">
      <w:pPr>
        <w:pStyle w:val="Heading1"/>
        <w:rPr>
          <w:rFonts w:eastAsiaTheme="minorHAnsi"/>
        </w:rPr>
      </w:pPr>
      <w:bookmarkStart w:id="25" w:name="_Toc449109427"/>
      <w:r w:rsidRPr="0096129B">
        <w:rPr>
          <w:rFonts w:eastAsiaTheme="minorHAnsi"/>
        </w:rPr>
        <w:t>Department of Education and Training</w:t>
      </w:r>
      <w:bookmarkEnd w:id="25"/>
    </w:p>
    <w:p w:rsidR="00E25CC6" w:rsidRDefault="00E25CC6" w:rsidP="00500A53">
      <w:pPr>
        <w:pStyle w:val="Heading3"/>
        <w:rPr>
          <w:rFonts w:eastAsiaTheme="minorHAnsi"/>
        </w:rPr>
      </w:pPr>
      <w:r w:rsidRPr="00500A53">
        <w:rPr>
          <w:rFonts w:eastAsiaTheme="minorHAnsi"/>
        </w:rPr>
        <w:t>Output initiatives</w:t>
      </w:r>
    </w:p>
    <w:p w:rsidR="00E25CC6" w:rsidRPr="00341B58" w:rsidRDefault="00E25CC6" w:rsidP="00341B58">
      <w:pPr>
        <w:pStyle w:val="Tableheading"/>
      </w:pPr>
      <w:r>
        <w:t>Table 1.14:</w:t>
      </w:r>
      <w:r>
        <w:tab/>
        <w:t xml:space="preserve">Output initiatives – Department of Education and Training </w:t>
      </w:r>
    </w:p>
    <w:p w:rsidR="00E25CC6" w:rsidRDefault="00E25CC6" w:rsidP="001101B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23"/>
        <w:gridCol w:w="850"/>
        <w:gridCol w:w="851"/>
        <w:gridCol w:w="850"/>
        <w:gridCol w:w="276"/>
        <w:gridCol w:w="283"/>
        <w:gridCol w:w="283"/>
        <w:gridCol w:w="9"/>
        <w:gridCol w:w="274"/>
        <w:gridCol w:w="283"/>
        <w:gridCol w:w="283"/>
        <w:gridCol w:w="11"/>
      </w:tblGrid>
      <w:tr w:rsidR="00E25CC6" w:rsidRPr="001101B0" w:rsidTr="003D1D8A">
        <w:trPr>
          <w:cantSplit/>
        </w:trPr>
        <w:tc>
          <w:tcPr>
            <w:tcW w:w="3523"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1101B0">
            <w:pPr>
              <w:pStyle w:val="Tabletext"/>
              <w:rPr>
                <w:rFonts w:eastAsiaTheme="minorEastAsia"/>
                <w:lang w:eastAsia="en-AU"/>
              </w:rPr>
            </w:pPr>
            <w:r w:rsidRPr="001101B0">
              <w:rPr>
                <w:rFonts w:eastAsiaTheme="minorEastAsia"/>
                <w:lang w:eastAsia="en-AU"/>
              </w:rPr>
              <w:t xml:space="preserve"> </w:t>
            </w:r>
          </w:p>
        </w:tc>
        <w:tc>
          <w:tcPr>
            <w:tcW w:w="850"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51"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50"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51" w:type="dxa"/>
            <w:gridSpan w:val="4"/>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51" w:type="dxa"/>
            <w:gridSpan w:val="4"/>
            <w:tcBorders>
              <w:top w:val="single" w:sz="4" w:space="0" w:color="auto"/>
              <w:left w:val="nil"/>
              <w:bottom w:val="single" w:sz="4" w:space="0" w:color="auto"/>
              <w:right w:val="single" w:sz="4" w:space="0" w:color="auto"/>
            </w:tcBorders>
            <w:shd w:val="clear" w:color="auto" w:fill="000000"/>
          </w:tcPr>
          <w:p w:rsidR="00E25CC6" w:rsidRPr="001101B0" w:rsidRDefault="00E25CC6" w:rsidP="001101B0">
            <w:pPr>
              <w:pStyle w:val="Tabletextheading"/>
              <w:rPr>
                <w:rFonts w:eastAsiaTheme="minorEastAsia" w:cs="Calibri"/>
                <w:iCs/>
                <w:sz w:val="19"/>
                <w:szCs w:val="19"/>
                <w:lang w:eastAsia="en-AU"/>
              </w:rPr>
            </w:pPr>
            <w:r w:rsidRPr="001101B0">
              <w:rPr>
                <w:rFonts w:eastAsiaTheme="minorEastAsia" w:cs="Calibri"/>
                <w:iCs/>
                <w:sz w:val="19"/>
                <w:szCs w:val="19"/>
                <w:lang w:eastAsia="en-AU"/>
              </w:rPr>
              <w:t>2019</w:t>
            </w:r>
            <w:r>
              <w:rPr>
                <w:rFonts w:eastAsiaTheme="minorEastAsia" w:cs="Calibri"/>
                <w:iCs/>
                <w:sz w:val="19"/>
                <w:szCs w:val="19"/>
                <w:lang w:eastAsia="en-AU"/>
              </w:rPr>
              <w:noBreakHyphen/>
            </w:r>
            <w:r w:rsidRPr="001101B0">
              <w:rPr>
                <w:rFonts w:eastAsiaTheme="minorEastAsia" w:cs="Calibri"/>
                <w:iCs/>
                <w:sz w:val="19"/>
                <w:szCs w:val="19"/>
                <w:lang w:eastAsia="en-AU"/>
              </w:rPr>
              <w:t>20</w:t>
            </w:r>
          </w:p>
        </w:tc>
      </w:tr>
      <w:tr w:rsidR="00E25CC6" w:rsidRPr="001101B0" w:rsidTr="003D1D8A">
        <w:trPr>
          <w:cantSplit/>
        </w:trPr>
        <w:tc>
          <w:tcPr>
            <w:tcW w:w="3523" w:type="dxa"/>
            <w:tcBorders>
              <w:top w:val="single" w:sz="4" w:space="0" w:color="auto"/>
              <w:left w:val="nil"/>
              <w:bottom w:val="nil"/>
              <w:right w:val="nil"/>
            </w:tcBorders>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Early childhood development</w:t>
            </w:r>
          </w:p>
        </w:tc>
        <w:tc>
          <w:tcPr>
            <w:tcW w:w="850"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1"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0"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1" w:type="dxa"/>
            <w:gridSpan w:val="4"/>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1" w:type="dxa"/>
            <w:gridSpan w:val="4"/>
            <w:tcBorders>
              <w:top w:val="single" w:sz="4" w:space="0" w:color="auto"/>
              <w:left w:val="nil"/>
              <w:bottom w:val="nil"/>
              <w:right w:val="nil"/>
            </w:tcBorders>
            <w:shd w:val="solid" w:color="FFFFFF" w:fill="auto"/>
          </w:tcPr>
          <w:p w:rsidR="00E25CC6" w:rsidRPr="001101B0" w:rsidRDefault="00E25CC6" w:rsidP="001101B0">
            <w:pPr>
              <w:autoSpaceDE w:val="0"/>
              <w:autoSpaceDN w:val="0"/>
              <w:adjustRightInd w:val="0"/>
              <w:spacing w:after="0"/>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w:t>
            </w:r>
          </w:p>
        </w:tc>
      </w:tr>
      <w:tr w:rsidR="00E25CC6" w:rsidRPr="001101B0" w:rsidTr="003D1D8A">
        <w:trPr>
          <w:cantSplit/>
        </w:trPr>
        <w:tc>
          <w:tcPr>
            <w:tcW w:w="3523"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Maintain financial viability of small rural kinders</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1.1</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1.1</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1.1</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1.1</w:t>
            </w:r>
          </w:p>
        </w:tc>
      </w:tr>
      <w:tr w:rsidR="00E25CC6" w:rsidRPr="001101B0" w:rsidTr="003D1D8A">
        <w:trPr>
          <w:cantSplit/>
        </w:trPr>
        <w:tc>
          <w:tcPr>
            <w:tcW w:w="3523"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Maintaining the essential Maternal and Child Health Service</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31.9</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33.0</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33.5</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34.6</w:t>
            </w:r>
          </w:p>
        </w:tc>
      </w:tr>
      <w:tr w:rsidR="00E25CC6" w:rsidRPr="001101B0" w:rsidTr="003D1D8A">
        <w:trPr>
          <w:cantSplit/>
        </w:trPr>
        <w:tc>
          <w:tcPr>
            <w:tcW w:w="3523"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National Occasional Care Programme</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1.4</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0.5</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w:t>
            </w:r>
          </w:p>
        </w:tc>
      </w:tr>
      <w:tr w:rsidR="00E25CC6" w:rsidRPr="001101B0" w:rsidTr="003D1D8A">
        <w:trPr>
          <w:cantSplit/>
        </w:trPr>
        <w:tc>
          <w:tcPr>
            <w:tcW w:w="3523"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New kindergartens in growth suburbs</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School Education</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Doctors in schools</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2.9</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9.0</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13.5</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0.4</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School Building Authority</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7.2</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7.2</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7.2</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Teacher Notebook Program</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2.7</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25.9</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17.1</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5.9</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23.9</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Tech Schools Program</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23.7</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13.3</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8.0</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8.2</w:t>
            </w:r>
          </w:p>
        </w:tc>
      </w:tr>
      <w:tr w:rsidR="00E25CC6" w:rsidRPr="001101B0" w:rsidTr="003D1D8A">
        <w:trPr>
          <w:cantSplit/>
        </w:trPr>
        <w:tc>
          <w:tcPr>
            <w:tcW w:w="3523"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Vocational and workplace learning initiatives</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6.0</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5.1</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5.1</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5.1</w:t>
            </w:r>
          </w:p>
        </w:tc>
      </w:tr>
      <w:tr w:rsidR="00E25CC6" w:rsidRPr="001101B0" w:rsidTr="003D1D8A">
        <w:trPr>
          <w:gridAfter w:val="1"/>
          <w:wAfter w:w="11" w:type="dxa"/>
          <w:cantSplit/>
        </w:trPr>
        <w:tc>
          <w:tcPr>
            <w:tcW w:w="6350" w:type="dxa"/>
            <w:gridSpan w:val="5"/>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Training, Higher Education, Workforce Development and Skills</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gridSpan w:val="2"/>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autoSpaceDE w:val="0"/>
              <w:autoSpaceDN w:val="0"/>
              <w:adjustRightInd w:val="0"/>
              <w:spacing w:after="0"/>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Back to Work</w:t>
            </w:r>
            <w:r>
              <w:rPr>
                <w:rFonts w:eastAsiaTheme="minorEastAsia"/>
                <w:color w:val="000000"/>
                <w:lang w:eastAsia="en-AU"/>
              </w:rPr>
              <w:t xml:space="preserve"> – </w:t>
            </w:r>
            <w:r w:rsidRPr="001101B0">
              <w:rPr>
                <w:rFonts w:eastAsiaTheme="minorEastAsia"/>
                <w:color w:val="000000"/>
                <w:lang w:eastAsia="en-AU"/>
              </w:rPr>
              <w:t>Reconnect</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10.0</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10.0</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Monash University Alexander Theatre redevelopment</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4.0</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6.0</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Plumbing Industry Climate Action Centre Development</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2.5</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2.5</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w:t>
            </w:r>
          </w:p>
        </w:tc>
      </w:tr>
      <w:tr w:rsidR="00E25CC6" w:rsidRPr="001101B0" w:rsidTr="003D1D8A">
        <w:trPr>
          <w:cantSplit/>
        </w:trPr>
        <w:tc>
          <w:tcPr>
            <w:tcW w:w="3523"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Supporting Victoria</w:t>
            </w:r>
            <w:r>
              <w:rPr>
                <w:rFonts w:eastAsiaTheme="minorEastAsia"/>
                <w:color w:val="000000"/>
                <w:lang w:eastAsia="en-AU"/>
              </w:rPr>
              <w:t>’</w:t>
            </w:r>
            <w:r w:rsidRPr="001101B0">
              <w:rPr>
                <w:rFonts w:eastAsiaTheme="minorEastAsia"/>
                <w:color w:val="000000"/>
                <w:lang w:eastAsia="en-AU"/>
              </w:rPr>
              <w:t>s Industry Advisory Bodies</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1"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3.5</w:t>
            </w:r>
          </w:p>
        </w:tc>
        <w:tc>
          <w:tcPr>
            <w:tcW w:w="850"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3.5</w:t>
            </w:r>
          </w:p>
        </w:tc>
        <w:tc>
          <w:tcPr>
            <w:tcW w:w="851"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3.5</w:t>
            </w:r>
          </w:p>
        </w:tc>
        <w:tc>
          <w:tcPr>
            <w:tcW w:w="85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19"/>
                <w:szCs w:val="19"/>
                <w:lang w:eastAsia="en-AU"/>
              </w:rPr>
            </w:pPr>
            <w:r w:rsidRPr="001101B0">
              <w:rPr>
                <w:rFonts w:ascii="Calibri" w:eastAsiaTheme="minorEastAsia" w:hAnsi="Calibri" w:cs="Calibri"/>
                <w:color w:val="000000"/>
                <w:sz w:val="19"/>
                <w:szCs w:val="19"/>
                <w:lang w:eastAsia="en-AU"/>
              </w:rPr>
              <w:t xml:space="preserve"> 3.5</w:t>
            </w:r>
          </w:p>
        </w:tc>
      </w:tr>
      <w:tr w:rsidR="00E25CC6" w:rsidRPr="001101B0" w:rsidTr="003D1D8A">
        <w:trPr>
          <w:cantSplit/>
        </w:trPr>
        <w:tc>
          <w:tcPr>
            <w:tcW w:w="3523"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text"/>
              <w:rPr>
                <w:rFonts w:eastAsiaTheme="minorEastAsia"/>
                <w:b/>
                <w:bCs/>
                <w:color w:val="000000"/>
                <w:vertAlign w:val="superscript"/>
                <w:lang w:eastAsia="en-AU"/>
              </w:rPr>
            </w:pPr>
            <w:r w:rsidRPr="001101B0">
              <w:rPr>
                <w:rFonts w:eastAsiaTheme="minorEastAsia"/>
                <w:b/>
                <w:bCs/>
                <w:color w:val="000000"/>
                <w:lang w:eastAsia="en-AU"/>
              </w:rPr>
              <w:t xml:space="preserve">Total output initiatives </w:t>
            </w:r>
            <w:r w:rsidRPr="001101B0">
              <w:rPr>
                <w:rFonts w:eastAsiaTheme="minorEastAsia"/>
                <w:b/>
                <w:bCs/>
                <w:color w:val="000000"/>
                <w:vertAlign w:val="superscript"/>
                <w:lang w:eastAsia="en-AU"/>
              </w:rPr>
              <w:t>(a)</w:t>
            </w:r>
          </w:p>
        </w:tc>
        <w:tc>
          <w:tcPr>
            <w:tcW w:w="850"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14.1</w:t>
            </w:r>
          </w:p>
        </w:tc>
        <w:tc>
          <w:tcPr>
            <w:tcW w:w="851"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122.4</w:t>
            </w:r>
          </w:p>
        </w:tc>
        <w:tc>
          <w:tcPr>
            <w:tcW w:w="850"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103.7</w:t>
            </w:r>
          </w:p>
        </w:tc>
        <w:tc>
          <w:tcPr>
            <w:tcW w:w="851" w:type="dxa"/>
            <w:gridSpan w:val="4"/>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78.3</w:t>
            </w:r>
          </w:p>
        </w:tc>
        <w:tc>
          <w:tcPr>
            <w:tcW w:w="851" w:type="dxa"/>
            <w:gridSpan w:val="4"/>
            <w:tcBorders>
              <w:top w:val="single" w:sz="6" w:space="0" w:color="auto"/>
              <w:left w:val="nil"/>
              <w:bottom w:val="single" w:sz="12" w:space="0" w:color="auto"/>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b/>
                <w:bCs/>
                <w:color w:val="000000"/>
                <w:sz w:val="19"/>
                <w:szCs w:val="19"/>
                <w:lang w:eastAsia="en-AU"/>
              </w:rPr>
            </w:pPr>
            <w:r w:rsidRPr="001101B0">
              <w:rPr>
                <w:rFonts w:ascii="Calibri" w:eastAsiaTheme="minorEastAsia" w:hAnsi="Calibri" w:cs="Calibri"/>
                <w:b/>
                <w:bCs/>
                <w:color w:val="000000"/>
                <w:sz w:val="19"/>
                <w:szCs w:val="19"/>
                <w:lang w:eastAsia="en-AU"/>
              </w:rPr>
              <w:t xml:space="preserve"> 84.1</w:t>
            </w:r>
          </w:p>
        </w:tc>
      </w:tr>
    </w:tbl>
    <w:p w:rsidR="00E25CC6" w:rsidRDefault="00E25CC6" w:rsidP="00566998">
      <w:pPr>
        <w:pStyle w:val="Source"/>
      </w:pPr>
      <w:r>
        <w:t>Source: Department of Treasury and Finance</w:t>
      </w:r>
      <w:r>
        <w:fldChar w:fldCharType="begin"/>
      </w:r>
      <w:r>
        <w:instrText xml:space="preserve"> XE "</w:instrText>
      </w:r>
      <w:r w:rsidRPr="00AD723C">
        <w:instrText>Department of Education and Training:Output initiatives</w:instrText>
      </w:r>
      <w:r>
        <w:instrText xml:space="preserve">" </w:instrText>
      </w:r>
      <w:r>
        <w:fldChar w:fldCharType="end"/>
      </w:r>
    </w:p>
    <w:p w:rsidR="00E25CC6" w:rsidRDefault="00E25CC6" w:rsidP="00566998">
      <w:pPr>
        <w:pStyle w:val="Notes"/>
      </w:pPr>
      <w:r>
        <w:t>Note:</w:t>
      </w:r>
    </w:p>
    <w:p w:rsidR="00E25CC6" w:rsidRDefault="00E25CC6" w:rsidP="00566998">
      <w:pPr>
        <w:pStyle w:val="Notes"/>
      </w:pPr>
      <w:r>
        <w:t>(a)</w:t>
      </w:r>
      <w:r>
        <w:tab/>
        <w:t xml:space="preserve">Tables may not add due to rounding. </w:t>
      </w:r>
    </w:p>
    <w:p w:rsidR="00E25CC6" w:rsidRPr="00CD63A7" w:rsidRDefault="00E25CC6" w:rsidP="00566998">
      <w:pPr>
        <w:pStyle w:val="Notes"/>
      </w:pPr>
    </w:p>
    <w:p w:rsidR="00E25CC6" w:rsidRPr="00BF1480" w:rsidRDefault="00E25CC6" w:rsidP="00BF1480">
      <w:pPr>
        <w:pStyle w:val="Heading4"/>
        <w:rPr>
          <w:rFonts w:eastAsiaTheme="minorHAnsi"/>
        </w:rPr>
      </w:pPr>
      <w:r w:rsidRPr="00BF1480">
        <w:rPr>
          <w:rFonts w:eastAsiaTheme="minorHAnsi"/>
        </w:rPr>
        <w:t>Early childhood development</w:t>
      </w:r>
    </w:p>
    <w:p w:rsidR="00E25CC6" w:rsidRPr="005010F3" w:rsidRDefault="00E25CC6" w:rsidP="00B10C9F">
      <w:pPr>
        <w:pStyle w:val="Heading5"/>
        <w:rPr>
          <w:rFonts w:eastAsiaTheme="minorHAnsi"/>
        </w:rPr>
      </w:pPr>
      <w:bookmarkStart w:id="26" w:name="DET_EarlyChildDevelopChap1"/>
      <w:r w:rsidRPr="005010F3">
        <w:rPr>
          <w:rFonts w:eastAsiaTheme="minorHAnsi"/>
        </w:rPr>
        <w:t>Maintain financial viability of small rural kinders</w:t>
      </w:r>
    </w:p>
    <w:p w:rsidR="00E25CC6" w:rsidRPr="000D2E70" w:rsidRDefault="00E25CC6" w:rsidP="00B10C9F">
      <w:pPr>
        <w:rPr>
          <w:rFonts w:eastAsiaTheme="minorHAnsi"/>
        </w:rPr>
      </w:pPr>
      <w:r w:rsidRPr="000D2E70">
        <w:rPr>
          <w:rFonts w:eastAsiaTheme="minorHAnsi"/>
        </w:rPr>
        <w:t>Additional support will be provided to small rural kindergartens across the State.</w:t>
      </w:r>
    </w:p>
    <w:p w:rsidR="00E25CC6" w:rsidRPr="000D2E70" w:rsidRDefault="00E25CC6" w:rsidP="00B10C9F">
      <w:pPr>
        <w:rPr>
          <w:rFonts w:eastAsiaTheme="minorHAnsi"/>
        </w:rPr>
      </w:pPr>
      <w:r w:rsidRPr="000D2E70">
        <w:rPr>
          <w:rFonts w:eastAsiaTheme="minorHAnsi"/>
        </w:rPr>
        <w:t>This initiative contributes to the Department of Education and Training</w:t>
      </w:r>
      <w:r>
        <w:rPr>
          <w:rFonts w:eastAsiaTheme="minorHAnsi"/>
        </w:rPr>
        <w:t>’</w:t>
      </w:r>
      <w:r w:rsidRPr="000D2E70">
        <w:rPr>
          <w:rFonts w:eastAsiaTheme="minorHAnsi"/>
        </w:rPr>
        <w:t>s Early Childhood Development output.</w:t>
      </w:r>
      <w:r w:rsidRPr="003E6F5A">
        <w:t xml:space="preserve"> </w:t>
      </w:r>
      <w:r>
        <w:t>.</w:t>
      </w:r>
      <w:r>
        <w:fldChar w:fldCharType="begin"/>
      </w:r>
      <w:r>
        <w:instrText xml:space="preserve"> XE "</w:instrText>
      </w:r>
      <w:r w:rsidRPr="00873D1A">
        <w:instrText>Regional and Rural Victoria Services</w:instrText>
      </w:r>
      <w:r>
        <w:instrText xml:space="preserve">" </w:instrText>
      </w:r>
      <w:r>
        <w:fldChar w:fldCharType="end"/>
      </w:r>
    </w:p>
    <w:p w:rsidR="00E25CC6" w:rsidRPr="000D2E70" w:rsidRDefault="00E25CC6" w:rsidP="000D2E70">
      <w:pPr>
        <w:pStyle w:val="Heading5"/>
        <w:rPr>
          <w:rFonts w:eastAsiaTheme="minorHAnsi"/>
        </w:rPr>
      </w:pPr>
      <w:r w:rsidRPr="000D2E70">
        <w:rPr>
          <w:rFonts w:eastAsiaTheme="minorHAnsi"/>
        </w:rPr>
        <w:t>Maintaining the essential Maternal and Child Health Service</w:t>
      </w:r>
    </w:p>
    <w:p w:rsidR="00E25CC6" w:rsidRPr="000D2E70" w:rsidRDefault="00E25CC6" w:rsidP="00101C15">
      <w:pPr>
        <w:rPr>
          <w:rFonts w:eastAsiaTheme="minorHAnsi"/>
        </w:rPr>
      </w:pPr>
      <w:r w:rsidRPr="000D2E70">
        <w:rPr>
          <w:rFonts w:eastAsiaTheme="minorHAnsi"/>
        </w:rPr>
        <w:t>Maternal and Child Health services provide advice</w:t>
      </w:r>
      <w:r>
        <w:rPr>
          <w:rFonts w:eastAsiaTheme="minorHAnsi"/>
        </w:rPr>
        <w:t xml:space="preserve">, </w:t>
      </w:r>
      <w:r w:rsidRPr="000D2E70">
        <w:rPr>
          <w:rFonts w:eastAsiaTheme="minorHAnsi"/>
        </w:rPr>
        <w:t xml:space="preserve">support </w:t>
      </w:r>
      <w:r>
        <w:rPr>
          <w:rFonts w:eastAsiaTheme="minorHAnsi"/>
        </w:rPr>
        <w:t xml:space="preserve">and referral for </w:t>
      </w:r>
      <w:r w:rsidRPr="000D2E70">
        <w:rPr>
          <w:rFonts w:eastAsiaTheme="minorHAnsi"/>
        </w:rPr>
        <w:t xml:space="preserve">a range of parenting, child and family health, development and early learning issues. Services are delivered by qualified Maternal and Child Health nurses. </w:t>
      </w:r>
      <w:r>
        <w:rPr>
          <w:rFonts w:eastAsiaTheme="minorHAnsi"/>
        </w:rPr>
        <w:t>These services will be continued to ensure c</w:t>
      </w:r>
      <w:r w:rsidRPr="000D2E70">
        <w:rPr>
          <w:rFonts w:eastAsiaTheme="minorHAnsi"/>
        </w:rPr>
        <w:t xml:space="preserve">hildren and their parents have free access </w:t>
      </w:r>
      <w:r w:rsidRPr="008109F7">
        <w:rPr>
          <w:rFonts w:eastAsiaTheme="minorHAnsi"/>
        </w:rPr>
        <w:t>to the ten Unive</w:t>
      </w:r>
      <w:r>
        <w:rPr>
          <w:rFonts w:eastAsiaTheme="minorHAnsi"/>
        </w:rPr>
        <w:t>rsal Key Ages and Stages visits</w:t>
      </w:r>
      <w:r w:rsidRPr="008109F7">
        <w:rPr>
          <w:rFonts w:eastAsiaTheme="minorHAnsi"/>
        </w:rPr>
        <w:t>.</w:t>
      </w:r>
    </w:p>
    <w:p w:rsidR="00E25CC6" w:rsidRPr="000D2E70" w:rsidRDefault="00E25CC6" w:rsidP="00101C15">
      <w:pPr>
        <w:rPr>
          <w:rFonts w:eastAsiaTheme="minorHAnsi"/>
        </w:rPr>
      </w:pPr>
      <w:r w:rsidRPr="000D2E70">
        <w:rPr>
          <w:rFonts w:eastAsiaTheme="minorHAnsi"/>
        </w:rPr>
        <w:t>This initiative contributes to the Department of Education and Training</w:t>
      </w:r>
      <w:r>
        <w:rPr>
          <w:rFonts w:eastAsiaTheme="minorHAnsi"/>
        </w:rPr>
        <w:t>’</w:t>
      </w:r>
      <w:r w:rsidRPr="000D2E70">
        <w:rPr>
          <w:rFonts w:eastAsiaTheme="minorHAnsi"/>
        </w:rPr>
        <w:t>s Early Childhood Development output.</w:t>
      </w:r>
    </w:p>
    <w:p w:rsidR="00E25CC6" w:rsidRPr="00CA2FA9" w:rsidRDefault="00E25CC6" w:rsidP="00B10C9F">
      <w:pPr>
        <w:pStyle w:val="Heading5"/>
        <w:rPr>
          <w:rFonts w:eastAsiaTheme="minorHAnsi"/>
        </w:rPr>
      </w:pPr>
      <w:r w:rsidRPr="00CA2FA9">
        <w:rPr>
          <w:rFonts w:eastAsiaTheme="minorHAnsi"/>
        </w:rPr>
        <w:t>National Occasional Care Programme</w:t>
      </w:r>
    </w:p>
    <w:p w:rsidR="00E25CC6" w:rsidRPr="00CA2FA9" w:rsidRDefault="00E25CC6" w:rsidP="00B10C9F">
      <w:pPr>
        <w:rPr>
          <w:rFonts w:eastAsiaTheme="minorHAnsi"/>
        </w:rPr>
      </w:pPr>
      <w:r w:rsidRPr="00CA2FA9">
        <w:rPr>
          <w:rFonts w:eastAsiaTheme="minorHAnsi"/>
        </w:rPr>
        <w:t>Occasional care services operating in Victoria will receive support, as part of Victoria</w:t>
      </w:r>
      <w:r>
        <w:rPr>
          <w:rFonts w:eastAsiaTheme="minorHAnsi"/>
        </w:rPr>
        <w:t>’</w:t>
      </w:r>
      <w:r w:rsidRPr="00CA2FA9">
        <w:rPr>
          <w:rFonts w:eastAsiaTheme="minorHAnsi"/>
        </w:rPr>
        <w:t>s contribution to the National Occasional Care (NOC) Programme. The NOC Programme aims to increase access to flexible, seasonal and sessional child care for children from 0</w:t>
      </w:r>
      <w:r>
        <w:rPr>
          <w:rFonts w:eastAsiaTheme="minorHAnsi"/>
        </w:rPr>
        <w:noBreakHyphen/>
      </w:r>
      <w:r w:rsidRPr="00CA2FA9">
        <w:rPr>
          <w:rFonts w:eastAsiaTheme="minorHAnsi"/>
        </w:rPr>
        <w:t xml:space="preserve">5 years of age, particularly for families in rural, regional and remote areas. </w:t>
      </w:r>
    </w:p>
    <w:p w:rsidR="00E25CC6" w:rsidRPr="00CA2FA9" w:rsidRDefault="00E25CC6" w:rsidP="00B10C9F">
      <w:pPr>
        <w:rPr>
          <w:rFonts w:eastAsiaTheme="minorHAnsi"/>
        </w:rPr>
      </w:pPr>
      <w:r w:rsidRPr="00CA2FA9">
        <w:rPr>
          <w:rFonts w:eastAsiaTheme="minorHAnsi"/>
        </w:rPr>
        <w:t>This initiative contributes to the Department of Education and Training</w:t>
      </w:r>
      <w:r>
        <w:rPr>
          <w:rFonts w:eastAsiaTheme="minorHAnsi"/>
        </w:rPr>
        <w:t>’</w:t>
      </w:r>
      <w:r w:rsidRPr="00CA2FA9">
        <w:rPr>
          <w:rFonts w:eastAsiaTheme="minorHAnsi"/>
        </w:rPr>
        <w:t>s Early Childhood Development output.</w:t>
      </w:r>
    </w:p>
    <w:p w:rsidR="00E25CC6" w:rsidRPr="000D2E70" w:rsidRDefault="00E25CC6" w:rsidP="000D2E70">
      <w:pPr>
        <w:pStyle w:val="Heading5"/>
        <w:rPr>
          <w:rFonts w:eastAsiaTheme="minorHAnsi"/>
        </w:rPr>
      </w:pPr>
      <w:r w:rsidRPr="000D2E70">
        <w:rPr>
          <w:rFonts w:eastAsiaTheme="minorHAnsi"/>
        </w:rPr>
        <w:t>New kindergartens in growth suburbs</w:t>
      </w:r>
    </w:p>
    <w:p w:rsidR="00E25CC6" w:rsidRPr="000D2E70" w:rsidRDefault="00E25CC6" w:rsidP="000D2E70">
      <w:pPr>
        <w:rPr>
          <w:rFonts w:eastAsiaTheme="minorHAnsi"/>
        </w:rPr>
      </w:pPr>
      <w:r>
        <w:rPr>
          <w:rFonts w:eastAsiaTheme="minorHAnsi"/>
        </w:rPr>
        <w:t xml:space="preserve">Funding is provided to support new early childhood education and care infrastructure in Victoria’s growth areas. This includes grants to local councils and other providers to construct new early learning facilities. </w:t>
      </w:r>
    </w:p>
    <w:p w:rsidR="00E25CC6" w:rsidRPr="00387FEE" w:rsidRDefault="00E25CC6" w:rsidP="000D2E70">
      <w:pPr>
        <w:rPr>
          <w:rFonts w:eastAsiaTheme="minorHAnsi"/>
        </w:rPr>
      </w:pPr>
      <w:r w:rsidRPr="000D2E70">
        <w:rPr>
          <w:rFonts w:eastAsiaTheme="minorHAnsi"/>
        </w:rPr>
        <w:t>This initiative contributes to the Department of Education and Training</w:t>
      </w:r>
      <w:r>
        <w:rPr>
          <w:rFonts w:eastAsiaTheme="minorHAnsi"/>
        </w:rPr>
        <w:t>’</w:t>
      </w:r>
      <w:r w:rsidRPr="000D2E70">
        <w:rPr>
          <w:rFonts w:eastAsiaTheme="minorHAnsi"/>
        </w:rPr>
        <w:t>s Early Childhood Development output.</w:t>
      </w:r>
      <w:r>
        <w:rPr>
          <w:rFonts w:eastAsiaTheme="minorHAnsi"/>
        </w:rPr>
        <w:fldChar w:fldCharType="begin"/>
      </w:r>
      <w:r>
        <w:instrText xml:space="preserve"> XE "</w:instrText>
      </w:r>
      <w:r w:rsidRPr="0072637D">
        <w:rPr>
          <w:rFonts w:eastAsiaTheme="minorHAnsi"/>
        </w:rPr>
        <w:instrText>Department of Education and Training:</w:instrText>
      </w:r>
      <w:r w:rsidRPr="0072637D">
        <w:instrText>Early Childhood Development</w:instrText>
      </w:r>
      <w:r>
        <w:instrText xml:space="preserve">" \r "DET_EarlyChildDevelopChap1" </w:instrText>
      </w:r>
      <w:r>
        <w:rPr>
          <w:rFonts w:eastAsiaTheme="minorHAnsi"/>
        </w:rPr>
        <w:fldChar w:fldCharType="end"/>
      </w:r>
      <w:r>
        <w:rPr>
          <w:rFonts w:eastAsiaTheme="minorHAnsi"/>
        </w:rPr>
        <w:t xml:space="preserve"> </w:t>
      </w:r>
    </w:p>
    <w:bookmarkEnd w:id="26"/>
    <w:p w:rsidR="00E25CC6" w:rsidRPr="00BF1480" w:rsidRDefault="00E25CC6" w:rsidP="00BF1480">
      <w:pPr>
        <w:pStyle w:val="Heading4"/>
        <w:rPr>
          <w:rFonts w:eastAsiaTheme="minorHAnsi"/>
        </w:rPr>
      </w:pPr>
      <w:r w:rsidRPr="00BF1480">
        <w:rPr>
          <w:rFonts w:eastAsiaTheme="minorHAnsi"/>
        </w:rPr>
        <w:t>School Education</w:t>
      </w:r>
    </w:p>
    <w:p w:rsidR="00E25CC6" w:rsidRPr="00CA2FA9" w:rsidRDefault="00E25CC6" w:rsidP="001C6291">
      <w:pPr>
        <w:pStyle w:val="Heading5"/>
        <w:rPr>
          <w:rFonts w:eastAsiaTheme="minorHAnsi"/>
        </w:rPr>
      </w:pPr>
      <w:bookmarkStart w:id="27" w:name="DET_SchoolEducChap1"/>
      <w:r>
        <w:rPr>
          <w:rFonts w:eastAsiaTheme="minorHAnsi"/>
        </w:rPr>
        <w:t>Doctors in s</w:t>
      </w:r>
      <w:r w:rsidRPr="00CA2FA9">
        <w:rPr>
          <w:rFonts w:eastAsiaTheme="minorHAnsi"/>
        </w:rPr>
        <w:t>chools</w:t>
      </w:r>
    </w:p>
    <w:p w:rsidR="00E25CC6" w:rsidRPr="00CA2FA9" w:rsidRDefault="00E25CC6" w:rsidP="001C6BBF">
      <w:pPr>
        <w:rPr>
          <w:rFonts w:eastAsiaTheme="minorHAnsi"/>
        </w:rPr>
      </w:pPr>
      <w:r w:rsidRPr="00CA2FA9">
        <w:rPr>
          <w:rFonts w:eastAsiaTheme="minorHAnsi"/>
        </w:rPr>
        <w:t xml:space="preserve">Students in participating secondary schools will have access to primary health care in school through </w:t>
      </w:r>
      <w:r w:rsidRPr="003851F8">
        <w:rPr>
          <w:rFonts w:eastAsiaTheme="minorHAnsi"/>
        </w:rPr>
        <w:t xml:space="preserve">the </w:t>
      </w:r>
      <w:r>
        <w:rPr>
          <w:rFonts w:eastAsiaTheme="minorHAnsi"/>
        </w:rPr>
        <w:t>D</w:t>
      </w:r>
      <w:r w:rsidRPr="003851F8">
        <w:rPr>
          <w:rFonts w:eastAsiaTheme="minorHAnsi"/>
        </w:rPr>
        <w:t xml:space="preserve">octors in </w:t>
      </w:r>
      <w:r>
        <w:rPr>
          <w:rFonts w:eastAsiaTheme="minorHAnsi"/>
        </w:rPr>
        <w:t>S</w:t>
      </w:r>
      <w:r w:rsidRPr="003851F8">
        <w:rPr>
          <w:rFonts w:eastAsiaTheme="minorHAnsi"/>
        </w:rPr>
        <w:t xml:space="preserve">chools program. </w:t>
      </w:r>
      <w:r>
        <w:rPr>
          <w:rFonts w:eastAsiaTheme="minorHAnsi"/>
        </w:rPr>
        <w:t>U</w:t>
      </w:r>
      <w:r w:rsidRPr="00CA2FA9">
        <w:rPr>
          <w:rFonts w:eastAsiaTheme="minorHAnsi"/>
        </w:rPr>
        <w:t xml:space="preserve">p to 100 secondary schools in disadvantaged areas across Victoria </w:t>
      </w:r>
      <w:r>
        <w:rPr>
          <w:rFonts w:eastAsiaTheme="minorHAnsi"/>
        </w:rPr>
        <w:t>will have</w:t>
      </w:r>
      <w:r w:rsidRPr="00CA2FA9">
        <w:rPr>
          <w:rFonts w:eastAsiaTheme="minorHAnsi"/>
        </w:rPr>
        <w:t xml:space="preserve"> purpose</w:t>
      </w:r>
      <w:r>
        <w:rPr>
          <w:rFonts w:eastAsiaTheme="minorHAnsi"/>
        </w:rPr>
        <w:noBreakHyphen/>
      </w:r>
      <w:r w:rsidRPr="00CA2FA9">
        <w:rPr>
          <w:rFonts w:eastAsiaTheme="minorHAnsi"/>
        </w:rPr>
        <w:t xml:space="preserve">built consultation rooms and </w:t>
      </w:r>
      <w:r>
        <w:rPr>
          <w:rFonts w:eastAsiaTheme="minorHAnsi"/>
        </w:rPr>
        <w:t>g</w:t>
      </w:r>
      <w:r w:rsidRPr="00CA2FA9">
        <w:rPr>
          <w:rFonts w:eastAsiaTheme="minorHAnsi"/>
        </w:rPr>
        <w:t xml:space="preserve">eneral </w:t>
      </w:r>
      <w:r>
        <w:rPr>
          <w:rFonts w:eastAsiaTheme="minorHAnsi"/>
        </w:rPr>
        <w:t>p</w:t>
      </w:r>
      <w:r w:rsidRPr="00CA2FA9">
        <w:rPr>
          <w:rFonts w:eastAsiaTheme="minorHAnsi"/>
        </w:rPr>
        <w:t>ractitioner services for up to one day per week.</w:t>
      </w:r>
    </w:p>
    <w:p w:rsidR="00E25CC6" w:rsidRPr="00CA2FA9" w:rsidRDefault="00E25CC6" w:rsidP="001C6BBF">
      <w:pPr>
        <w:rPr>
          <w:rFonts w:eastAsiaTheme="minorHAnsi"/>
        </w:rPr>
      </w:pPr>
      <w:r w:rsidRPr="00CA2FA9">
        <w:rPr>
          <w:rFonts w:eastAsiaTheme="minorHAnsi"/>
        </w:rPr>
        <w:t>This initiative delivers on the Government</w:t>
      </w:r>
      <w:r>
        <w:rPr>
          <w:rFonts w:eastAsiaTheme="minorHAnsi"/>
        </w:rPr>
        <w:t>’</w:t>
      </w:r>
      <w:r w:rsidRPr="00CA2FA9">
        <w:rPr>
          <w:rFonts w:eastAsiaTheme="minorHAnsi"/>
        </w:rPr>
        <w:t xml:space="preserve">s election commitment as published in </w:t>
      </w:r>
      <w:r w:rsidRPr="00465462">
        <w:rPr>
          <w:rFonts w:eastAsiaTheme="minorHAnsi"/>
        </w:rPr>
        <w:t>Labor</w:t>
      </w:r>
      <w:r>
        <w:rPr>
          <w:rFonts w:eastAsiaTheme="minorHAnsi"/>
        </w:rPr>
        <w:t>’</w:t>
      </w:r>
      <w:r w:rsidRPr="00465462">
        <w:rPr>
          <w:rFonts w:eastAsiaTheme="minorHAnsi"/>
        </w:rPr>
        <w:t>s Financial Statement 2014</w:t>
      </w:r>
      <w:r w:rsidRPr="00CA2FA9">
        <w:rPr>
          <w:rFonts w:eastAsiaTheme="minorHAnsi"/>
        </w:rPr>
        <w:t>.</w:t>
      </w:r>
    </w:p>
    <w:p w:rsidR="00E25CC6" w:rsidRDefault="00E25CC6" w:rsidP="001C6BBF">
      <w:pPr>
        <w:rPr>
          <w:rFonts w:eastAsiaTheme="minorHAnsi"/>
        </w:rPr>
      </w:pPr>
      <w:r w:rsidRPr="00CA2FA9">
        <w:rPr>
          <w:rFonts w:eastAsiaTheme="minorHAnsi"/>
        </w:rPr>
        <w:t>This initiative contributes to the Department of Education and Training</w:t>
      </w:r>
      <w:r>
        <w:rPr>
          <w:rFonts w:eastAsiaTheme="minorHAnsi"/>
        </w:rPr>
        <w:t>’</w:t>
      </w:r>
      <w:r w:rsidRPr="00CA2FA9">
        <w:rPr>
          <w:rFonts w:eastAsiaTheme="minorHAnsi"/>
        </w:rPr>
        <w:t>s School Education – Secondary output.</w:t>
      </w:r>
    </w:p>
    <w:p w:rsidR="00E25CC6" w:rsidRPr="00112EA9" w:rsidRDefault="00E25CC6" w:rsidP="005D6F52">
      <w:pPr>
        <w:pStyle w:val="Heading5"/>
        <w:rPr>
          <w:rFonts w:eastAsiaTheme="minorHAnsi"/>
        </w:rPr>
      </w:pPr>
      <w:r>
        <w:rPr>
          <w:rFonts w:eastAsiaTheme="minorHAnsi"/>
        </w:rPr>
        <w:t>School Building Authority</w:t>
      </w:r>
    </w:p>
    <w:p w:rsidR="00E25CC6" w:rsidRDefault="00E25CC6" w:rsidP="005D6F52">
      <w:pPr>
        <w:spacing w:after="0"/>
        <w:rPr>
          <w:rFonts w:eastAsiaTheme="minorHAnsi"/>
        </w:rPr>
      </w:pPr>
      <w:r w:rsidRPr="00112EA9">
        <w:rPr>
          <w:rFonts w:eastAsiaTheme="minorHAnsi"/>
        </w:rPr>
        <w:t xml:space="preserve">A new </w:t>
      </w:r>
      <w:r>
        <w:rPr>
          <w:rFonts w:eastAsiaTheme="minorHAnsi"/>
        </w:rPr>
        <w:t>School Building Authority</w:t>
      </w:r>
      <w:r w:rsidRPr="00112EA9">
        <w:rPr>
          <w:rFonts w:eastAsiaTheme="minorHAnsi"/>
        </w:rPr>
        <w:t xml:space="preserve"> will be </w:t>
      </w:r>
      <w:r>
        <w:rPr>
          <w:rFonts w:eastAsiaTheme="minorHAnsi"/>
        </w:rPr>
        <w:t xml:space="preserve">established to oversee and strengthen delivery of the Government’s </w:t>
      </w:r>
      <w:r w:rsidRPr="00112EA9">
        <w:rPr>
          <w:rFonts w:eastAsiaTheme="minorHAnsi"/>
        </w:rPr>
        <w:t>school infrastructure program.</w:t>
      </w:r>
    </w:p>
    <w:p w:rsidR="00E25CC6" w:rsidRPr="00B76FFA" w:rsidRDefault="00E25CC6" w:rsidP="005D6F52">
      <w:pPr>
        <w:spacing w:before="120"/>
        <w:rPr>
          <w:rFonts w:eastAsiaTheme="minorHAnsi"/>
        </w:rPr>
      </w:pPr>
      <w:r w:rsidRPr="00E640D7">
        <w:rPr>
          <w:rFonts w:eastAsiaTheme="minorHAnsi"/>
        </w:rPr>
        <w:t>This initiative contributes to the Department of Education and Training</w:t>
      </w:r>
      <w:r>
        <w:rPr>
          <w:rFonts w:eastAsiaTheme="minorHAnsi"/>
        </w:rPr>
        <w:t>’</w:t>
      </w:r>
      <w:r w:rsidRPr="00E640D7">
        <w:rPr>
          <w:rFonts w:eastAsiaTheme="minorHAnsi"/>
        </w:rPr>
        <w:t>s:</w:t>
      </w:r>
    </w:p>
    <w:p w:rsidR="00E25CC6" w:rsidRPr="00B76FFA" w:rsidRDefault="00E25CC6" w:rsidP="005D6F52">
      <w:pPr>
        <w:pStyle w:val="BulletText"/>
        <w:rPr>
          <w:rFonts w:eastAsiaTheme="minorHAnsi"/>
        </w:rPr>
      </w:pPr>
      <w:r w:rsidRPr="00E640D7">
        <w:rPr>
          <w:rFonts w:eastAsiaTheme="minorHAnsi"/>
        </w:rPr>
        <w:t xml:space="preserve">School Education – Primary output; and </w:t>
      </w:r>
    </w:p>
    <w:p w:rsidR="00E25CC6" w:rsidRPr="005D6F52" w:rsidRDefault="00E25CC6" w:rsidP="001C6BBF">
      <w:pPr>
        <w:pStyle w:val="BulletText"/>
        <w:rPr>
          <w:rFonts w:eastAsiaTheme="minorHAnsi"/>
        </w:rPr>
      </w:pPr>
      <w:r w:rsidRPr="00E640D7">
        <w:rPr>
          <w:rFonts w:eastAsiaTheme="minorHAnsi"/>
        </w:rPr>
        <w:t>School Education – Secondary output.</w:t>
      </w:r>
    </w:p>
    <w:p w:rsidR="00E25CC6" w:rsidRPr="00CA2FA9" w:rsidRDefault="00E25CC6" w:rsidP="00832133">
      <w:pPr>
        <w:pStyle w:val="Heading5"/>
        <w:rPr>
          <w:rFonts w:eastAsiaTheme="minorHAnsi"/>
        </w:rPr>
      </w:pPr>
      <w:r w:rsidRPr="00CA2FA9">
        <w:rPr>
          <w:rFonts w:eastAsiaTheme="minorHAnsi"/>
        </w:rPr>
        <w:t>Teacher Notebook Program</w:t>
      </w:r>
    </w:p>
    <w:p w:rsidR="00E25CC6" w:rsidRDefault="00E25CC6" w:rsidP="001C6BBF">
      <w:pPr>
        <w:rPr>
          <w:rFonts w:eastAsiaTheme="minorHAnsi"/>
        </w:rPr>
      </w:pPr>
      <w:r w:rsidRPr="00CA2FA9">
        <w:rPr>
          <w:rFonts w:eastAsiaTheme="minorHAnsi"/>
        </w:rPr>
        <w:t xml:space="preserve">Eligible teachers in Victorian schools will </w:t>
      </w:r>
      <w:r>
        <w:rPr>
          <w:rFonts w:eastAsiaTheme="minorHAnsi"/>
        </w:rPr>
        <w:t>have</w:t>
      </w:r>
      <w:r w:rsidRPr="00CA2FA9">
        <w:rPr>
          <w:rFonts w:eastAsiaTheme="minorHAnsi"/>
        </w:rPr>
        <w:t xml:space="preserve"> notebook computer</w:t>
      </w:r>
      <w:r>
        <w:rPr>
          <w:rFonts w:eastAsiaTheme="minorHAnsi"/>
        </w:rPr>
        <w:t>s</w:t>
      </w:r>
      <w:r w:rsidRPr="00CA2FA9">
        <w:rPr>
          <w:rFonts w:eastAsiaTheme="minorHAnsi"/>
        </w:rPr>
        <w:t xml:space="preserve"> </w:t>
      </w:r>
      <w:r>
        <w:rPr>
          <w:rFonts w:eastAsiaTheme="minorHAnsi"/>
        </w:rPr>
        <w:t xml:space="preserve">provided </w:t>
      </w:r>
      <w:r w:rsidRPr="00CA2FA9">
        <w:rPr>
          <w:rFonts w:eastAsiaTheme="minorHAnsi"/>
        </w:rPr>
        <w:t xml:space="preserve">to support planning, </w:t>
      </w:r>
      <w:r w:rsidRPr="003B5C24">
        <w:rPr>
          <w:rFonts w:eastAsiaTheme="minorHAnsi"/>
        </w:rPr>
        <w:t>teaching, assessment</w:t>
      </w:r>
      <w:r w:rsidRPr="00CA2FA9">
        <w:rPr>
          <w:rFonts w:eastAsiaTheme="minorHAnsi"/>
        </w:rPr>
        <w:t xml:space="preserve"> and reporting.</w:t>
      </w:r>
    </w:p>
    <w:p w:rsidR="00E25CC6" w:rsidRPr="00CA2FA9" w:rsidRDefault="00E25CC6" w:rsidP="001C6BBF">
      <w:pPr>
        <w:rPr>
          <w:rFonts w:eastAsiaTheme="minorHAnsi"/>
        </w:rPr>
      </w:pPr>
      <w:r w:rsidRPr="00CA2FA9">
        <w:rPr>
          <w:rFonts w:eastAsiaTheme="minorHAnsi"/>
        </w:rPr>
        <w:t>This initiative contributes to the Department of Education and Training</w:t>
      </w:r>
      <w:r>
        <w:rPr>
          <w:rFonts w:eastAsiaTheme="minorHAnsi"/>
        </w:rPr>
        <w:t>’</w:t>
      </w:r>
      <w:r w:rsidRPr="00CA2FA9">
        <w:rPr>
          <w:rFonts w:eastAsiaTheme="minorHAnsi"/>
        </w:rPr>
        <w:t>s:</w:t>
      </w:r>
    </w:p>
    <w:p w:rsidR="00E25CC6" w:rsidRPr="001C6BBF" w:rsidRDefault="00E25CC6" w:rsidP="001C6BBF">
      <w:pPr>
        <w:pStyle w:val="BulletText"/>
        <w:rPr>
          <w:rFonts w:eastAsiaTheme="minorHAnsi"/>
        </w:rPr>
      </w:pPr>
      <w:r w:rsidRPr="001C6BBF">
        <w:rPr>
          <w:rFonts w:eastAsiaTheme="minorHAnsi"/>
        </w:rPr>
        <w:t xml:space="preserve">School Education – Primary output; and </w:t>
      </w:r>
    </w:p>
    <w:p w:rsidR="00E25CC6" w:rsidRPr="001C6BBF" w:rsidRDefault="00E25CC6" w:rsidP="001C6BBF">
      <w:pPr>
        <w:pStyle w:val="BulletText"/>
        <w:rPr>
          <w:rFonts w:eastAsiaTheme="minorHAnsi"/>
        </w:rPr>
      </w:pPr>
      <w:r w:rsidRPr="001C6BBF">
        <w:rPr>
          <w:rFonts w:eastAsiaTheme="minorHAnsi"/>
        </w:rPr>
        <w:t>School Education – Secondary output.</w:t>
      </w:r>
    </w:p>
    <w:p w:rsidR="00E25CC6" w:rsidRPr="00CA2FA9" w:rsidRDefault="00E25CC6" w:rsidP="00832133">
      <w:pPr>
        <w:pStyle w:val="Heading5"/>
        <w:rPr>
          <w:rFonts w:eastAsiaTheme="minorHAnsi"/>
        </w:rPr>
      </w:pPr>
      <w:r w:rsidRPr="00CA2FA9">
        <w:rPr>
          <w:rFonts w:eastAsiaTheme="minorHAnsi"/>
        </w:rPr>
        <w:t>Tech</w:t>
      </w:r>
      <w:r>
        <w:rPr>
          <w:rFonts w:eastAsiaTheme="minorHAnsi"/>
        </w:rPr>
        <w:t xml:space="preserve"> Schools Program</w:t>
      </w:r>
    </w:p>
    <w:p w:rsidR="00E25CC6" w:rsidRDefault="00E25CC6" w:rsidP="00832133">
      <w:pPr>
        <w:spacing w:after="0"/>
        <w:rPr>
          <w:rFonts w:eastAsiaTheme="minorHAnsi"/>
        </w:rPr>
      </w:pPr>
      <w:r w:rsidRPr="00CA2FA9">
        <w:rPr>
          <w:rFonts w:eastAsiaTheme="minorHAnsi"/>
        </w:rPr>
        <w:t>Refer to the asset initiative for the description of this initiative.</w:t>
      </w:r>
    </w:p>
    <w:p w:rsidR="00E25CC6" w:rsidRPr="001A1179" w:rsidRDefault="00E25CC6" w:rsidP="001A1179">
      <w:pPr>
        <w:pStyle w:val="Heading5"/>
        <w:rPr>
          <w:rFonts w:eastAsiaTheme="minorHAnsi"/>
        </w:rPr>
      </w:pPr>
      <w:r w:rsidRPr="001A1179">
        <w:rPr>
          <w:rFonts w:eastAsiaTheme="minorHAnsi"/>
        </w:rPr>
        <w:t>Vocational and workplace learning initiatives</w:t>
      </w:r>
    </w:p>
    <w:p w:rsidR="00E25CC6" w:rsidRPr="001A1179" w:rsidRDefault="00E25CC6" w:rsidP="00944EF6">
      <w:pPr>
        <w:rPr>
          <w:rFonts w:eastAsiaTheme="minorHAnsi"/>
        </w:rPr>
      </w:pPr>
      <w:r w:rsidRPr="001A1179">
        <w:rPr>
          <w:rFonts w:eastAsiaTheme="minorHAnsi"/>
        </w:rPr>
        <w:t>Senior secondary school students will continue practical vocational and trade based learning through the provision of structured workplace learning placements and ongoing operation of Trade Training Centres in schools.</w:t>
      </w:r>
    </w:p>
    <w:p w:rsidR="00E25CC6" w:rsidRDefault="00E25CC6" w:rsidP="00944EF6">
      <w:pPr>
        <w:rPr>
          <w:rFonts w:eastAsiaTheme="minorHAnsi"/>
        </w:rPr>
      </w:pPr>
      <w:r w:rsidRPr="001A1179">
        <w:rPr>
          <w:rFonts w:eastAsiaTheme="minorHAnsi"/>
        </w:rPr>
        <w:t>This initiative contributes to the Department of Education and Training</w:t>
      </w:r>
      <w:r>
        <w:rPr>
          <w:rFonts w:eastAsiaTheme="minorHAnsi"/>
        </w:rPr>
        <w:t>’</w:t>
      </w:r>
      <w:r w:rsidRPr="001A1179">
        <w:rPr>
          <w:rFonts w:eastAsiaTheme="minorHAnsi"/>
        </w:rPr>
        <w:t>s</w:t>
      </w:r>
      <w:r>
        <w:rPr>
          <w:rFonts w:eastAsiaTheme="minorHAnsi"/>
        </w:rPr>
        <w:t>:</w:t>
      </w:r>
    </w:p>
    <w:p w:rsidR="00E25CC6" w:rsidRDefault="00E25CC6" w:rsidP="00B435B6">
      <w:pPr>
        <w:pStyle w:val="BulletText"/>
        <w:rPr>
          <w:rFonts w:eastAsiaTheme="minorHAnsi"/>
        </w:rPr>
      </w:pPr>
      <w:r w:rsidRPr="001C6BBF">
        <w:rPr>
          <w:rFonts w:eastAsiaTheme="minorHAnsi"/>
        </w:rPr>
        <w:t>School Education – Secondary output</w:t>
      </w:r>
      <w:r>
        <w:rPr>
          <w:rFonts w:eastAsiaTheme="minorHAnsi"/>
        </w:rPr>
        <w:t>; and</w:t>
      </w:r>
    </w:p>
    <w:p w:rsidR="00E25CC6" w:rsidRPr="00387FEE" w:rsidRDefault="00E25CC6" w:rsidP="00B435B6">
      <w:pPr>
        <w:pStyle w:val="BulletText"/>
        <w:rPr>
          <w:rFonts w:eastAsiaTheme="minorHAnsi"/>
        </w:rPr>
      </w:pPr>
      <w:r>
        <w:rPr>
          <w:rFonts w:eastAsiaTheme="minorHAnsi"/>
        </w:rPr>
        <w:t>Training, Higher Education, Workforce Development and Skills output</w:t>
      </w:r>
      <w:r w:rsidRPr="001A1179">
        <w:rPr>
          <w:rFonts w:eastAsiaTheme="minorHAnsi"/>
        </w:rPr>
        <w:t>.</w:t>
      </w:r>
      <w:bookmarkEnd w:id="27"/>
      <w:r>
        <w:rPr>
          <w:rFonts w:eastAsiaTheme="minorHAnsi"/>
        </w:rPr>
        <w:fldChar w:fldCharType="begin"/>
      </w:r>
      <w:r>
        <w:instrText xml:space="preserve"> XE "</w:instrText>
      </w:r>
      <w:r w:rsidRPr="00E147CD">
        <w:rPr>
          <w:rFonts w:eastAsiaTheme="minorHAnsi"/>
        </w:rPr>
        <w:instrText>Department of Education and Training:</w:instrText>
      </w:r>
      <w:r w:rsidRPr="00E147CD">
        <w:instrText>School Education</w:instrText>
      </w:r>
      <w:r>
        <w:instrText xml:space="preserve">" \r "DET_EarlyChildDevelopChap1" </w:instrText>
      </w:r>
      <w:r>
        <w:rPr>
          <w:rFonts w:eastAsiaTheme="minorHAnsi"/>
        </w:rPr>
        <w:fldChar w:fldCharType="end"/>
      </w:r>
      <w:r>
        <w:rPr>
          <w:rFonts w:eastAsiaTheme="minorHAnsi"/>
        </w:rPr>
        <w:t xml:space="preserve"> </w:t>
      </w:r>
      <w:r w:rsidRPr="001A1179">
        <w:rPr>
          <w:rFonts w:eastAsiaTheme="minorHAnsi"/>
        </w:rPr>
        <w:t>.</w:t>
      </w:r>
      <w:r>
        <w:rPr>
          <w:rFonts w:eastAsiaTheme="minorHAnsi"/>
        </w:rPr>
        <w:fldChar w:fldCharType="begin"/>
      </w:r>
      <w:r>
        <w:instrText xml:space="preserve"> XE "</w:instrText>
      </w:r>
      <w:r w:rsidRPr="00E147CD">
        <w:rPr>
          <w:rFonts w:eastAsiaTheme="minorHAnsi"/>
        </w:rPr>
        <w:instrText>Education:</w:instrText>
      </w:r>
      <w:r w:rsidRPr="00E147CD">
        <w:instrText>School Education</w:instrText>
      </w:r>
      <w:r>
        <w:instrText xml:space="preserve">" \r "DET_EarlyChildDevelopChap1" </w:instrText>
      </w:r>
      <w:r>
        <w:rPr>
          <w:rFonts w:eastAsiaTheme="minorHAnsi"/>
        </w:rPr>
        <w:fldChar w:fldCharType="end"/>
      </w:r>
    </w:p>
    <w:p w:rsidR="00E25CC6" w:rsidRPr="00BF1480" w:rsidRDefault="00E25CC6" w:rsidP="00BF1480">
      <w:pPr>
        <w:pStyle w:val="Heading4"/>
        <w:rPr>
          <w:rFonts w:eastAsiaTheme="minorHAnsi"/>
        </w:rPr>
      </w:pPr>
      <w:r>
        <w:rPr>
          <w:rFonts w:eastAsiaTheme="minorHAnsi"/>
        </w:rPr>
        <w:t>Training, Higher Education, Workforce Development and Skills</w:t>
      </w:r>
    </w:p>
    <w:p w:rsidR="00E25CC6" w:rsidRDefault="00E25CC6" w:rsidP="005010F3">
      <w:pPr>
        <w:pStyle w:val="Heading5"/>
        <w:rPr>
          <w:lang w:eastAsia="en-AU"/>
        </w:rPr>
      </w:pPr>
      <w:r>
        <w:rPr>
          <w:lang w:eastAsia="en-AU"/>
        </w:rPr>
        <w:t xml:space="preserve">Back to Work – Reconnect </w:t>
      </w:r>
      <w:r>
        <w:rPr>
          <w:lang w:eastAsia="en-AU"/>
        </w:rPr>
        <w:fldChar w:fldCharType="begin"/>
      </w:r>
      <w:r>
        <w:instrText xml:space="preserve"> XE "</w:instrText>
      </w:r>
      <w:r w:rsidRPr="00E92AA3">
        <w:instrText>Department of Education and Training:Training, Higher Education, Workforce Development and Skills</w:instrText>
      </w:r>
      <w:r>
        <w:instrText xml:space="preserve">" </w:instrText>
      </w:r>
      <w:r>
        <w:rPr>
          <w:lang w:eastAsia="en-AU"/>
        </w:rPr>
        <w:fldChar w:fldCharType="end"/>
      </w:r>
      <w:r>
        <w:rPr>
          <w:lang w:eastAsia="en-AU"/>
        </w:rPr>
        <w:t xml:space="preserve"> </w:t>
      </w:r>
      <w:r w:rsidRPr="001A1179">
        <w:rPr>
          <w:rFonts w:eastAsiaTheme="minorHAnsi"/>
        </w:rPr>
        <w:t>.</w:t>
      </w:r>
      <w:r>
        <w:rPr>
          <w:rFonts w:eastAsiaTheme="minorHAnsi"/>
        </w:rPr>
        <w:fldChar w:fldCharType="begin"/>
      </w:r>
      <w:r>
        <w:instrText xml:space="preserve"> XE "</w:instrText>
      </w:r>
      <w:r w:rsidRPr="00E147CD">
        <w:rPr>
          <w:rFonts w:eastAsiaTheme="minorHAnsi"/>
        </w:rPr>
        <w:instrText>Education:</w:instrText>
      </w:r>
      <w:r w:rsidRPr="00E147CD">
        <w:instrText>School Education</w:instrText>
      </w:r>
      <w:r>
        <w:instrText xml:space="preserve">" \r "DET_EarlyChildDevelopChap1" </w:instrText>
      </w:r>
      <w:r>
        <w:rPr>
          <w:rFonts w:eastAsiaTheme="minorHAnsi"/>
        </w:rPr>
        <w:fldChar w:fldCharType="end"/>
      </w:r>
    </w:p>
    <w:p w:rsidR="00E25CC6" w:rsidRDefault="00E25CC6" w:rsidP="005010F3">
      <w:pPr>
        <w:rPr>
          <w:lang w:eastAsia="en-AU"/>
        </w:rPr>
      </w:pPr>
      <w:r>
        <w:rPr>
          <w:lang w:eastAsia="en-AU"/>
        </w:rPr>
        <w:t>The Back to Work Scheme supports businesses that hire disadvantaged job seekers into new jobs. The Reconnect program will support young people and early school leavers to undertake foundation training. The program will provide Back to Work participants with fee relief and Victorian Training Guarantee exemptions.</w:t>
      </w:r>
    </w:p>
    <w:p w:rsidR="00E25CC6" w:rsidRDefault="00E25CC6" w:rsidP="005010F3">
      <w:pPr>
        <w:rPr>
          <w:lang w:eastAsia="en-AU"/>
        </w:rPr>
      </w:pPr>
      <w:r>
        <w:rPr>
          <w:lang w:eastAsia="en-AU"/>
        </w:rPr>
        <w:t>This initiative contributes to the Department of Education and Training’s Training, Higher Education, Workforce Development and Skills output.</w:t>
      </w:r>
    </w:p>
    <w:p w:rsidR="00E25CC6" w:rsidRPr="00CA2FA9" w:rsidRDefault="00E25CC6" w:rsidP="00832133">
      <w:pPr>
        <w:pStyle w:val="Heading5"/>
        <w:rPr>
          <w:rFonts w:eastAsiaTheme="minorHAnsi"/>
        </w:rPr>
      </w:pPr>
      <w:r w:rsidRPr="00CA2FA9">
        <w:rPr>
          <w:rFonts w:eastAsiaTheme="minorHAnsi"/>
        </w:rPr>
        <w:t>Monash University Alexander Theatre redevelopment</w:t>
      </w:r>
    </w:p>
    <w:p w:rsidR="00E25CC6" w:rsidRPr="00CA2FA9" w:rsidRDefault="00E25CC6" w:rsidP="001C6BBF">
      <w:pPr>
        <w:rPr>
          <w:rFonts w:eastAsiaTheme="minorHAnsi"/>
        </w:rPr>
      </w:pPr>
      <w:r w:rsidRPr="00CA2FA9">
        <w:rPr>
          <w:rFonts w:eastAsiaTheme="minorHAnsi"/>
        </w:rPr>
        <w:t xml:space="preserve">The Government will contribute </w:t>
      </w:r>
      <w:r>
        <w:rPr>
          <w:rFonts w:eastAsiaTheme="minorHAnsi"/>
        </w:rPr>
        <w:t xml:space="preserve">funding for the redevelopment </w:t>
      </w:r>
      <w:r w:rsidRPr="00CA2FA9">
        <w:rPr>
          <w:rFonts w:eastAsiaTheme="minorHAnsi"/>
        </w:rPr>
        <w:t xml:space="preserve">of the Monash University Alexander Theatre and surrounding arts precinct. Improvements will </w:t>
      </w:r>
      <w:r>
        <w:rPr>
          <w:rFonts w:eastAsiaTheme="minorHAnsi"/>
        </w:rPr>
        <w:t>enhance</w:t>
      </w:r>
      <w:r w:rsidRPr="00CA2FA9">
        <w:rPr>
          <w:rFonts w:eastAsiaTheme="minorHAnsi"/>
        </w:rPr>
        <w:t xml:space="preserve"> accessibility</w:t>
      </w:r>
      <w:r>
        <w:rPr>
          <w:rFonts w:eastAsiaTheme="minorHAnsi"/>
        </w:rPr>
        <w:t xml:space="preserve"> and</w:t>
      </w:r>
      <w:r w:rsidRPr="00CA2FA9">
        <w:rPr>
          <w:rFonts w:eastAsiaTheme="minorHAnsi"/>
        </w:rPr>
        <w:t xml:space="preserve"> flexibility of facilities</w:t>
      </w:r>
      <w:r>
        <w:rPr>
          <w:rFonts w:eastAsiaTheme="minorHAnsi"/>
        </w:rPr>
        <w:t>,</w:t>
      </w:r>
      <w:r w:rsidRPr="00CA2FA9">
        <w:rPr>
          <w:rFonts w:eastAsiaTheme="minorHAnsi"/>
        </w:rPr>
        <w:t xml:space="preserve"> and increase capacity across the precinct for students, artists and the south</w:t>
      </w:r>
      <w:r>
        <w:rPr>
          <w:rFonts w:eastAsiaTheme="minorHAnsi"/>
        </w:rPr>
        <w:noBreakHyphen/>
      </w:r>
      <w:r w:rsidRPr="00CA2FA9">
        <w:rPr>
          <w:rFonts w:eastAsiaTheme="minorHAnsi"/>
        </w:rPr>
        <w:t>east Melbourne community.</w:t>
      </w:r>
    </w:p>
    <w:p w:rsidR="00E25CC6" w:rsidRPr="00CA2FA9" w:rsidRDefault="00E25CC6" w:rsidP="001C6BBF">
      <w:pPr>
        <w:rPr>
          <w:rFonts w:eastAsiaTheme="minorHAnsi"/>
        </w:rPr>
      </w:pPr>
      <w:r w:rsidRPr="00CA2FA9">
        <w:rPr>
          <w:rFonts w:eastAsiaTheme="minorHAnsi"/>
        </w:rPr>
        <w:t>This initiative contributes to the Department of Education and Training</w:t>
      </w:r>
      <w:r>
        <w:rPr>
          <w:rFonts w:eastAsiaTheme="minorHAnsi"/>
        </w:rPr>
        <w:t>’</w:t>
      </w:r>
      <w:r w:rsidRPr="00CA2FA9">
        <w:rPr>
          <w:rFonts w:eastAsiaTheme="minorHAnsi"/>
        </w:rPr>
        <w:t xml:space="preserve">s </w:t>
      </w:r>
      <w:r>
        <w:rPr>
          <w:rFonts w:eastAsiaTheme="minorHAnsi"/>
        </w:rPr>
        <w:t>Training, Higher Education, Workforce Development and Skills</w:t>
      </w:r>
      <w:r w:rsidRPr="00CA2FA9">
        <w:rPr>
          <w:rFonts w:eastAsiaTheme="minorHAnsi"/>
        </w:rPr>
        <w:t xml:space="preserve"> output.</w:t>
      </w:r>
    </w:p>
    <w:p w:rsidR="00E25CC6" w:rsidRPr="00CA2FA9" w:rsidRDefault="00E25CC6" w:rsidP="00832133">
      <w:pPr>
        <w:pStyle w:val="Heading5"/>
        <w:rPr>
          <w:rFonts w:eastAsiaTheme="minorHAnsi"/>
        </w:rPr>
      </w:pPr>
      <w:r w:rsidRPr="00CA2FA9">
        <w:rPr>
          <w:rFonts w:eastAsiaTheme="minorHAnsi"/>
        </w:rPr>
        <w:t xml:space="preserve">Plumbing Industry Climate Action Centre </w:t>
      </w:r>
      <w:r>
        <w:rPr>
          <w:rFonts w:eastAsiaTheme="minorHAnsi"/>
        </w:rPr>
        <w:t>d</w:t>
      </w:r>
      <w:r w:rsidRPr="00CA2FA9">
        <w:rPr>
          <w:rFonts w:eastAsiaTheme="minorHAnsi"/>
        </w:rPr>
        <w:t>evelopment</w:t>
      </w:r>
    </w:p>
    <w:p w:rsidR="00E25CC6" w:rsidRPr="00CA2FA9" w:rsidRDefault="00E25CC6" w:rsidP="001C6BBF">
      <w:pPr>
        <w:rPr>
          <w:rFonts w:eastAsiaTheme="minorHAnsi"/>
        </w:rPr>
      </w:pPr>
      <w:r w:rsidRPr="00CA2FA9">
        <w:rPr>
          <w:rFonts w:eastAsiaTheme="minorHAnsi"/>
        </w:rPr>
        <w:t xml:space="preserve">The Government will support two new Plumbing Industry Climate Action Centre (PICAC) developments. The Government will contribute to the fit out of the recently constructed Geelong centre, and the </w:t>
      </w:r>
      <w:r>
        <w:rPr>
          <w:rFonts w:eastAsiaTheme="minorHAnsi"/>
        </w:rPr>
        <w:t xml:space="preserve">construction of a new facility </w:t>
      </w:r>
      <w:r w:rsidRPr="00CA2FA9">
        <w:rPr>
          <w:rFonts w:eastAsiaTheme="minorHAnsi"/>
        </w:rPr>
        <w:t xml:space="preserve">in Narre Warren. The facilities will train workers and assist to retrain manufacturing workers for careers in </w:t>
      </w:r>
      <w:r>
        <w:rPr>
          <w:rFonts w:eastAsiaTheme="minorHAnsi"/>
        </w:rPr>
        <w:t xml:space="preserve">specialised </w:t>
      </w:r>
      <w:r w:rsidRPr="00CA2FA9">
        <w:rPr>
          <w:rFonts w:eastAsiaTheme="minorHAnsi"/>
        </w:rPr>
        <w:t>environmentally sustainable plumbing trades.</w:t>
      </w:r>
    </w:p>
    <w:p w:rsidR="00E25CC6" w:rsidRPr="00CA2FA9" w:rsidRDefault="00E25CC6" w:rsidP="001C6BBF">
      <w:pPr>
        <w:rPr>
          <w:rFonts w:eastAsiaTheme="minorHAnsi"/>
        </w:rPr>
      </w:pPr>
      <w:r w:rsidRPr="00CA2FA9">
        <w:rPr>
          <w:rFonts w:eastAsiaTheme="minorHAnsi"/>
        </w:rPr>
        <w:t>This initiative contributes to the Department of Education and Training</w:t>
      </w:r>
      <w:r>
        <w:rPr>
          <w:rFonts w:eastAsiaTheme="minorHAnsi"/>
        </w:rPr>
        <w:t>’</w:t>
      </w:r>
      <w:r w:rsidRPr="00CA2FA9">
        <w:rPr>
          <w:rFonts w:eastAsiaTheme="minorHAnsi"/>
        </w:rPr>
        <w:t xml:space="preserve">s </w:t>
      </w:r>
      <w:r>
        <w:rPr>
          <w:rFonts w:eastAsiaTheme="minorHAnsi"/>
        </w:rPr>
        <w:t>Training, Higher Education, Workforce Development and Skills</w:t>
      </w:r>
      <w:r w:rsidRPr="00CA2FA9">
        <w:rPr>
          <w:rFonts w:eastAsiaTheme="minorHAnsi"/>
        </w:rPr>
        <w:t xml:space="preserve"> output.</w:t>
      </w:r>
    </w:p>
    <w:p w:rsidR="00E25CC6" w:rsidRDefault="00E25CC6">
      <w:pPr>
        <w:spacing w:after="0"/>
        <w:rPr>
          <w:rFonts w:ascii="Calibri" w:eastAsiaTheme="minorHAnsi" w:hAnsi="Calibri"/>
          <w:b/>
        </w:rPr>
      </w:pPr>
      <w:r>
        <w:rPr>
          <w:rFonts w:eastAsiaTheme="minorHAnsi"/>
        </w:rPr>
        <w:br w:type="page"/>
      </w:r>
    </w:p>
    <w:p w:rsidR="00E25CC6" w:rsidRPr="00CA2FA9" w:rsidRDefault="00E25CC6" w:rsidP="00832133">
      <w:pPr>
        <w:pStyle w:val="Heading5"/>
        <w:rPr>
          <w:rFonts w:eastAsiaTheme="minorHAnsi"/>
        </w:rPr>
      </w:pPr>
      <w:r w:rsidRPr="00CA2FA9">
        <w:rPr>
          <w:rFonts w:eastAsiaTheme="minorHAnsi"/>
        </w:rPr>
        <w:t>Supporting Victoria</w:t>
      </w:r>
      <w:r>
        <w:rPr>
          <w:rFonts w:eastAsiaTheme="minorHAnsi"/>
        </w:rPr>
        <w:t>’</w:t>
      </w:r>
      <w:r w:rsidRPr="00CA2FA9">
        <w:rPr>
          <w:rFonts w:eastAsiaTheme="minorHAnsi"/>
        </w:rPr>
        <w:t>s Industry Advisory Bodies</w:t>
      </w:r>
    </w:p>
    <w:p w:rsidR="00E25CC6" w:rsidRPr="00CA2FA9" w:rsidRDefault="00E25CC6" w:rsidP="001C6BBF">
      <w:pPr>
        <w:rPr>
          <w:rFonts w:eastAsiaTheme="minorHAnsi"/>
        </w:rPr>
      </w:pPr>
      <w:r w:rsidRPr="00CA2FA9">
        <w:rPr>
          <w:rFonts w:eastAsiaTheme="minorHAnsi"/>
        </w:rPr>
        <w:t>The development and establishment of a new industry engagement framework led by the</w:t>
      </w:r>
      <w:r>
        <w:rPr>
          <w:rFonts w:eastAsiaTheme="minorHAnsi"/>
        </w:rPr>
        <w:t xml:space="preserve"> </w:t>
      </w:r>
      <w:r w:rsidRPr="00CA2FA9">
        <w:rPr>
          <w:rFonts w:eastAsiaTheme="minorHAnsi"/>
        </w:rPr>
        <w:t xml:space="preserve">Victorian Skills Commissioner will provide a structured way for industry, unions and employers to examine emerging skills needs across the economy and </w:t>
      </w:r>
      <w:r>
        <w:rPr>
          <w:rFonts w:eastAsiaTheme="minorHAnsi"/>
        </w:rPr>
        <w:t xml:space="preserve">identify </w:t>
      </w:r>
      <w:r w:rsidRPr="00CA2FA9">
        <w:rPr>
          <w:rFonts w:eastAsiaTheme="minorHAnsi"/>
        </w:rPr>
        <w:t>new industry</w:t>
      </w:r>
      <w:r>
        <w:rPr>
          <w:rFonts w:eastAsiaTheme="minorHAnsi"/>
        </w:rPr>
        <w:t xml:space="preserve"> training</w:t>
      </w:r>
      <w:r w:rsidRPr="00CA2FA9">
        <w:rPr>
          <w:rFonts w:eastAsiaTheme="minorHAnsi"/>
        </w:rPr>
        <w:t xml:space="preserve"> priorities. </w:t>
      </w:r>
    </w:p>
    <w:p w:rsidR="00E25CC6" w:rsidRDefault="00E25CC6" w:rsidP="001C6BBF">
      <w:pPr>
        <w:rPr>
          <w:rFonts w:eastAsiaTheme="minorHAnsi"/>
        </w:rPr>
      </w:pPr>
      <w:r w:rsidRPr="00CA2FA9">
        <w:rPr>
          <w:rFonts w:eastAsiaTheme="minorHAnsi"/>
        </w:rPr>
        <w:t xml:space="preserve">Training outcomes will be enhanced </w:t>
      </w:r>
      <w:r>
        <w:rPr>
          <w:rFonts w:eastAsiaTheme="minorHAnsi"/>
        </w:rPr>
        <w:t>with</w:t>
      </w:r>
      <w:r w:rsidRPr="00CA2FA9">
        <w:rPr>
          <w:rFonts w:eastAsiaTheme="minorHAnsi"/>
        </w:rPr>
        <w:t xml:space="preserve"> better alignment </w:t>
      </w:r>
      <w:r>
        <w:rPr>
          <w:rFonts w:eastAsiaTheme="minorHAnsi"/>
        </w:rPr>
        <w:t>and stronger relationships between training providers and employers</w:t>
      </w:r>
      <w:r w:rsidRPr="00CA2FA9">
        <w:rPr>
          <w:rFonts w:eastAsiaTheme="minorHAnsi"/>
        </w:rPr>
        <w:t>.</w:t>
      </w:r>
    </w:p>
    <w:p w:rsidR="00E25CC6" w:rsidRDefault="00E25CC6" w:rsidP="00BB1FDC">
      <w:pPr>
        <w:rPr>
          <w:rFonts w:eastAsiaTheme="minorHAnsi"/>
        </w:rPr>
      </w:pPr>
      <w:r w:rsidRPr="00CA2FA9">
        <w:rPr>
          <w:rFonts w:eastAsiaTheme="minorHAnsi"/>
        </w:rPr>
        <w:t>This initiative contributes to the Department of Education and Training</w:t>
      </w:r>
      <w:r>
        <w:rPr>
          <w:rFonts w:eastAsiaTheme="minorHAnsi"/>
        </w:rPr>
        <w:t>’</w:t>
      </w:r>
      <w:r w:rsidRPr="00CA2FA9">
        <w:rPr>
          <w:rFonts w:eastAsiaTheme="minorHAnsi"/>
        </w:rPr>
        <w:t xml:space="preserve">s </w:t>
      </w:r>
      <w:r>
        <w:rPr>
          <w:rFonts w:eastAsiaTheme="minorHAnsi"/>
        </w:rPr>
        <w:t>Training, Higher Education, Workforce Development and Skills</w:t>
      </w:r>
      <w:r w:rsidRPr="00CA2FA9">
        <w:rPr>
          <w:rFonts w:eastAsiaTheme="minorHAnsi"/>
        </w:rPr>
        <w:t xml:space="preserve"> output.</w:t>
      </w:r>
    </w:p>
    <w:p w:rsidR="00E25CC6" w:rsidRDefault="00E25CC6" w:rsidP="003D1D8A">
      <w:pPr>
        <w:pStyle w:val="Source"/>
        <w:rPr>
          <w:rFonts w:eastAsiaTheme="minorHAnsi"/>
        </w:rPr>
      </w:pPr>
    </w:p>
    <w:p w:rsidR="00E25CC6" w:rsidRDefault="00E25CC6" w:rsidP="00944EF6">
      <w:pPr>
        <w:rPr>
          <w:rFonts w:eastAsiaTheme="minorHAnsi"/>
        </w:rPr>
      </w:pPr>
      <w:r>
        <w:rPr>
          <w:rFonts w:eastAsiaTheme="minorHAnsi"/>
          <w:noProof/>
          <w:lang w:eastAsia="en-AU"/>
        </w:rPr>
        <mc:AlternateContent>
          <mc:Choice Requires="wps">
            <w:drawing>
              <wp:inline distT="0" distB="0" distL="0" distR="0" wp14:anchorId="1AB3E7BB" wp14:editId="02CDB319">
                <wp:extent cx="4914000" cy="4284980"/>
                <wp:effectExtent l="0" t="0" r="1270" b="1270"/>
                <wp:docPr id="1" name="Text Box 1"/>
                <wp:cNvGraphicFramePr/>
                <a:graphic xmlns:a="http://schemas.openxmlformats.org/drawingml/2006/main">
                  <a:graphicData uri="http://schemas.microsoft.com/office/word/2010/wordprocessingShape">
                    <wps:wsp>
                      <wps:cNvSpPr txBox="1"/>
                      <wps:spPr>
                        <a:xfrm>
                          <a:off x="0" y="0"/>
                          <a:ext cx="4914000" cy="428498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5CC6" w:rsidRPr="00D71D54" w:rsidRDefault="00E25CC6" w:rsidP="00706FD8">
                            <w:pPr>
                              <w:pStyle w:val="Heading5"/>
                              <w:spacing w:after="120"/>
                            </w:pPr>
                            <w:r w:rsidRPr="00D71D54">
                              <w:t>Box</w:t>
                            </w:r>
                            <w:r>
                              <w:t xml:space="preserve"> 1.1 Allocation of Education State decisions made in the </w:t>
                            </w:r>
                            <w:r w:rsidRPr="00553C5B">
                              <w:rPr>
                                <w:i/>
                              </w:rPr>
                              <w:t>2015</w:t>
                            </w:r>
                            <w:r>
                              <w:rPr>
                                <w:i/>
                              </w:rPr>
                              <w:noBreakHyphen/>
                            </w:r>
                            <w:r w:rsidRPr="00553C5B">
                              <w:rPr>
                                <w:i/>
                              </w:rPr>
                              <w:t>16 Budget</w:t>
                            </w:r>
                          </w:p>
                          <w:p w:rsidR="00E25CC6" w:rsidRPr="001B3B1F" w:rsidRDefault="00E25CC6" w:rsidP="001B3B1F">
                            <w:r w:rsidRPr="001B3B1F">
                              <w:t xml:space="preserve">The </w:t>
                            </w:r>
                            <w:r w:rsidRPr="00BC370A">
                              <w:rPr>
                                <w:i/>
                              </w:rPr>
                              <w:t>2015</w:t>
                            </w:r>
                            <w:r>
                              <w:rPr>
                                <w:i/>
                              </w:rPr>
                              <w:noBreakHyphen/>
                            </w:r>
                            <w:r w:rsidRPr="00BC370A">
                              <w:rPr>
                                <w:i/>
                              </w:rPr>
                              <w:t>16 Budget</w:t>
                            </w:r>
                            <w:r w:rsidRPr="001B3B1F">
                              <w:t xml:space="preserve"> announced $1.4</w:t>
                            </w:r>
                            <w:r>
                              <w:t> billion</w:t>
                            </w:r>
                            <w:r w:rsidRPr="001B3B1F">
                              <w:t xml:space="preserve"> for the Education State initiative. This funding was held centrally to be allocated to schools </w:t>
                            </w:r>
                            <w:r>
                              <w:t>from</w:t>
                            </w:r>
                            <w:r w:rsidRPr="001B3B1F">
                              <w:t xml:space="preserve"> the 2016 and 2017 school years. </w:t>
                            </w:r>
                            <w:r>
                              <w:t xml:space="preserve">Prior to the </w:t>
                            </w:r>
                            <w:r w:rsidRPr="006A4063">
                              <w:rPr>
                                <w:i/>
                              </w:rPr>
                              <w:t>2015</w:t>
                            </w:r>
                            <w:r>
                              <w:rPr>
                                <w:i/>
                              </w:rPr>
                              <w:noBreakHyphen/>
                            </w:r>
                            <w:r w:rsidRPr="006A4063">
                              <w:rPr>
                                <w:i/>
                              </w:rPr>
                              <w:t>16 Budget Update</w:t>
                            </w:r>
                            <w:r>
                              <w:t xml:space="preserve"> the Government announced $747 million of this funding would be provided to schools over four years, starting from the 2016 school year. </w:t>
                            </w:r>
                            <w:r w:rsidRPr="001B3B1F">
                              <w:t xml:space="preserve">In the </w:t>
                            </w:r>
                            <w:r w:rsidRPr="00BC370A">
                              <w:rPr>
                                <w:i/>
                              </w:rPr>
                              <w:t>2016</w:t>
                            </w:r>
                            <w:r>
                              <w:rPr>
                                <w:i/>
                              </w:rPr>
                              <w:noBreakHyphen/>
                            </w:r>
                            <w:r w:rsidRPr="00BC370A">
                              <w:rPr>
                                <w:i/>
                              </w:rPr>
                              <w:t>17 Budget</w:t>
                            </w:r>
                            <w:r w:rsidRPr="001B3B1F">
                              <w:t>,</w:t>
                            </w:r>
                            <w:r>
                              <w:t xml:space="preserve"> the</w:t>
                            </w:r>
                            <w:r w:rsidRPr="001B3B1F">
                              <w:t xml:space="preserve"> Government is allocating</w:t>
                            </w:r>
                            <w:r>
                              <w:t xml:space="preserve"> a</w:t>
                            </w:r>
                            <w:r w:rsidRPr="001B3B1F">
                              <w:t xml:space="preserve"> further $644.6</w:t>
                            </w:r>
                            <w:r>
                              <w:t> million over four years, from the start of</w:t>
                            </w:r>
                            <w:r w:rsidRPr="001B3B1F">
                              <w:t xml:space="preserve"> the 2017 school year</w:t>
                            </w:r>
                            <w:r>
                              <w:t>. This includes</w:t>
                            </w:r>
                            <w:r w:rsidRPr="001B3B1F">
                              <w:t>:</w:t>
                            </w:r>
                          </w:p>
                          <w:p w:rsidR="00E25CC6" w:rsidRPr="00100644" w:rsidRDefault="00E25CC6" w:rsidP="001B3B1F">
                            <w:pPr>
                              <w:pStyle w:val="BulletText"/>
                            </w:pPr>
                            <w:r w:rsidRPr="00100644">
                              <w:t>Community language schools</w:t>
                            </w:r>
                            <w:r>
                              <w:t>;</w:t>
                            </w:r>
                          </w:p>
                          <w:p w:rsidR="00E25CC6" w:rsidRPr="00100644" w:rsidRDefault="00E25CC6" w:rsidP="001B3B1F">
                            <w:pPr>
                              <w:pStyle w:val="BulletText"/>
                            </w:pPr>
                            <w:r w:rsidRPr="00100644">
                              <w:t>Digital education: maintaining technical support in schools</w:t>
                            </w:r>
                            <w:r>
                              <w:t>;</w:t>
                            </w:r>
                          </w:p>
                          <w:p w:rsidR="00E25CC6" w:rsidRPr="00100644" w:rsidRDefault="00E25CC6" w:rsidP="001B3B1F">
                            <w:pPr>
                              <w:pStyle w:val="BulletText"/>
                            </w:pPr>
                            <w:r w:rsidRPr="00100644">
                              <w:t>English as an additional language</w:t>
                            </w:r>
                            <w:r>
                              <w:t>;</w:t>
                            </w:r>
                          </w:p>
                          <w:p w:rsidR="00E25CC6" w:rsidRPr="00100644" w:rsidRDefault="00E25CC6" w:rsidP="001B3B1F">
                            <w:pPr>
                              <w:pStyle w:val="BulletText"/>
                            </w:pPr>
                            <w:r w:rsidRPr="00100644">
                              <w:t>Essential maintenance</w:t>
                            </w:r>
                            <w:r>
                              <w:t>;</w:t>
                            </w:r>
                          </w:p>
                          <w:p w:rsidR="00E25CC6" w:rsidRPr="00100644" w:rsidRDefault="00E25CC6" w:rsidP="001B3B1F">
                            <w:pPr>
                              <w:pStyle w:val="BulletText"/>
                            </w:pPr>
                            <w:r w:rsidRPr="00100644">
                              <w:t>Program for Students with Disabilities</w:t>
                            </w:r>
                            <w:r>
                              <w:t>;</w:t>
                            </w:r>
                          </w:p>
                          <w:p w:rsidR="00E25CC6" w:rsidRPr="00100644" w:rsidRDefault="00E25CC6" w:rsidP="001B3B1F">
                            <w:pPr>
                              <w:pStyle w:val="BulletText"/>
                            </w:pPr>
                            <w:r w:rsidRPr="00100644">
                              <w:t xml:space="preserve">Program for </w:t>
                            </w:r>
                            <w:r>
                              <w:t>S</w:t>
                            </w:r>
                            <w:r w:rsidRPr="00100644">
                              <w:t xml:space="preserve">tudents with </w:t>
                            </w:r>
                            <w:r>
                              <w:t>D</w:t>
                            </w:r>
                            <w:r w:rsidRPr="00100644">
                              <w:t>isabilities</w:t>
                            </w:r>
                            <w:r>
                              <w:t xml:space="preserve"> – </w:t>
                            </w:r>
                            <w:r w:rsidRPr="00100644">
                              <w:t>response to the review</w:t>
                            </w:r>
                            <w:r>
                              <w:t>;</w:t>
                            </w:r>
                          </w:p>
                          <w:p w:rsidR="00E25CC6" w:rsidRPr="00100644" w:rsidRDefault="00E25CC6" w:rsidP="001B3B1F">
                            <w:pPr>
                              <w:pStyle w:val="BulletText"/>
                            </w:pPr>
                            <w:r w:rsidRPr="00100644">
                              <w:t>Refugee Education Support</w:t>
                            </w:r>
                            <w:r>
                              <w:t>;</w:t>
                            </w:r>
                          </w:p>
                          <w:p w:rsidR="00E25CC6" w:rsidRPr="00100644" w:rsidRDefault="00E25CC6" w:rsidP="001B3B1F">
                            <w:pPr>
                              <w:pStyle w:val="BulletText"/>
                            </w:pPr>
                            <w:r w:rsidRPr="00100644">
                              <w:t>Secondary School Software Suite</w:t>
                            </w:r>
                            <w:r>
                              <w:t>;</w:t>
                            </w:r>
                          </w:p>
                          <w:p w:rsidR="00E25CC6" w:rsidRPr="00100644" w:rsidRDefault="00E25CC6" w:rsidP="001B3B1F">
                            <w:pPr>
                              <w:pStyle w:val="BulletText"/>
                            </w:pPr>
                            <w:r w:rsidRPr="00100644">
                              <w:t>Stephanie Alexander Kitchen Gardens</w:t>
                            </w:r>
                            <w:r>
                              <w:t>;</w:t>
                            </w:r>
                          </w:p>
                          <w:p w:rsidR="00E25CC6" w:rsidRPr="00100644" w:rsidRDefault="00E25CC6" w:rsidP="001B3B1F">
                            <w:pPr>
                              <w:pStyle w:val="BulletText"/>
                            </w:pPr>
                            <w:r w:rsidRPr="00100644">
                              <w:t>Student Support Services</w:t>
                            </w:r>
                            <w:r>
                              <w:t xml:space="preserve"> – </w:t>
                            </w:r>
                            <w:r w:rsidRPr="00100644">
                              <w:t>workforce assets</w:t>
                            </w:r>
                            <w:r>
                              <w:t>;</w:t>
                            </w:r>
                          </w:p>
                          <w:p w:rsidR="00E25CC6" w:rsidRPr="00100644" w:rsidRDefault="00E25CC6" w:rsidP="001B3B1F">
                            <w:pPr>
                              <w:pStyle w:val="BulletText"/>
                            </w:pPr>
                            <w:r w:rsidRPr="00100644">
                              <w:t>Students with Disabilities Transport Program</w:t>
                            </w:r>
                            <w:r>
                              <w:t>; and</w:t>
                            </w:r>
                          </w:p>
                          <w:p w:rsidR="00E25CC6" w:rsidRDefault="00E25CC6" w:rsidP="00BD4885">
                            <w:pPr>
                              <w:pStyle w:val="BulletText"/>
                            </w:pPr>
                            <w:r w:rsidRPr="00AD22C5">
                              <w:t>Transition to NAPLAN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386.95pt;height:3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" fillcolor="#d8d8d8 [2732]" stroked="f" strokeweight=".5pt">
                <v:textbox>
                  <w:txbxContent>
                    <w:p w:rsidR="00E25CC6" w:rsidRPr="00D71D54" w:rsidRDefault="00E25CC6" w:rsidP="00706FD8">
                      <w:pPr>
                        <w:pStyle w:val="Heading5"/>
                        <w:spacing w:after="120"/>
                      </w:pPr>
                      <w:r w:rsidRPr="00D71D54">
                        <w:t>Box</w:t>
                      </w:r>
                      <w:r>
                        <w:t xml:space="preserve"> 1.1 Allocation of Education State decisions made in the </w:t>
                      </w:r>
                      <w:r w:rsidRPr="00553C5B">
                        <w:rPr>
                          <w:i/>
                        </w:rPr>
                        <w:t>2015</w:t>
                      </w:r>
                      <w:r>
                        <w:rPr>
                          <w:i/>
                        </w:rPr>
                        <w:noBreakHyphen/>
                      </w:r>
                      <w:r w:rsidRPr="00553C5B">
                        <w:rPr>
                          <w:i/>
                        </w:rPr>
                        <w:t>16 Budget</w:t>
                      </w:r>
                    </w:p>
                    <w:p w:rsidR="00E25CC6" w:rsidRPr="001B3B1F" w:rsidRDefault="00E25CC6" w:rsidP="001B3B1F">
                      <w:r w:rsidRPr="001B3B1F">
                        <w:t xml:space="preserve">The </w:t>
                      </w:r>
                      <w:r w:rsidRPr="00BC370A">
                        <w:rPr>
                          <w:i/>
                        </w:rPr>
                        <w:t>2015</w:t>
                      </w:r>
                      <w:r>
                        <w:rPr>
                          <w:i/>
                        </w:rPr>
                        <w:noBreakHyphen/>
                      </w:r>
                      <w:r w:rsidRPr="00BC370A">
                        <w:rPr>
                          <w:i/>
                        </w:rPr>
                        <w:t>16 Budget</w:t>
                      </w:r>
                      <w:r w:rsidRPr="001B3B1F">
                        <w:t xml:space="preserve"> announced $1.4</w:t>
                      </w:r>
                      <w:r>
                        <w:t> billion</w:t>
                      </w:r>
                      <w:r w:rsidRPr="001B3B1F">
                        <w:t xml:space="preserve"> for the Education State initiative. This funding was held centrally to be allocated to schools </w:t>
                      </w:r>
                      <w:r>
                        <w:t>from</w:t>
                      </w:r>
                      <w:r w:rsidRPr="001B3B1F">
                        <w:t xml:space="preserve"> the 2016 and 2017 school years. </w:t>
                      </w:r>
                      <w:r>
                        <w:t xml:space="preserve">Prior to the </w:t>
                      </w:r>
                      <w:r w:rsidRPr="006A4063">
                        <w:rPr>
                          <w:i/>
                        </w:rPr>
                        <w:t>2015</w:t>
                      </w:r>
                      <w:r>
                        <w:rPr>
                          <w:i/>
                        </w:rPr>
                        <w:noBreakHyphen/>
                      </w:r>
                      <w:r w:rsidRPr="006A4063">
                        <w:rPr>
                          <w:i/>
                        </w:rPr>
                        <w:t>16 Budget Update</w:t>
                      </w:r>
                      <w:r>
                        <w:t xml:space="preserve"> the Government announced $747 million of this funding would be provided to schools over four years, starting from the 2016 school year. </w:t>
                      </w:r>
                      <w:r w:rsidRPr="001B3B1F">
                        <w:t xml:space="preserve">In the </w:t>
                      </w:r>
                      <w:r w:rsidRPr="00BC370A">
                        <w:rPr>
                          <w:i/>
                        </w:rPr>
                        <w:t>2016</w:t>
                      </w:r>
                      <w:r>
                        <w:rPr>
                          <w:i/>
                        </w:rPr>
                        <w:noBreakHyphen/>
                      </w:r>
                      <w:r w:rsidRPr="00BC370A">
                        <w:rPr>
                          <w:i/>
                        </w:rPr>
                        <w:t>17 Budget</w:t>
                      </w:r>
                      <w:r w:rsidRPr="001B3B1F">
                        <w:t>,</w:t>
                      </w:r>
                      <w:r>
                        <w:t xml:space="preserve"> the</w:t>
                      </w:r>
                      <w:r w:rsidRPr="001B3B1F">
                        <w:t xml:space="preserve"> Government is allocating</w:t>
                      </w:r>
                      <w:r>
                        <w:t xml:space="preserve"> a</w:t>
                      </w:r>
                      <w:r w:rsidRPr="001B3B1F">
                        <w:t xml:space="preserve"> further $644.6</w:t>
                      </w:r>
                      <w:r>
                        <w:t> million over four years, from the start of</w:t>
                      </w:r>
                      <w:r w:rsidRPr="001B3B1F">
                        <w:t xml:space="preserve"> the 2017 school year</w:t>
                      </w:r>
                      <w:r>
                        <w:t>. This includes</w:t>
                      </w:r>
                      <w:r w:rsidRPr="001B3B1F">
                        <w:t>:</w:t>
                      </w:r>
                    </w:p>
                    <w:p w:rsidR="00E25CC6" w:rsidRPr="00100644" w:rsidRDefault="00E25CC6" w:rsidP="001B3B1F">
                      <w:pPr>
                        <w:pStyle w:val="BulletText"/>
                      </w:pPr>
                      <w:r w:rsidRPr="00100644">
                        <w:t>Community language schools</w:t>
                      </w:r>
                      <w:r>
                        <w:t>;</w:t>
                      </w:r>
                    </w:p>
                    <w:p w:rsidR="00E25CC6" w:rsidRPr="00100644" w:rsidRDefault="00E25CC6" w:rsidP="001B3B1F">
                      <w:pPr>
                        <w:pStyle w:val="BulletText"/>
                      </w:pPr>
                      <w:r w:rsidRPr="00100644">
                        <w:t>Digital education: maintaining technical support in schools</w:t>
                      </w:r>
                      <w:r>
                        <w:t>;</w:t>
                      </w:r>
                    </w:p>
                    <w:p w:rsidR="00E25CC6" w:rsidRPr="00100644" w:rsidRDefault="00E25CC6" w:rsidP="001B3B1F">
                      <w:pPr>
                        <w:pStyle w:val="BulletText"/>
                      </w:pPr>
                      <w:r w:rsidRPr="00100644">
                        <w:t>English as an additional language</w:t>
                      </w:r>
                      <w:r>
                        <w:t>;</w:t>
                      </w:r>
                    </w:p>
                    <w:p w:rsidR="00E25CC6" w:rsidRPr="00100644" w:rsidRDefault="00E25CC6" w:rsidP="001B3B1F">
                      <w:pPr>
                        <w:pStyle w:val="BulletText"/>
                      </w:pPr>
                      <w:r w:rsidRPr="00100644">
                        <w:t>Essential maintenance</w:t>
                      </w:r>
                      <w:r>
                        <w:t>;</w:t>
                      </w:r>
                    </w:p>
                    <w:p w:rsidR="00E25CC6" w:rsidRPr="00100644" w:rsidRDefault="00E25CC6" w:rsidP="001B3B1F">
                      <w:pPr>
                        <w:pStyle w:val="BulletText"/>
                      </w:pPr>
                      <w:r w:rsidRPr="00100644">
                        <w:t>Program for Students with Disabilities</w:t>
                      </w:r>
                      <w:r>
                        <w:t>;</w:t>
                      </w:r>
                    </w:p>
                    <w:p w:rsidR="00E25CC6" w:rsidRPr="00100644" w:rsidRDefault="00E25CC6" w:rsidP="001B3B1F">
                      <w:pPr>
                        <w:pStyle w:val="BulletText"/>
                      </w:pPr>
                      <w:r w:rsidRPr="00100644">
                        <w:t xml:space="preserve">Program for </w:t>
                      </w:r>
                      <w:r>
                        <w:t>S</w:t>
                      </w:r>
                      <w:r w:rsidRPr="00100644">
                        <w:t xml:space="preserve">tudents with </w:t>
                      </w:r>
                      <w:r>
                        <w:t>D</w:t>
                      </w:r>
                      <w:r w:rsidRPr="00100644">
                        <w:t>isabilities</w:t>
                      </w:r>
                      <w:r>
                        <w:t xml:space="preserve"> – </w:t>
                      </w:r>
                      <w:r w:rsidRPr="00100644">
                        <w:t>response to the review</w:t>
                      </w:r>
                      <w:r>
                        <w:t>;</w:t>
                      </w:r>
                    </w:p>
                    <w:p w:rsidR="00E25CC6" w:rsidRPr="00100644" w:rsidRDefault="00E25CC6" w:rsidP="001B3B1F">
                      <w:pPr>
                        <w:pStyle w:val="BulletText"/>
                      </w:pPr>
                      <w:r w:rsidRPr="00100644">
                        <w:t>Refugee Education Support</w:t>
                      </w:r>
                      <w:r>
                        <w:t>;</w:t>
                      </w:r>
                    </w:p>
                    <w:p w:rsidR="00E25CC6" w:rsidRPr="00100644" w:rsidRDefault="00E25CC6" w:rsidP="001B3B1F">
                      <w:pPr>
                        <w:pStyle w:val="BulletText"/>
                      </w:pPr>
                      <w:r w:rsidRPr="00100644">
                        <w:t>Secondary School Software Suite</w:t>
                      </w:r>
                      <w:r>
                        <w:t>;</w:t>
                      </w:r>
                    </w:p>
                    <w:p w:rsidR="00E25CC6" w:rsidRPr="00100644" w:rsidRDefault="00E25CC6" w:rsidP="001B3B1F">
                      <w:pPr>
                        <w:pStyle w:val="BulletText"/>
                      </w:pPr>
                      <w:r w:rsidRPr="00100644">
                        <w:t>Stephanie Alexander Kitchen Gardens</w:t>
                      </w:r>
                      <w:r>
                        <w:t>;</w:t>
                      </w:r>
                    </w:p>
                    <w:p w:rsidR="00E25CC6" w:rsidRPr="00100644" w:rsidRDefault="00E25CC6" w:rsidP="001B3B1F">
                      <w:pPr>
                        <w:pStyle w:val="BulletText"/>
                      </w:pPr>
                      <w:r w:rsidRPr="00100644">
                        <w:t>Student Support Services</w:t>
                      </w:r>
                      <w:r>
                        <w:t xml:space="preserve"> – </w:t>
                      </w:r>
                      <w:r w:rsidRPr="00100644">
                        <w:t>workforce assets</w:t>
                      </w:r>
                      <w:r>
                        <w:t>;</w:t>
                      </w:r>
                    </w:p>
                    <w:p w:rsidR="00E25CC6" w:rsidRPr="00100644" w:rsidRDefault="00E25CC6" w:rsidP="001B3B1F">
                      <w:pPr>
                        <w:pStyle w:val="BulletText"/>
                      </w:pPr>
                      <w:r w:rsidRPr="00100644">
                        <w:t>Students with Disabilities Transport Program</w:t>
                      </w:r>
                      <w:r>
                        <w:t>; and</w:t>
                      </w:r>
                    </w:p>
                    <w:p w:rsidR="00E25CC6" w:rsidRDefault="00E25CC6" w:rsidP="00BD4885">
                      <w:pPr>
                        <w:pStyle w:val="BulletText"/>
                      </w:pPr>
                      <w:r w:rsidRPr="00AD22C5">
                        <w:t>Transition to NAPLAN online.</w:t>
                      </w:r>
                    </w:p>
                  </w:txbxContent>
                </v:textbox>
                <w10:anchorlock/>
              </v:shape>
            </w:pict>
          </mc:Fallback>
        </mc:AlternateContent>
      </w:r>
    </w:p>
    <w:p w:rsidR="00E25CC6" w:rsidRDefault="00E25CC6">
      <w:pPr>
        <w:spacing w:after="0"/>
        <w:rPr>
          <w:rFonts w:ascii="Calibri" w:hAnsi="Calibri"/>
          <w:b/>
          <w:i/>
          <w:kern w:val="28"/>
          <w:sz w:val="24"/>
          <w:szCs w:val="22"/>
        </w:rPr>
      </w:pPr>
      <w:r>
        <w:br w:type="page"/>
      </w:r>
    </w:p>
    <w:p w:rsidR="00E25CC6" w:rsidRDefault="00E25CC6" w:rsidP="00500A53">
      <w:pPr>
        <w:pStyle w:val="Heading3"/>
      </w:pPr>
      <w:r w:rsidRPr="00500A53">
        <w:t xml:space="preserve">Asset </w:t>
      </w:r>
      <w:r>
        <w:t>initiatives</w:t>
      </w:r>
      <w:r w:rsidRPr="00500A53">
        <w:t xml:space="preserve"> </w:t>
      </w:r>
    </w:p>
    <w:p w:rsidR="00E25CC6" w:rsidRDefault="00E25CC6" w:rsidP="00341B58">
      <w:pPr>
        <w:pStyle w:val="Tableheading"/>
      </w:pPr>
      <w:r>
        <w:t>Table 1.15:</w:t>
      </w:r>
      <w:r>
        <w:tab/>
        <w:t>Asset initiatives – Department of Education and Training</w:t>
      </w:r>
    </w:p>
    <w:p w:rsidR="00E25CC6" w:rsidRDefault="00E25CC6" w:rsidP="001101B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02"/>
        <w:gridCol w:w="862"/>
        <w:gridCol w:w="862"/>
        <w:gridCol w:w="863"/>
        <w:gridCol w:w="862"/>
        <w:gridCol w:w="862"/>
        <w:gridCol w:w="863"/>
      </w:tblGrid>
      <w:tr w:rsidR="00E25CC6" w:rsidRPr="001101B0" w:rsidTr="001101B0">
        <w:trPr>
          <w:cantSplit/>
        </w:trPr>
        <w:tc>
          <w:tcPr>
            <w:tcW w:w="2602"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1101B0">
            <w:pPr>
              <w:pStyle w:val="Tabletext"/>
              <w:rPr>
                <w:rFonts w:eastAsiaTheme="minorEastAsia"/>
                <w:lang w:eastAsia="en-AU"/>
              </w:rPr>
            </w:pPr>
            <w:r>
              <w:rPr>
                <w:rFonts w:eastAsiaTheme="minorEastAsia"/>
                <w:lang w:eastAsia="en-AU"/>
              </w:rPr>
              <w:t xml:space="preserve"> </w:t>
            </w:r>
          </w:p>
        </w:tc>
        <w:tc>
          <w:tcPr>
            <w:tcW w:w="862"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62"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63"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62"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62"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2019</w:t>
            </w:r>
            <w:r>
              <w:rPr>
                <w:rFonts w:eastAsiaTheme="minorEastAsia"/>
                <w:lang w:eastAsia="en-AU"/>
              </w:rPr>
              <w:noBreakHyphen/>
            </w:r>
            <w:r w:rsidRPr="001101B0">
              <w:rPr>
                <w:rFonts w:eastAsiaTheme="minorEastAsia"/>
                <w:lang w:eastAsia="en-AU"/>
              </w:rPr>
              <w:t>20</w:t>
            </w:r>
          </w:p>
        </w:tc>
        <w:tc>
          <w:tcPr>
            <w:tcW w:w="863" w:type="dxa"/>
            <w:tcBorders>
              <w:top w:val="single" w:sz="4" w:space="0" w:color="auto"/>
              <w:left w:val="nil"/>
              <w:bottom w:val="single" w:sz="4" w:space="0" w:color="auto"/>
              <w:right w:val="single" w:sz="4" w:space="0" w:color="auto"/>
            </w:tcBorders>
            <w:shd w:val="clear" w:color="auto" w:fill="000000"/>
          </w:tcPr>
          <w:p w:rsidR="00E25CC6" w:rsidRPr="001101B0" w:rsidRDefault="00E25CC6" w:rsidP="001101B0">
            <w:pPr>
              <w:pStyle w:val="Tabletextheading"/>
              <w:rPr>
                <w:rFonts w:eastAsiaTheme="minorEastAsia" w:cs="Calibri"/>
                <w:iCs/>
                <w:lang w:eastAsia="en-AU"/>
              </w:rPr>
            </w:pPr>
            <w:r w:rsidRPr="001101B0">
              <w:rPr>
                <w:rFonts w:eastAsiaTheme="minorEastAsia" w:cs="Calibri"/>
                <w:iCs/>
                <w:lang w:eastAsia="en-AU"/>
              </w:rPr>
              <w:t>TEI</w:t>
            </w:r>
          </w:p>
        </w:tc>
      </w:tr>
      <w:tr w:rsidR="00E25CC6" w:rsidRPr="001101B0" w:rsidTr="001101B0">
        <w:trPr>
          <w:cantSplit/>
        </w:trPr>
        <w:tc>
          <w:tcPr>
            <w:tcW w:w="2602" w:type="dxa"/>
            <w:tcBorders>
              <w:top w:val="single" w:sz="4" w:space="0" w:color="auto"/>
              <w:left w:val="nil"/>
              <w:bottom w:val="nil"/>
              <w:right w:val="nil"/>
            </w:tcBorders>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School Education</w:t>
            </w:r>
          </w:p>
        </w:tc>
        <w:tc>
          <w:tcPr>
            <w:tcW w:w="862"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w:t>
            </w:r>
          </w:p>
        </w:tc>
        <w:tc>
          <w:tcPr>
            <w:tcW w:w="862"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w:t>
            </w:r>
          </w:p>
        </w:tc>
        <w:tc>
          <w:tcPr>
            <w:tcW w:w="863"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w:t>
            </w:r>
          </w:p>
        </w:tc>
        <w:tc>
          <w:tcPr>
            <w:tcW w:w="862"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w:t>
            </w:r>
          </w:p>
        </w:tc>
        <w:tc>
          <w:tcPr>
            <w:tcW w:w="862"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lang w:eastAsia="en-AU"/>
              </w:rPr>
            </w:pPr>
            <w:r w:rsidRPr="001101B0">
              <w:rPr>
                <w:rFonts w:eastAsiaTheme="minorEastAsia"/>
                <w:lang w:eastAsia="en-AU"/>
              </w:rPr>
              <w:t xml:space="preserve"> </w:t>
            </w:r>
          </w:p>
        </w:tc>
        <w:tc>
          <w:tcPr>
            <w:tcW w:w="863" w:type="dxa"/>
            <w:tcBorders>
              <w:top w:val="single" w:sz="4" w:space="0" w:color="auto"/>
              <w:left w:val="nil"/>
              <w:bottom w:val="nil"/>
              <w:right w:val="nil"/>
            </w:tcBorders>
          </w:tcPr>
          <w:p w:rsidR="00E25CC6" w:rsidRPr="001101B0" w:rsidRDefault="00E25CC6" w:rsidP="001101B0">
            <w:pPr>
              <w:autoSpaceDE w:val="0"/>
              <w:autoSpaceDN w:val="0"/>
              <w:adjustRightInd w:val="0"/>
              <w:spacing w:after="0"/>
              <w:rPr>
                <w:rFonts w:ascii="Calibri" w:eastAsiaTheme="minorEastAsia" w:hAnsi="Calibri" w:cs="Calibri"/>
                <w:color w:val="FFFFFF"/>
                <w:sz w:val="20"/>
                <w:lang w:eastAsia="en-AU"/>
              </w:rPr>
            </w:pPr>
            <w:r w:rsidRPr="001101B0">
              <w:rPr>
                <w:rFonts w:ascii="Calibri" w:eastAsiaTheme="minorEastAsia" w:hAnsi="Calibri" w:cs="Calibri"/>
                <w:color w:val="FFFFFF"/>
                <w:sz w:val="20"/>
                <w:lang w:eastAsia="en-AU"/>
              </w:rPr>
              <w:t xml:space="preserve"> </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Asbestos removal program</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13.0</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15.0</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28.0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Doctors in schools</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18.0</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18.0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Inclusive schools fund</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3.0</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3.5</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3.5</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10.0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Land acquisition</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54.3</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47.7</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102.0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Metro school upgrades</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26.2</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107.8</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60.1</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1.9</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196.0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New schools construction</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62.1</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93.0</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29.0</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1.2</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185.4</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Planning for schools</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7.3</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4.7</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12.0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Relocatable classrooms</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33.7</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29.9</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63.6</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Rural and regional school upgrades</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18.6</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86.9</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44.9</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0.7</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151.1</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School Pride and Sports Fund</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7.6</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6.3</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2.1</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16.0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Shared facilities fund</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50.0</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50.0</w:t>
            </w:r>
          </w:p>
        </w:tc>
      </w:tr>
      <w:tr w:rsidR="00E25CC6" w:rsidRPr="001101B0" w:rsidTr="001101B0">
        <w:trPr>
          <w:cantSplit/>
        </w:trPr>
        <w:tc>
          <w:tcPr>
            <w:tcW w:w="260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Tech Schools Program</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47.2</w:t>
            </w:r>
          </w:p>
        </w:tc>
        <w:tc>
          <w:tcPr>
            <w:tcW w:w="86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15.7</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2"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3" w:type="dxa"/>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62.9</w:t>
            </w:r>
          </w:p>
        </w:tc>
      </w:tr>
      <w:tr w:rsidR="00E25CC6" w:rsidRPr="001101B0" w:rsidTr="001101B0">
        <w:trPr>
          <w:cantSplit/>
        </w:trPr>
        <w:tc>
          <w:tcPr>
            <w:tcW w:w="2602"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text"/>
              <w:rPr>
                <w:rFonts w:eastAsiaTheme="minorEastAsia"/>
                <w:b/>
                <w:bCs/>
                <w:color w:val="000000"/>
                <w:vertAlign w:val="superscript"/>
                <w:lang w:eastAsia="en-AU"/>
              </w:rPr>
            </w:pPr>
            <w:r w:rsidRPr="001101B0">
              <w:rPr>
                <w:rFonts w:eastAsiaTheme="minorEastAsia"/>
                <w:b/>
                <w:bCs/>
                <w:color w:val="000000"/>
                <w:lang w:eastAsia="en-AU"/>
              </w:rPr>
              <w:t xml:space="preserve">Total asset initiatives </w:t>
            </w:r>
            <w:r w:rsidRPr="001101B0">
              <w:rPr>
                <w:rFonts w:eastAsiaTheme="minorEastAsia"/>
                <w:b/>
                <w:bCs/>
                <w:color w:val="000000"/>
                <w:vertAlign w:val="superscript"/>
                <w:lang w:eastAsia="en-AU"/>
              </w:rPr>
              <w:t>(a)</w:t>
            </w:r>
          </w:p>
        </w:tc>
        <w:tc>
          <w:tcPr>
            <w:tcW w:w="862"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33.7</w:t>
            </w:r>
          </w:p>
        </w:tc>
        <w:tc>
          <w:tcPr>
            <w:tcW w:w="862"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337.3</w:t>
            </w:r>
          </w:p>
        </w:tc>
        <w:tc>
          <w:tcPr>
            <w:tcW w:w="863"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380.6</w:t>
            </w:r>
          </w:p>
        </w:tc>
        <w:tc>
          <w:tcPr>
            <w:tcW w:w="862"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139.6</w:t>
            </w:r>
          </w:p>
        </w:tc>
        <w:tc>
          <w:tcPr>
            <w:tcW w:w="862"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3.8</w:t>
            </w:r>
          </w:p>
        </w:tc>
        <w:tc>
          <w:tcPr>
            <w:tcW w:w="863" w:type="dxa"/>
            <w:tcBorders>
              <w:top w:val="single" w:sz="6" w:space="0" w:color="auto"/>
              <w:left w:val="nil"/>
              <w:bottom w:val="single" w:sz="12" w:space="0" w:color="auto"/>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b/>
                <w:bCs/>
                <w:color w:val="000000"/>
                <w:sz w:val="20"/>
                <w:lang w:eastAsia="en-AU"/>
              </w:rPr>
            </w:pPr>
            <w:r w:rsidRPr="001101B0">
              <w:rPr>
                <w:rFonts w:ascii="Calibri" w:eastAsiaTheme="minorEastAsia" w:hAnsi="Calibri" w:cs="Calibri"/>
                <w:b/>
                <w:bCs/>
                <w:color w:val="000000"/>
                <w:sz w:val="20"/>
                <w:lang w:eastAsia="en-AU"/>
              </w:rPr>
              <w:t xml:space="preserve"> 895.0</w:t>
            </w:r>
          </w:p>
        </w:tc>
      </w:tr>
    </w:tbl>
    <w:p w:rsidR="00E25CC6" w:rsidRDefault="00E25CC6" w:rsidP="00566998">
      <w:pPr>
        <w:pStyle w:val="Source"/>
      </w:pPr>
      <w:r>
        <w:t>Source: Department of Treasury and Finance</w:t>
      </w:r>
      <w:r>
        <w:fldChar w:fldCharType="begin"/>
      </w:r>
      <w:r>
        <w:instrText xml:space="preserve"> XE "</w:instrText>
      </w:r>
      <w:r w:rsidRPr="00122CAD">
        <w:instrText>Department of Education and Training:Asset initiatives</w:instrText>
      </w:r>
      <w:r>
        <w:instrText xml:space="preserve">" </w:instrText>
      </w:r>
      <w:r>
        <w:fldChar w:fldCharType="end"/>
      </w:r>
    </w:p>
    <w:p w:rsidR="00E25CC6" w:rsidRDefault="00E25CC6" w:rsidP="00566998">
      <w:pPr>
        <w:pStyle w:val="Notes"/>
      </w:pPr>
      <w:r>
        <w:t>Note:</w:t>
      </w:r>
    </w:p>
    <w:p w:rsidR="00E25CC6" w:rsidRDefault="00E25CC6" w:rsidP="00566998">
      <w:pPr>
        <w:pStyle w:val="Notes"/>
      </w:pPr>
      <w:r>
        <w:t>(a)</w:t>
      </w:r>
      <w:r>
        <w:tab/>
        <w:t>Tables may not add due to rounding.</w:t>
      </w:r>
    </w:p>
    <w:p w:rsidR="00E25CC6" w:rsidRDefault="00E25CC6" w:rsidP="00566998">
      <w:pPr>
        <w:pStyle w:val="Notes"/>
      </w:pPr>
    </w:p>
    <w:p w:rsidR="00E25CC6" w:rsidRDefault="00E25CC6" w:rsidP="002E3720">
      <w:pPr>
        <w:pStyle w:val="Heading4"/>
      </w:pPr>
      <w:bookmarkStart w:id="28" w:name="DET_SchoolEducChap1b"/>
      <w:r>
        <w:t>School education</w:t>
      </w:r>
    </w:p>
    <w:p w:rsidR="00E25CC6" w:rsidRDefault="00E25CC6" w:rsidP="00832133">
      <w:pPr>
        <w:pStyle w:val="Heading5"/>
      </w:pPr>
      <w:r>
        <w:t>Asbestos removal program</w:t>
      </w:r>
    </w:p>
    <w:p w:rsidR="00E25CC6" w:rsidRDefault="00E25CC6" w:rsidP="003E0DAB">
      <w:r>
        <w:t xml:space="preserve">The scope and scale of asbestos removal in Victorian schools will be increased by providing further funding towards the Government’s commitment to remove high risk asbestos in schools. This includes removal during capital works, small scale removal, emergency removal and the replacement of relocatable classrooms. </w:t>
      </w:r>
    </w:p>
    <w:p w:rsidR="00E25CC6" w:rsidRPr="00140DF7" w:rsidRDefault="00E25CC6" w:rsidP="005A2ABE">
      <w:r w:rsidRPr="00140DF7">
        <w:t>This initiative delivers on the Government</w:t>
      </w:r>
      <w:r>
        <w:t>’</w:t>
      </w:r>
      <w:r w:rsidRPr="00140DF7">
        <w:t xml:space="preserve">s election commitment as published in </w:t>
      </w:r>
      <w:r w:rsidRPr="00465462">
        <w:t>Labor</w:t>
      </w:r>
      <w:r>
        <w:t>’</w:t>
      </w:r>
      <w:r w:rsidRPr="00465462">
        <w:t>s Financial Statement 2014</w:t>
      </w:r>
      <w:r w:rsidRPr="005A2ABE">
        <w:rPr>
          <w:i/>
        </w:rPr>
        <w:t>.</w:t>
      </w:r>
    </w:p>
    <w:p w:rsidR="00E25CC6" w:rsidRPr="00497C75" w:rsidRDefault="00E25CC6" w:rsidP="003E0DAB">
      <w:r w:rsidRPr="00497C75">
        <w:t>This initiative contributes to the Department of Education and Training</w:t>
      </w:r>
      <w:r>
        <w:t>’</w:t>
      </w:r>
      <w:r w:rsidRPr="00497C75">
        <w:t xml:space="preserve">s: </w:t>
      </w:r>
    </w:p>
    <w:p w:rsidR="00E25CC6" w:rsidRPr="00497C75" w:rsidRDefault="00E25CC6" w:rsidP="001C6BBF">
      <w:pPr>
        <w:pStyle w:val="BulletText"/>
      </w:pPr>
      <w:r w:rsidRPr="00497C75">
        <w:t xml:space="preserve">School Education – Primary output; and </w:t>
      </w:r>
    </w:p>
    <w:p w:rsidR="00E25CC6" w:rsidRPr="00497C75" w:rsidRDefault="00E25CC6" w:rsidP="001C6BBF">
      <w:pPr>
        <w:pStyle w:val="BulletText"/>
      </w:pPr>
      <w:r w:rsidRPr="00497C75">
        <w:t xml:space="preserve">School Education – Secondary output. </w:t>
      </w:r>
    </w:p>
    <w:p w:rsidR="00E25CC6" w:rsidRPr="006550C9" w:rsidRDefault="00E25CC6" w:rsidP="00832133">
      <w:pPr>
        <w:pStyle w:val="Heading5"/>
      </w:pPr>
      <w:r w:rsidRPr="006550C9">
        <w:t>Doctors in schools</w:t>
      </w:r>
    </w:p>
    <w:p w:rsidR="00E25CC6" w:rsidRPr="00BC370A" w:rsidRDefault="00E25CC6" w:rsidP="00BC370A">
      <w:r>
        <w:t>Refer to output initiative description.</w:t>
      </w:r>
    </w:p>
    <w:p w:rsidR="00E25CC6" w:rsidRDefault="00E25CC6">
      <w:pPr>
        <w:spacing w:after="0"/>
        <w:rPr>
          <w:rFonts w:ascii="Calibri" w:hAnsi="Calibri"/>
          <w:b/>
        </w:rPr>
      </w:pPr>
      <w:r>
        <w:br w:type="page"/>
      </w:r>
    </w:p>
    <w:p w:rsidR="00E25CC6" w:rsidRDefault="00E25CC6" w:rsidP="001C6291">
      <w:pPr>
        <w:pStyle w:val="Heading5"/>
      </w:pPr>
      <w:r>
        <w:t>Inclusive schools fund</w:t>
      </w:r>
    </w:p>
    <w:p w:rsidR="00E25CC6" w:rsidRDefault="00E25CC6" w:rsidP="00276056">
      <w:r>
        <w:t>The Inclusive schools fund will be extended to provide more schools with inclusive facilities for students with disabilities, based on best practice research and design.</w:t>
      </w:r>
    </w:p>
    <w:p w:rsidR="00E25CC6" w:rsidRPr="00F32BD0" w:rsidRDefault="00E25CC6" w:rsidP="001C6291">
      <w:r w:rsidRPr="00F32BD0">
        <w:t>This initiative contributes to the Department of Education and Training</w:t>
      </w:r>
      <w:r>
        <w:t>’</w:t>
      </w:r>
      <w:r w:rsidRPr="00F32BD0">
        <w:t xml:space="preserve">s: </w:t>
      </w:r>
    </w:p>
    <w:p w:rsidR="00E25CC6" w:rsidRPr="00F32BD0" w:rsidRDefault="00E25CC6" w:rsidP="001C6BBF">
      <w:pPr>
        <w:pStyle w:val="BulletText"/>
      </w:pPr>
      <w:r w:rsidRPr="00F32BD0">
        <w:t xml:space="preserve">School Education – Primary output; and </w:t>
      </w:r>
    </w:p>
    <w:p w:rsidR="00E25CC6" w:rsidRPr="00F32BD0" w:rsidRDefault="00E25CC6" w:rsidP="001C6BBF">
      <w:pPr>
        <w:pStyle w:val="BulletText"/>
      </w:pPr>
      <w:r w:rsidRPr="00F32BD0">
        <w:t xml:space="preserve">School Education – Secondary output. </w:t>
      </w:r>
    </w:p>
    <w:p w:rsidR="00E25CC6" w:rsidRDefault="00E25CC6" w:rsidP="00832133">
      <w:pPr>
        <w:pStyle w:val="Heading5"/>
      </w:pPr>
      <w:r>
        <w:t>Land acquisition</w:t>
      </w:r>
    </w:p>
    <w:p w:rsidR="00E25CC6" w:rsidRDefault="00E25CC6" w:rsidP="001C6BBF">
      <w:r>
        <w:t>Land will be acquired for twelve new schools in the Cities of Hume, Yarra, Greater Geelong, Casey, Wyndham, Melton, Whittlesea and Greater Dandenong.</w:t>
      </w:r>
    </w:p>
    <w:p w:rsidR="00E25CC6" w:rsidRPr="00351096" w:rsidRDefault="00E25CC6" w:rsidP="001C6BBF">
      <w:r w:rsidRPr="00351096">
        <w:t>This initiative contributes to the Department of Education and Training</w:t>
      </w:r>
      <w:r>
        <w:t>’</w:t>
      </w:r>
      <w:r w:rsidRPr="00351096">
        <w:t xml:space="preserve">s: </w:t>
      </w:r>
    </w:p>
    <w:p w:rsidR="00E25CC6" w:rsidRPr="00351096" w:rsidRDefault="00E25CC6" w:rsidP="001C6BBF">
      <w:pPr>
        <w:pStyle w:val="BulletText"/>
      </w:pPr>
      <w:r w:rsidRPr="00351096">
        <w:t xml:space="preserve">School Education – Primary output; and </w:t>
      </w:r>
    </w:p>
    <w:p w:rsidR="00E25CC6" w:rsidRPr="00351096" w:rsidRDefault="00E25CC6" w:rsidP="001C6BBF">
      <w:pPr>
        <w:pStyle w:val="BulletText"/>
      </w:pPr>
      <w:r w:rsidRPr="00351096">
        <w:t xml:space="preserve">School Education – Secondary output. </w:t>
      </w:r>
    </w:p>
    <w:p w:rsidR="00E25CC6" w:rsidRDefault="00E25CC6" w:rsidP="001C6291">
      <w:pPr>
        <w:pStyle w:val="Heading5"/>
      </w:pPr>
      <w:r>
        <w:t>Metro school upgrades</w:t>
      </w:r>
    </w:p>
    <w:p w:rsidR="00E25CC6" w:rsidRDefault="00E25CC6" w:rsidP="00B616DF">
      <w:pPr>
        <w:autoSpaceDE w:val="0"/>
        <w:autoSpaceDN w:val="0"/>
        <w:adjustRightInd w:val="0"/>
        <w:spacing w:after="0"/>
      </w:pPr>
      <w:r>
        <w:t>Forty</w:t>
      </w:r>
      <w:r>
        <w:noBreakHyphen/>
        <w:t>seven schools in the metropolitan area will receive funding for upgrades.</w:t>
      </w:r>
    </w:p>
    <w:p w:rsidR="00E25CC6" w:rsidRPr="00351096" w:rsidRDefault="00E25CC6" w:rsidP="003E0DAB">
      <w:r w:rsidRPr="00351096">
        <w:t>This initiative contributes to the Department of Education and Training</w:t>
      </w:r>
      <w:r>
        <w:t>’</w:t>
      </w:r>
      <w:r w:rsidRPr="00351096">
        <w:t xml:space="preserve">s: </w:t>
      </w:r>
    </w:p>
    <w:p w:rsidR="00E25CC6" w:rsidRPr="00351096" w:rsidRDefault="00E25CC6" w:rsidP="007C56BA">
      <w:pPr>
        <w:pStyle w:val="BulletText"/>
      </w:pPr>
      <w:r w:rsidRPr="00351096">
        <w:t xml:space="preserve">School Education – Primary output; and </w:t>
      </w:r>
    </w:p>
    <w:p w:rsidR="00E25CC6" w:rsidRDefault="00E25CC6" w:rsidP="007C56BA">
      <w:pPr>
        <w:pStyle w:val="BulletText"/>
      </w:pPr>
      <w:r w:rsidRPr="00351096">
        <w:t xml:space="preserve">School Education – Secondary output. </w:t>
      </w:r>
    </w:p>
    <w:p w:rsidR="00E25CC6" w:rsidRDefault="00E25CC6" w:rsidP="00832133">
      <w:pPr>
        <w:pStyle w:val="Heading5"/>
      </w:pPr>
      <w:r>
        <w:t>New schools construction</w:t>
      </w:r>
    </w:p>
    <w:p w:rsidR="00E25CC6" w:rsidRDefault="00E25CC6" w:rsidP="00F50DDB">
      <w:pPr>
        <w:rPr>
          <w:lang w:eastAsia="en-AU"/>
        </w:rPr>
      </w:pPr>
      <w:r>
        <w:rPr>
          <w:lang w:eastAsia="en-AU"/>
        </w:rPr>
        <w:t>In response to the challenges of unprecedented population growth and overcrowding in schools, Manor Lakes College (Stage 5), and Tarneit Senior Secondary College (Stage 2) will be completed, and the following new schools will built:</w:t>
      </w:r>
    </w:p>
    <w:p w:rsidR="00E25CC6" w:rsidRDefault="00E25CC6" w:rsidP="00F50DDB">
      <w:pPr>
        <w:pStyle w:val="BulletText"/>
        <w:rPr>
          <w:lang w:eastAsia="en-AU"/>
        </w:rPr>
      </w:pPr>
      <w:r>
        <w:rPr>
          <w:lang w:eastAsia="en-AU"/>
        </w:rPr>
        <w:t>Edgars Creek Secondary College;</w:t>
      </w:r>
    </w:p>
    <w:p w:rsidR="00E25CC6" w:rsidRDefault="00E25CC6" w:rsidP="00F50DDB">
      <w:pPr>
        <w:pStyle w:val="BulletText"/>
        <w:rPr>
          <w:lang w:eastAsia="en-AU"/>
        </w:rPr>
      </w:pPr>
      <w:r>
        <w:rPr>
          <w:lang w:eastAsia="en-AU"/>
        </w:rPr>
        <w:t>Beaumaris High School;</w:t>
      </w:r>
    </w:p>
    <w:p w:rsidR="00E25CC6" w:rsidRDefault="00E25CC6" w:rsidP="00F50DDB">
      <w:pPr>
        <w:pStyle w:val="BulletText"/>
        <w:rPr>
          <w:lang w:eastAsia="en-AU"/>
        </w:rPr>
      </w:pPr>
      <w:r>
        <w:rPr>
          <w:lang w:eastAsia="en-AU"/>
        </w:rPr>
        <w:t>Gum Scrub Creek Primary School;</w:t>
      </w:r>
    </w:p>
    <w:p w:rsidR="00E25CC6" w:rsidRDefault="00E25CC6" w:rsidP="00F50DDB">
      <w:pPr>
        <w:pStyle w:val="BulletText"/>
        <w:rPr>
          <w:lang w:eastAsia="en-AU"/>
        </w:rPr>
      </w:pPr>
      <w:r>
        <w:rPr>
          <w:lang w:eastAsia="en-AU"/>
        </w:rPr>
        <w:t>Prahran High School;</w:t>
      </w:r>
    </w:p>
    <w:p w:rsidR="00E25CC6" w:rsidRDefault="00E25CC6" w:rsidP="00F50DDB">
      <w:pPr>
        <w:pStyle w:val="BulletText"/>
        <w:rPr>
          <w:lang w:eastAsia="en-AU"/>
        </w:rPr>
      </w:pPr>
      <w:r>
        <w:rPr>
          <w:lang w:eastAsia="en-AU"/>
        </w:rPr>
        <w:t>Richmond High School;</w:t>
      </w:r>
    </w:p>
    <w:p w:rsidR="00E25CC6" w:rsidRDefault="00E25CC6" w:rsidP="00F50DDB">
      <w:pPr>
        <w:pStyle w:val="BulletText"/>
        <w:rPr>
          <w:lang w:eastAsia="en-AU"/>
        </w:rPr>
      </w:pPr>
      <w:r>
        <w:rPr>
          <w:lang w:eastAsia="en-AU"/>
        </w:rPr>
        <w:t>South Melbourne Primary School – Ferrars St;</w:t>
      </w:r>
    </w:p>
    <w:p w:rsidR="00E25CC6" w:rsidRDefault="00E25CC6" w:rsidP="00F50DDB">
      <w:pPr>
        <w:pStyle w:val="BulletText"/>
        <w:rPr>
          <w:lang w:eastAsia="en-AU"/>
        </w:rPr>
      </w:pPr>
      <w:r>
        <w:rPr>
          <w:lang w:eastAsia="en-AU"/>
        </w:rPr>
        <w:t>South Melbourne Park Primary School;</w:t>
      </w:r>
    </w:p>
    <w:p w:rsidR="00E25CC6" w:rsidRDefault="00E25CC6" w:rsidP="00F50DDB">
      <w:pPr>
        <w:pStyle w:val="BulletText"/>
        <w:rPr>
          <w:lang w:eastAsia="en-AU"/>
        </w:rPr>
      </w:pPr>
      <w:r>
        <w:rPr>
          <w:lang w:eastAsia="en-AU"/>
        </w:rPr>
        <w:t>Tarneit West Primary School; and</w:t>
      </w:r>
    </w:p>
    <w:p w:rsidR="00E25CC6" w:rsidRDefault="00E25CC6" w:rsidP="00F50DDB">
      <w:pPr>
        <w:pStyle w:val="BulletText"/>
        <w:rPr>
          <w:lang w:eastAsia="en-AU"/>
        </w:rPr>
      </w:pPr>
      <w:r>
        <w:rPr>
          <w:lang w:eastAsia="en-AU"/>
        </w:rPr>
        <w:t>Taylors Hill Secondary College.</w:t>
      </w:r>
    </w:p>
    <w:p w:rsidR="00E25CC6" w:rsidRDefault="00E25CC6" w:rsidP="00F50DDB">
      <w:pPr>
        <w:rPr>
          <w:lang w:eastAsia="en-AU"/>
        </w:rPr>
      </w:pPr>
      <w:r>
        <w:rPr>
          <w:lang w:eastAsia="en-AU"/>
        </w:rPr>
        <w:t xml:space="preserve">This initiative contributes to the Department of Education and Training’s: </w:t>
      </w:r>
    </w:p>
    <w:p w:rsidR="00E25CC6" w:rsidRDefault="00E25CC6" w:rsidP="007C56BA">
      <w:pPr>
        <w:pStyle w:val="BulletText"/>
        <w:rPr>
          <w:lang w:eastAsia="en-AU"/>
        </w:rPr>
      </w:pPr>
      <w:r>
        <w:rPr>
          <w:lang w:eastAsia="en-AU"/>
        </w:rPr>
        <w:t xml:space="preserve">School Education – Primary output; and </w:t>
      </w:r>
    </w:p>
    <w:p w:rsidR="00E25CC6" w:rsidRDefault="00E25CC6" w:rsidP="007C56BA">
      <w:pPr>
        <w:pStyle w:val="BulletText"/>
        <w:rPr>
          <w:lang w:eastAsia="en-AU"/>
        </w:rPr>
      </w:pPr>
      <w:r>
        <w:rPr>
          <w:lang w:eastAsia="en-AU"/>
        </w:rPr>
        <w:t xml:space="preserve">School Education – Secondary output. </w:t>
      </w:r>
    </w:p>
    <w:p w:rsidR="00E25CC6" w:rsidRDefault="00E25CC6">
      <w:pPr>
        <w:spacing w:after="0"/>
        <w:rPr>
          <w:rFonts w:ascii="Calibri" w:hAnsi="Calibri"/>
          <w:b/>
        </w:rPr>
      </w:pPr>
      <w:r>
        <w:br w:type="page"/>
      </w:r>
    </w:p>
    <w:p w:rsidR="00E25CC6" w:rsidRPr="00082EB2" w:rsidRDefault="00E25CC6" w:rsidP="00F50DDB">
      <w:pPr>
        <w:pStyle w:val="Heading5"/>
      </w:pPr>
      <w:r>
        <w:t xml:space="preserve">Planning for schools </w:t>
      </w:r>
    </w:p>
    <w:p w:rsidR="00E25CC6" w:rsidRPr="007B7136" w:rsidRDefault="00E25CC6" w:rsidP="003E0DAB">
      <w:r w:rsidRPr="007B7136">
        <w:t xml:space="preserve">Planning will be undertaken </w:t>
      </w:r>
      <w:r>
        <w:t xml:space="preserve">for future upgrades to schools across the State. Funding is allocated for two new schools in addition to providing for existing schools to undergo masterplanning and detailed design work. </w:t>
      </w:r>
      <w:r w:rsidRPr="00640B0D">
        <w:t>A review of the existing government funding provisions for established and interface council areas will be undertaken, and of special needs provision in schools</w:t>
      </w:r>
      <w:r>
        <w:t>. These reviews will inform future Government investments.</w:t>
      </w:r>
    </w:p>
    <w:p w:rsidR="00E25CC6" w:rsidRPr="00F32BD0" w:rsidRDefault="00E25CC6" w:rsidP="003E0DAB">
      <w:r w:rsidRPr="00F32BD0">
        <w:t>This initiative contributes to the Department of Education and Training</w:t>
      </w:r>
      <w:r>
        <w:t>’</w:t>
      </w:r>
      <w:r w:rsidRPr="00F32BD0">
        <w:t xml:space="preserve">s: </w:t>
      </w:r>
    </w:p>
    <w:p w:rsidR="00E25CC6" w:rsidRPr="00F32BD0" w:rsidRDefault="00E25CC6" w:rsidP="001C6BBF">
      <w:pPr>
        <w:pStyle w:val="BulletText"/>
      </w:pPr>
      <w:r w:rsidRPr="00F32BD0">
        <w:t xml:space="preserve">School Education – Primary output; and </w:t>
      </w:r>
    </w:p>
    <w:p w:rsidR="00E25CC6" w:rsidRDefault="00E25CC6" w:rsidP="001C6BBF">
      <w:pPr>
        <w:pStyle w:val="BulletText"/>
      </w:pPr>
      <w:r w:rsidRPr="00F32BD0">
        <w:t xml:space="preserve">School Education – Secondary output. </w:t>
      </w:r>
    </w:p>
    <w:p w:rsidR="00E25CC6" w:rsidRDefault="00E25CC6" w:rsidP="00553994">
      <w:pPr>
        <w:pStyle w:val="Source"/>
      </w:pPr>
    </w:p>
    <w:tbl>
      <w:tblPr>
        <w:tblStyle w:val="TableGrid"/>
        <w:tblW w:w="0" w:type="auto"/>
        <w:tblLook w:val="04A0" w:firstRow="1" w:lastRow="0" w:firstColumn="1" w:lastColumn="0" w:noHBand="0" w:noVBand="1"/>
      </w:tblPr>
      <w:tblGrid>
        <w:gridCol w:w="4140"/>
        <w:gridCol w:w="3649"/>
      </w:tblGrid>
      <w:tr w:rsidR="00E25CC6" w:rsidTr="00554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9" w:type="dxa"/>
            <w:gridSpan w:val="2"/>
            <w:tcBorders>
              <w:bottom w:val="nil"/>
            </w:tcBorders>
          </w:tcPr>
          <w:p w:rsidR="00E25CC6" w:rsidRPr="003D1D8A" w:rsidRDefault="00E25CC6" w:rsidP="003D1D8A">
            <w:pPr>
              <w:pStyle w:val="Tabletextheadingcentred"/>
              <w:jc w:val="left"/>
              <w:rPr>
                <w:i/>
              </w:rPr>
            </w:pPr>
            <w:r w:rsidRPr="003D1D8A">
              <w:rPr>
                <w:i/>
              </w:rPr>
              <w:t xml:space="preserve">Planning for schools </w:t>
            </w:r>
          </w:p>
        </w:tc>
      </w:tr>
      <w:tr w:rsidR="00E25CC6" w:rsidRPr="00A33845" w:rsidTr="008B29F9">
        <w:tc>
          <w:tcPr>
            <w:cnfStyle w:val="001000000000" w:firstRow="0" w:lastRow="0" w:firstColumn="1" w:lastColumn="0" w:oddVBand="0" w:evenVBand="0" w:oddHBand="0" w:evenHBand="0" w:firstRowFirstColumn="0" w:firstRowLastColumn="0" w:lastRowFirstColumn="0" w:lastRowLastColumn="0"/>
            <w:tcW w:w="4140" w:type="dxa"/>
            <w:tcBorders>
              <w:top w:val="nil"/>
              <w:left w:val="nil"/>
              <w:bottom w:val="nil"/>
              <w:right w:val="nil"/>
            </w:tcBorders>
          </w:tcPr>
          <w:p w:rsidR="00E25CC6" w:rsidRPr="00266544" w:rsidRDefault="00E25CC6" w:rsidP="008B29F9">
            <w:pPr>
              <w:pStyle w:val="Bullet1"/>
              <w:tabs>
                <w:tab w:val="clear" w:pos="504"/>
                <w:tab w:val="num" w:pos="256"/>
              </w:tabs>
              <w:spacing w:before="20"/>
              <w:ind w:left="256" w:hanging="256"/>
              <w:rPr>
                <w:szCs w:val="18"/>
              </w:rPr>
            </w:pPr>
            <w:r w:rsidRPr="00266544">
              <w:rPr>
                <w:szCs w:val="18"/>
              </w:rPr>
              <w:t>Abbotsford Primary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Baimbridge College</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Bayside Special Development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Beechworth Secondary College</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Bundoora Primary School</w:t>
            </w:r>
          </w:p>
          <w:p w:rsidR="00E25CC6" w:rsidRPr="00266544" w:rsidRDefault="00E25CC6" w:rsidP="008B29F9">
            <w:pPr>
              <w:pStyle w:val="Bullet1"/>
              <w:tabs>
                <w:tab w:val="clear" w:pos="504"/>
                <w:tab w:val="num" w:pos="256"/>
              </w:tabs>
              <w:spacing w:before="20"/>
              <w:ind w:left="255" w:hanging="255"/>
              <w:rPr>
                <w:szCs w:val="18"/>
              </w:rPr>
            </w:pPr>
            <w:r w:rsidRPr="00266544">
              <w:rPr>
                <w:szCs w:val="18"/>
              </w:rPr>
              <w:t>Coburg North Primary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Dandenong West Primary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Dinjerra Primary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Eltham High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Footscray Learning Precinct</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Fountain Gate Secondary College</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Hughesdale Primary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Lalor Gardens Primary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Lyndale Secondary College</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Marong Primary School</w:t>
            </w:r>
          </w:p>
          <w:p w:rsidR="00E25CC6" w:rsidRPr="00266544" w:rsidRDefault="00E25CC6" w:rsidP="008B29F9">
            <w:pPr>
              <w:pStyle w:val="Bullet1"/>
              <w:tabs>
                <w:tab w:val="clear" w:pos="504"/>
                <w:tab w:val="num" w:pos="256"/>
              </w:tabs>
              <w:spacing w:before="20"/>
              <w:ind w:left="256" w:hanging="256"/>
              <w:rPr>
                <w:szCs w:val="18"/>
              </w:rPr>
            </w:pPr>
            <w:r w:rsidRPr="00266544">
              <w:rPr>
                <w:szCs w:val="18"/>
              </w:rPr>
              <w:t>Melbourne High School Gifted Academy</w:t>
            </w:r>
          </w:p>
          <w:p w:rsidR="00E25CC6" w:rsidRDefault="00E25CC6" w:rsidP="008B29F9">
            <w:pPr>
              <w:pStyle w:val="Bullet1"/>
              <w:tabs>
                <w:tab w:val="clear" w:pos="504"/>
                <w:tab w:val="num" w:pos="256"/>
              </w:tabs>
              <w:spacing w:before="20"/>
              <w:ind w:left="256" w:hanging="256"/>
              <w:rPr>
                <w:szCs w:val="18"/>
              </w:rPr>
            </w:pPr>
            <w:r w:rsidRPr="00266544">
              <w:rPr>
                <w:szCs w:val="18"/>
              </w:rPr>
              <w:t>Melton Secondary College</w:t>
            </w:r>
          </w:p>
          <w:p w:rsidR="00E25CC6" w:rsidRPr="006C445C" w:rsidRDefault="00E25CC6" w:rsidP="008B29F9">
            <w:pPr>
              <w:pStyle w:val="Bullet1"/>
              <w:tabs>
                <w:tab w:val="clear" w:pos="504"/>
                <w:tab w:val="num" w:pos="256"/>
              </w:tabs>
              <w:spacing w:before="20"/>
              <w:ind w:left="256" w:hanging="256"/>
              <w:rPr>
                <w:szCs w:val="18"/>
              </w:rPr>
            </w:pPr>
            <w:r>
              <w:rPr>
                <w:szCs w:val="18"/>
              </w:rPr>
              <w:t>Melton West Primary School</w:t>
            </w:r>
          </w:p>
          <w:p w:rsidR="00E25CC6" w:rsidRPr="00266544" w:rsidRDefault="00E25CC6" w:rsidP="00266544">
            <w:pPr>
              <w:pStyle w:val="Bullet1"/>
              <w:numPr>
                <w:ilvl w:val="0"/>
                <w:numId w:val="0"/>
              </w:numPr>
              <w:spacing w:before="20"/>
              <w:rPr>
                <w:szCs w:val="18"/>
              </w:rPr>
            </w:pPr>
          </w:p>
        </w:tc>
        <w:tc>
          <w:tcPr>
            <w:tcW w:w="3649" w:type="dxa"/>
            <w:tcBorders>
              <w:top w:val="nil"/>
              <w:left w:val="nil"/>
              <w:bottom w:val="nil"/>
              <w:right w:val="nil"/>
            </w:tcBorders>
          </w:tcPr>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Montmorency South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Oakleigh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Port Melbourne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Reservoir East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Sandringham East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Seaford North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Spring Gully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Strathmore Secondary College</w:t>
            </w:r>
          </w:p>
          <w:p w:rsidR="00E25CC6"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 xml:space="preserve">The Alpine School for Leadership </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Upwey High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Valkstone Primary School</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Wellington Secondary College</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Westall Schools Regeneration</w:t>
            </w:r>
          </w:p>
          <w:p w:rsidR="00E25CC6"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Warringa Park School</w:t>
            </w:r>
            <w:r>
              <w:rPr>
                <w:szCs w:val="18"/>
              </w:rPr>
              <w:t xml:space="preserve"> </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Pr>
                <w:szCs w:val="18"/>
              </w:rPr>
              <w:t>Wheelers Hill Secondary College</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Wonthaggi Secondary College</w:t>
            </w:r>
          </w:p>
          <w:p w:rsidR="00E25CC6" w:rsidRPr="00266544" w:rsidRDefault="00E25CC6" w:rsidP="008B29F9">
            <w:pPr>
              <w:pStyle w:val="Bullet1"/>
              <w:tabs>
                <w:tab w:val="clear" w:pos="504"/>
                <w:tab w:val="num" w:pos="255"/>
              </w:tabs>
              <w:spacing w:before="20"/>
              <w:ind w:left="335" w:hanging="335"/>
              <w:jc w:val="left"/>
              <w:cnfStyle w:val="000000000000" w:firstRow="0" w:lastRow="0" w:firstColumn="0" w:lastColumn="0" w:oddVBand="0" w:evenVBand="0" w:oddHBand="0" w:evenHBand="0" w:firstRowFirstColumn="0" w:firstRowLastColumn="0" w:lastRowFirstColumn="0" w:lastRowLastColumn="0"/>
              <w:rPr>
                <w:szCs w:val="18"/>
              </w:rPr>
            </w:pPr>
            <w:r w:rsidRPr="00266544">
              <w:rPr>
                <w:szCs w:val="18"/>
              </w:rPr>
              <w:t>Yarrabah School</w:t>
            </w:r>
          </w:p>
        </w:tc>
      </w:tr>
    </w:tbl>
    <w:p w:rsidR="00E25CC6" w:rsidRDefault="00E25CC6" w:rsidP="001C6291">
      <w:pPr>
        <w:pStyle w:val="Heading5"/>
      </w:pPr>
      <w:r>
        <w:t>Relocatable classrooms</w:t>
      </w:r>
    </w:p>
    <w:p w:rsidR="00E25CC6" w:rsidRPr="0064295D" w:rsidRDefault="00E25CC6" w:rsidP="001C6291">
      <w:r w:rsidRPr="0064295D">
        <w:t>Short</w:t>
      </w:r>
      <w:r>
        <w:noBreakHyphen/>
      </w:r>
      <w:r w:rsidRPr="0064295D">
        <w:t xml:space="preserve">term relocatable buildings will be provided to relieve pressure at schools which have grown beyond their capacity in recent years. </w:t>
      </w:r>
    </w:p>
    <w:p w:rsidR="00E25CC6" w:rsidRPr="0064295D" w:rsidRDefault="00E25CC6" w:rsidP="001C6291">
      <w:r w:rsidRPr="0064295D">
        <w:t>This initiative contributes to the Department of Education and Training</w:t>
      </w:r>
      <w:r>
        <w:t>’</w:t>
      </w:r>
      <w:r w:rsidRPr="0064295D">
        <w:t xml:space="preserve">s: </w:t>
      </w:r>
    </w:p>
    <w:p w:rsidR="00E25CC6" w:rsidRPr="0064295D" w:rsidRDefault="00E25CC6" w:rsidP="001C6BBF">
      <w:pPr>
        <w:pStyle w:val="BulletText"/>
      </w:pPr>
      <w:r w:rsidRPr="0064295D">
        <w:t xml:space="preserve">School Education – Primary output; and </w:t>
      </w:r>
    </w:p>
    <w:p w:rsidR="00E25CC6" w:rsidRDefault="00E25CC6" w:rsidP="001C6BBF">
      <w:pPr>
        <w:pStyle w:val="BulletText"/>
        <w:rPr>
          <w:szCs w:val="22"/>
        </w:rPr>
      </w:pPr>
      <w:r>
        <w:rPr>
          <w:szCs w:val="22"/>
        </w:rPr>
        <w:t xml:space="preserve">School Education – Secondary output. </w:t>
      </w:r>
    </w:p>
    <w:p w:rsidR="00E25CC6" w:rsidRDefault="00E25CC6">
      <w:pPr>
        <w:spacing w:after="0"/>
        <w:rPr>
          <w:rFonts w:ascii="Calibri" w:hAnsi="Calibri"/>
          <w:b/>
        </w:rPr>
      </w:pPr>
      <w:r>
        <w:br w:type="page"/>
      </w:r>
    </w:p>
    <w:p w:rsidR="00E25CC6" w:rsidRDefault="00E25CC6" w:rsidP="00832133">
      <w:pPr>
        <w:pStyle w:val="Heading5"/>
      </w:pPr>
      <w:r>
        <w:t>Rural and regional school upgrades</w:t>
      </w:r>
    </w:p>
    <w:p w:rsidR="00E25CC6" w:rsidRDefault="00E25CC6" w:rsidP="003E0DAB">
      <w:r>
        <w:t>Thirty</w:t>
      </w:r>
      <w:r>
        <w:noBreakHyphen/>
        <w:t>nine schools in rural and regional areas will receive funding for upgrades.</w:t>
      </w:r>
    </w:p>
    <w:p w:rsidR="00E25CC6" w:rsidRPr="00351096" w:rsidRDefault="00E25CC6" w:rsidP="003E0DAB">
      <w:r w:rsidRPr="00351096">
        <w:t>This initiative contributes to the Department of Education and Training</w:t>
      </w:r>
      <w:r>
        <w:t>’</w:t>
      </w:r>
      <w:r w:rsidRPr="00351096">
        <w:t xml:space="preserve">s: </w:t>
      </w:r>
    </w:p>
    <w:p w:rsidR="00E25CC6" w:rsidRPr="00351096" w:rsidRDefault="00E25CC6" w:rsidP="001C6BBF">
      <w:pPr>
        <w:pStyle w:val="BulletText"/>
      </w:pPr>
      <w:r w:rsidRPr="00351096">
        <w:t xml:space="preserve">School Education – Primary output; and </w:t>
      </w:r>
    </w:p>
    <w:p w:rsidR="00E25CC6" w:rsidRPr="00351096" w:rsidRDefault="00E25CC6" w:rsidP="001C6BBF">
      <w:pPr>
        <w:pStyle w:val="BulletText"/>
      </w:pPr>
      <w:r w:rsidRPr="00351096">
        <w:t xml:space="preserve">School Education – Secondary output. </w:t>
      </w:r>
      <w:r>
        <w:t>.</w:t>
      </w:r>
      <w:r>
        <w:fldChar w:fldCharType="begin"/>
      </w:r>
      <w:r>
        <w:instrText xml:space="preserve"> XE "</w:instrText>
      </w:r>
      <w:r w:rsidRPr="00873D1A">
        <w:instrText>Regional and Rural Victoria Services</w:instrText>
      </w:r>
      <w:r>
        <w:instrText xml:space="preserve">" </w:instrText>
      </w:r>
      <w:r>
        <w:fldChar w:fldCharType="end"/>
      </w:r>
    </w:p>
    <w:p w:rsidR="00E25CC6" w:rsidRDefault="00E25CC6" w:rsidP="00832133">
      <w:pPr>
        <w:pStyle w:val="Heading5"/>
      </w:pPr>
      <w:r w:rsidRPr="003E0DAB">
        <w:t xml:space="preserve">School </w:t>
      </w:r>
      <w:r>
        <w:t>P</w:t>
      </w:r>
      <w:r w:rsidRPr="003E0DAB">
        <w:t>ride</w:t>
      </w:r>
      <w:r>
        <w:t xml:space="preserve"> and Sports Fund</w:t>
      </w:r>
    </w:p>
    <w:p w:rsidR="00E25CC6" w:rsidRDefault="00E25CC6" w:rsidP="00832133">
      <w:r w:rsidRPr="00154684">
        <w:t>The School Pride and Sports Fund will deliver minor refurbishments and upgrade projects</w:t>
      </w:r>
      <w:r>
        <w:t xml:space="preserve"> </w:t>
      </w:r>
      <w:r w:rsidRPr="00154684">
        <w:t>to impro</w:t>
      </w:r>
      <w:r>
        <w:t>ve the physical standard of government</w:t>
      </w:r>
      <w:r w:rsidRPr="00154684">
        <w:t xml:space="preserve"> schools. </w:t>
      </w:r>
      <w:r>
        <w:t>The Fund will also contribute to the Government’s commitment to make school sporting facilities competition grade.</w:t>
      </w:r>
    </w:p>
    <w:p w:rsidR="00E25CC6" w:rsidRPr="00497C75" w:rsidRDefault="00E25CC6" w:rsidP="003E0DAB">
      <w:r w:rsidRPr="00497C75">
        <w:t>This initiative contributes to the Department of Education and Training</w:t>
      </w:r>
      <w:r>
        <w:t>’</w:t>
      </w:r>
      <w:r w:rsidRPr="00497C75">
        <w:t xml:space="preserve">s: </w:t>
      </w:r>
    </w:p>
    <w:p w:rsidR="00E25CC6" w:rsidRPr="00497C75" w:rsidRDefault="00E25CC6" w:rsidP="001C6BBF">
      <w:pPr>
        <w:pStyle w:val="BulletText"/>
      </w:pPr>
      <w:r w:rsidRPr="00497C75">
        <w:t xml:space="preserve">School Education – Primary output; and </w:t>
      </w:r>
    </w:p>
    <w:p w:rsidR="00E25CC6" w:rsidRDefault="00E25CC6" w:rsidP="001C6BBF">
      <w:pPr>
        <w:pStyle w:val="BulletText"/>
      </w:pPr>
      <w:r w:rsidRPr="00497C75">
        <w:t xml:space="preserve">School Education – Secondary output. </w:t>
      </w:r>
    </w:p>
    <w:p w:rsidR="00E25CC6" w:rsidRDefault="00E25CC6" w:rsidP="003E0DAB">
      <w:pPr>
        <w:pStyle w:val="Heading5"/>
      </w:pPr>
      <w:r w:rsidRPr="002E4C85">
        <w:t>Shared facilities fund</w:t>
      </w:r>
      <w:r>
        <w:t xml:space="preserve"> </w:t>
      </w:r>
    </w:p>
    <w:p w:rsidR="00E25CC6" w:rsidRDefault="00E25CC6" w:rsidP="003E0DAB">
      <w:r>
        <w:t xml:space="preserve">A fund will be established to create community hubs in schools. These hubs will be established in growth areas and will involve partnerships between schools, local government and other parties. </w:t>
      </w:r>
      <w:r w:rsidRPr="00917594">
        <w:t xml:space="preserve">These jointly funded </w:t>
      </w:r>
      <w:r>
        <w:t>and managed facilities will be in</w:t>
      </w:r>
      <w:r w:rsidRPr="00917594">
        <w:t xml:space="preserve"> </w:t>
      </w:r>
      <w:r>
        <w:t>locations to benefit communities</w:t>
      </w:r>
      <w:r w:rsidRPr="00917594">
        <w:t>. They will enable greater use of school assets out</w:t>
      </w:r>
      <w:r>
        <w:t>side</w:t>
      </w:r>
      <w:r w:rsidRPr="00917594">
        <w:t xml:space="preserve"> of school hours</w:t>
      </w:r>
      <w:r>
        <w:t>.</w:t>
      </w:r>
    </w:p>
    <w:p w:rsidR="00E25CC6" w:rsidRPr="00497C75" w:rsidRDefault="00E25CC6" w:rsidP="003E0DAB">
      <w:r w:rsidRPr="00497C75">
        <w:t>This initiative contributes to the Department of Education and Training</w:t>
      </w:r>
      <w:r>
        <w:t>’</w:t>
      </w:r>
      <w:r w:rsidRPr="00497C75">
        <w:t xml:space="preserve">s: </w:t>
      </w:r>
    </w:p>
    <w:p w:rsidR="00E25CC6" w:rsidRPr="00497C75" w:rsidRDefault="00E25CC6" w:rsidP="001C6BBF">
      <w:pPr>
        <w:pStyle w:val="BulletText"/>
      </w:pPr>
      <w:r w:rsidRPr="00497C75">
        <w:t xml:space="preserve">School Education – Primary output; and </w:t>
      </w:r>
    </w:p>
    <w:p w:rsidR="00E25CC6" w:rsidRPr="00497C75" w:rsidRDefault="00E25CC6" w:rsidP="001C6BBF">
      <w:pPr>
        <w:pStyle w:val="BulletText"/>
      </w:pPr>
      <w:r w:rsidRPr="00497C75">
        <w:t xml:space="preserve">School Education – Secondary output. </w:t>
      </w:r>
    </w:p>
    <w:p w:rsidR="00E25CC6" w:rsidRDefault="00E25CC6" w:rsidP="00832133">
      <w:pPr>
        <w:pStyle w:val="Heading5"/>
      </w:pPr>
      <w:r>
        <w:t>Tech Schools Program</w:t>
      </w:r>
    </w:p>
    <w:p w:rsidR="00E25CC6" w:rsidRDefault="00E25CC6" w:rsidP="001C6BBF">
      <w:r>
        <w:t xml:space="preserve">Tech schools will be established in the Gippsland, Bendigo, Ballarat, Geelong, Monash, Casey, Wyndham, Banyule, Yarra Ranges and Whittlesea regions. Focusing on local industries, they will be open to secondary school students from across their region. </w:t>
      </w:r>
    </w:p>
    <w:p w:rsidR="00E25CC6" w:rsidRDefault="00E25CC6" w:rsidP="001C6BBF">
      <w:r>
        <w:t xml:space="preserve">This initiative also contains an output component for Tech schools being built on University sites. </w:t>
      </w:r>
    </w:p>
    <w:p w:rsidR="00E25CC6" w:rsidRPr="00140DF7" w:rsidRDefault="00E25CC6" w:rsidP="005A2ABE">
      <w:r w:rsidRPr="00140DF7">
        <w:t>This initiative delivers on the Government</w:t>
      </w:r>
      <w:r>
        <w:t>’</w:t>
      </w:r>
      <w:r w:rsidRPr="00140DF7">
        <w:t xml:space="preserve">s election commitment as published in </w:t>
      </w:r>
      <w:r w:rsidRPr="00465462">
        <w:t>Labor</w:t>
      </w:r>
      <w:r>
        <w:t>’</w:t>
      </w:r>
      <w:r w:rsidRPr="00465462">
        <w:t>s Financial Statement 2014</w:t>
      </w:r>
      <w:r w:rsidRPr="00140DF7">
        <w:t>.</w:t>
      </w:r>
    </w:p>
    <w:p w:rsidR="00E25CC6" w:rsidRDefault="00E25CC6" w:rsidP="001C6BBF">
      <w:r w:rsidRPr="00497C75">
        <w:t>This initiative contributes to the Department of Education and Training</w:t>
      </w:r>
      <w:r>
        <w:t>’</w:t>
      </w:r>
      <w:r w:rsidRPr="00497C75">
        <w:t xml:space="preserve">s: </w:t>
      </w:r>
    </w:p>
    <w:p w:rsidR="00E25CC6" w:rsidRDefault="00E25CC6" w:rsidP="001C6BBF">
      <w:pPr>
        <w:pStyle w:val="BulletText"/>
      </w:pPr>
      <w:r>
        <w:t>School Education – Secondary output.</w:t>
      </w:r>
      <w:bookmarkEnd w:id="28"/>
      <w:r>
        <w:fldChar w:fldCharType="begin"/>
      </w:r>
      <w:r>
        <w:instrText xml:space="preserve"> XE "</w:instrText>
      </w:r>
      <w:r w:rsidRPr="00EC7240">
        <w:instrText>Department of Education and Training:School Education</w:instrText>
      </w:r>
      <w:r>
        <w:instrText xml:space="preserve">" \r "DET_SchoolEducChap1b" </w:instrText>
      </w:r>
      <w:r>
        <w:fldChar w:fldCharType="end"/>
      </w:r>
      <w:r>
        <w:t xml:space="preserve"> .</w:t>
      </w:r>
      <w:r>
        <w:fldChar w:fldCharType="begin"/>
      </w:r>
      <w:r>
        <w:instrText xml:space="preserve"> XE "</w:instrText>
      </w:r>
      <w:r w:rsidRPr="00EC7240">
        <w:instrText>Educatio</w:instrText>
      </w:r>
      <w:r>
        <w:instrText>n</w:instrText>
      </w:r>
      <w:r w:rsidRPr="00EC7240">
        <w:instrText>:School Education</w:instrText>
      </w:r>
      <w:r>
        <w:instrText xml:space="preserve">" \r "DET_SchoolEducChap1b" </w:instrText>
      </w:r>
      <w:r>
        <w:fldChar w:fldCharType="end"/>
      </w:r>
    </w:p>
    <w:p w:rsidR="00E25CC6" w:rsidRPr="00FA2145" w:rsidRDefault="00E25CC6" w:rsidP="007A3BD7">
      <w:pPr>
        <w:pStyle w:val="Heading1"/>
      </w:pPr>
      <w:bookmarkStart w:id="29" w:name="_Toc449109428"/>
      <w:r>
        <w:t>Department of E</w:t>
      </w:r>
      <w:r w:rsidRPr="00FA2145">
        <w:t>nvironment, Land, Water and Planning</w:t>
      </w:r>
      <w:bookmarkEnd w:id="29"/>
    </w:p>
    <w:p w:rsidR="00E25CC6" w:rsidRDefault="00E25CC6" w:rsidP="00500A53">
      <w:pPr>
        <w:pStyle w:val="Heading3"/>
      </w:pPr>
      <w:r>
        <w:t xml:space="preserve">Output initiatives </w:t>
      </w:r>
    </w:p>
    <w:p w:rsidR="00E25CC6" w:rsidRDefault="00E25CC6" w:rsidP="00341B58">
      <w:pPr>
        <w:pStyle w:val="Tableheading"/>
      </w:pPr>
      <w:bookmarkStart w:id="30" w:name="DELWP_OutputInit"/>
      <w:r>
        <w:t>Table 1.16:</w:t>
      </w:r>
      <w:r>
        <w:tab/>
        <w:t>Output initiatives – Department of Environment, Land, Water and Planning</w:t>
      </w:r>
    </w:p>
    <w:p w:rsidR="00E25CC6" w:rsidRDefault="00E25CC6" w:rsidP="001101B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57"/>
        <w:gridCol w:w="843"/>
        <w:gridCol w:w="844"/>
        <w:gridCol w:w="844"/>
        <w:gridCol w:w="262"/>
        <w:gridCol w:w="283"/>
        <w:gridCol w:w="283"/>
        <w:gridCol w:w="16"/>
        <w:gridCol w:w="267"/>
        <w:gridCol w:w="283"/>
        <w:gridCol w:w="283"/>
        <w:gridCol w:w="11"/>
      </w:tblGrid>
      <w:tr w:rsidR="00E25CC6" w:rsidRPr="001101B0" w:rsidTr="003D1D8A">
        <w:trPr>
          <w:cantSplit/>
          <w:tblHeader/>
        </w:trPr>
        <w:tc>
          <w:tcPr>
            <w:tcW w:w="3557"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1101B0">
            <w:pPr>
              <w:pStyle w:val="Tabletext"/>
              <w:rPr>
                <w:rFonts w:eastAsiaTheme="minorEastAsia"/>
                <w:lang w:eastAsia="en-AU"/>
              </w:rPr>
            </w:pPr>
            <w:r w:rsidRPr="001101B0">
              <w:rPr>
                <w:rFonts w:eastAsiaTheme="minorEastAsia"/>
                <w:lang w:eastAsia="en-AU"/>
              </w:rPr>
              <w:t xml:space="preserve"> </w:t>
            </w:r>
          </w:p>
        </w:tc>
        <w:tc>
          <w:tcPr>
            <w:tcW w:w="843"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44"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44"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44" w:type="dxa"/>
            <w:gridSpan w:val="4"/>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44" w:type="dxa"/>
            <w:gridSpan w:val="4"/>
            <w:tcBorders>
              <w:top w:val="single" w:sz="4" w:space="0" w:color="auto"/>
              <w:left w:val="nil"/>
              <w:bottom w:val="single" w:sz="4" w:space="0" w:color="auto"/>
              <w:right w:val="single" w:sz="4" w:space="0" w:color="auto"/>
            </w:tcBorders>
            <w:shd w:val="clear" w:color="auto" w:fill="000000"/>
          </w:tcPr>
          <w:p w:rsidR="00E25CC6" w:rsidRPr="001101B0" w:rsidRDefault="00E25CC6" w:rsidP="001101B0">
            <w:pPr>
              <w:pStyle w:val="Tabletextheading"/>
              <w:rPr>
                <w:rFonts w:eastAsiaTheme="minorEastAsia" w:cs="Calibri"/>
                <w:iCs/>
                <w:lang w:eastAsia="en-AU"/>
              </w:rPr>
            </w:pPr>
            <w:r w:rsidRPr="001101B0">
              <w:rPr>
                <w:rFonts w:eastAsiaTheme="minorEastAsia" w:cs="Calibri"/>
                <w:iCs/>
                <w:lang w:eastAsia="en-AU"/>
              </w:rPr>
              <w:t>2019</w:t>
            </w:r>
            <w:r>
              <w:rPr>
                <w:rFonts w:eastAsiaTheme="minorEastAsia" w:cs="Calibri"/>
                <w:iCs/>
                <w:lang w:eastAsia="en-AU"/>
              </w:rPr>
              <w:noBreakHyphen/>
            </w:r>
            <w:r w:rsidRPr="001101B0">
              <w:rPr>
                <w:rFonts w:eastAsiaTheme="minorEastAsia" w:cs="Calibri"/>
                <w:iCs/>
                <w:lang w:eastAsia="en-AU"/>
              </w:rPr>
              <w:t>20</w:t>
            </w:r>
          </w:p>
        </w:tc>
      </w:tr>
      <w:tr w:rsidR="00E25CC6" w:rsidRPr="001101B0" w:rsidTr="003D1D8A">
        <w:trPr>
          <w:cantSplit/>
        </w:trPr>
        <w:tc>
          <w:tcPr>
            <w:tcW w:w="3557" w:type="dxa"/>
            <w:tcBorders>
              <w:top w:val="single" w:sz="4" w:space="0" w:color="auto"/>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Effective Water Management and Supply</w:t>
            </w:r>
          </w:p>
        </w:tc>
        <w:tc>
          <w:tcPr>
            <w:tcW w:w="843"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gridSpan w:val="4"/>
            <w:tcBorders>
              <w:top w:val="single" w:sz="4" w:space="0" w:color="auto"/>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gridSpan w:val="4"/>
            <w:tcBorders>
              <w:top w:val="single" w:sz="4" w:space="0" w:color="auto"/>
              <w:left w:val="nil"/>
              <w:bottom w:val="nil"/>
              <w:right w:val="nil"/>
            </w:tcBorders>
            <w:shd w:val="solid" w:color="FFFFFF" w:fill="auto"/>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A sustainable irrigation future</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11.5</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11.6</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10.8</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10.6</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Clear, transparent water information for sustainable water management</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12.8</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Enhancing Waterway Management for Recreational Values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1.3</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Flood and emergency risk resilience</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5.6</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6.6</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6.5</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6.5</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Improving the health of waterways in regional Victoria</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48.1</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52.2</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51.9</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47.8</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Improving Victoria</w:t>
            </w:r>
            <w:r>
              <w:rPr>
                <w:rFonts w:eastAsiaTheme="minorEastAsia"/>
                <w:color w:val="000000"/>
                <w:lang w:eastAsia="en-AU"/>
              </w:rPr>
              <w:t>’</w:t>
            </w:r>
            <w:r w:rsidRPr="001101B0">
              <w:rPr>
                <w:rFonts w:eastAsiaTheme="minorEastAsia"/>
                <w:color w:val="000000"/>
                <w:lang w:eastAsia="en-AU"/>
              </w:rPr>
              <w:t>s preparedness and response to climate change and the impacts of drought</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4.3</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Integrated catchment management</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5.8</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7.1</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4.8</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4.3</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Realising the potential of the water grid</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5.8</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Transforming cities and towns through efficient, integrated water management</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8.8</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Water for Aboriginal Culture</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0.9</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1.2</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1.3</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1.3</w:t>
            </w:r>
          </w:p>
        </w:tc>
      </w:tr>
      <w:tr w:rsidR="00E25CC6" w:rsidRPr="001101B0" w:rsidTr="003D1D8A">
        <w:trPr>
          <w:gridAfter w:val="1"/>
          <w:wAfter w:w="11" w:type="dxa"/>
          <w:cantSplit/>
        </w:trPr>
        <w:tc>
          <w:tcPr>
            <w:tcW w:w="6350" w:type="dxa"/>
            <w:gridSpan w:val="5"/>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Environment, Biodiversity and Climate Change</w:t>
            </w:r>
          </w:p>
        </w:tc>
        <w:tc>
          <w:tcPr>
            <w:tcW w:w="28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gridSpan w:val="2"/>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Climate Ready Victorian Infrastructure</w:t>
            </w:r>
            <w:r>
              <w:rPr>
                <w:rFonts w:eastAsiaTheme="minorEastAsia"/>
                <w:color w:val="000000"/>
                <w:lang w:eastAsia="en-AU"/>
              </w:rPr>
              <w:t xml:space="preserve"> – </w:t>
            </w:r>
            <w:r w:rsidRPr="001101B0">
              <w:rPr>
                <w:rFonts w:eastAsiaTheme="minorEastAsia"/>
                <w:color w:val="000000"/>
                <w:lang w:eastAsia="en-AU"/>
              </w:rPr>
              <w:t>Environmentally Sustainable Development Standards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0.1</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0.1</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0.3</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0.1</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Community driven action to protect Victoria</w:t>
            </w:r>
            <w:r>
              <w:rPr>
                <w:rFonts w:eastAsiaTheme="minorEastAsia"/>
                <w:color w:val="000000"/>
                <w:lang w:eastAsia="en-AU"/>
              </w:rPr>
              <w:t>’</w:t>
            </w:r>
            <w:r w:rsidRPr="001101B0">
              <w:rPr>
                <w:rFonts w:eastAsiaTheme="minorEastAsia"/>
                <w:color w:val="000000"/>
                <w:lang w:eastAsia="en-AU"/>
              </w:rPr>
              <w:t>s unique biodiversity</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12.7</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7.7</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4.4</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4.2</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Encouraging Resource Smart Victorian Schools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1.8</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Increasing Support for Landcare</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4.6</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4.2</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4.6</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4.6</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Increasing Support for Trust for Nature</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0.5</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0.7</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0.9</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Making Communities Climate Ready</w:t>
            </w:r>
            <w:r>
              <w:rPr>
                <w:rFonts w:eastAsiaTheme="minorEastAsia"/>
                <w:color w:val="000000"/>
                <w:lang w:eastAsia="en-AU"/>
              </w:rPr>
              <w:t xml:space="preserve"> – </w:t>
            </w:r>
            <w:r w:rsidRPr="001101B0">
              <w:rPr>
                <w:rFonts w:eastAsiaTheme="minorEastAsia"/>
                <w:color w:val="000000"/>
                <w:lang w:eastAsia="en-AU"/>
              </w:rPr>
              <w:t>Protection of Priority Victorian Beaches and Foreshores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2.4</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Partnering with local government to address weeds and pests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1.0</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Port Phillip Bay Fund</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2.5</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2.5</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2.5</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2.5</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Science, Innovation and Excellence</w:t>
            </w:r>
            <w:r>
              <w:rPr>
                <w:rFonts w:eastAsiaTheme="minorEastAsia"/>
                <w:color w:val="000000"/>
                <w:lang w:eastAsia="en-AU"/>
              </w:rPr>
              <w:t xml:space="preserve"> – </w:t>
            </w:r>
            <w:r w:rsidRPr="001101B0">
              <w:rPr>
                <w:rFonts w:eastAsiaTheme="minorEastAsia"/>
                <w:color w:val="000000"/>
                <w:lang w:eastAsia="en-AU"/>
              </w:rPr>
              <w:t xml:space="preserve">Modelling and feasibility </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0.3</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0.3</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Science, Innovation and Excellence</w:t>
            </w:r>
            <w:r>
              <w:rPr>
                <w:rFonts w:eastAsiaTheme="minorEastAsia"/>
                <w:color w:val="000000"/>
                <w:lang w:eastAsia="en-AU"/>
              </w:rPr>
              <w:t xml:space="preserve"> – </w:t>
            </w:r>
            <w:r w:rsidRPr="001101B0">
              <w:rPr>
                <w:rFonts w:eastAsiaTheme="minorEastAsia"/>
                <w:color w:val="000000"/>
                <w:lang w:eastAsia="en-AU"/>
              </w:rPr>
              <w:t>Monitoring coastal flooding, erosion and land stability</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44" w:type="dxa"/>
            <w:gridSpan w:val="4"/>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w:t>
            </w:r>
          </w:p>
        </w:tc>
        <w:tc>
          <w:tcPr>
            <w:tcW w:w="844" w:type="dxa"/>
            <w:gridSpan w:val="4"/>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1.0</w:t>
            </w:r>
          </w:p>
        </w:tc>
      </w:tr>
    </w:tbl>
    <w:p w:rsidR="00E25CC6" w:rsidRDefault="00E25CC6" w:rsidP="00E43E67">
      <w:pPr>
        <w:pStyle w:val="Tableheading"/>
      </w:pPr>
      <w:r>
        <w:t>Table 1.16:</w:t>
      </w:r>
      <w:r>
        <w:tab/>
        <w:t xml:space="preserve">Output initiatives – Department of Environment, Land, Water and Planning </w:t>
      </w:r>
      <w:r w:rsidRPr="00E43E67">
        <w:rPr>
          <w:i/>
        </w:rPr>
        <w:t>(continued)</w:t>
      </w:r>
    </w:p>
    <w:p w:rsidR="00E25CC6" w:rsidRDefault="00E25CC6" w:rsidP="00E43E67">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57"/>
        <w:gridCol w:w="843"/>
        <w:gridCol w:w="844"/>
        <w:gridCol w:w="844"/>
        <w:gridCol w:w="844"/>
        <w:gridCol w:w="844"/>
      </w:tblGrid>
      <w:tr w:rsidR="00E25CC6" w:rsidRPr="001101B0" w:rsidTr="00237767">
        <w:trPr>
          <w:cantSplit/>
          <w:tblHeader/>
        </w:trPr>
        <w:tc>
          <w:tcPr>
            <w:tcW w:w="3557"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237767">
            <w:pPr>
              <w:pStyle w:val="Tabletext"/>
              <w:rPr>
                <w:rFonts w:eastAsiaTheme="minorEastAsia"/>
                <w:lang w:eastAsia="en-AU"/>
              </w:rPr>
            </w:pPr>
            <w:r w:rsidRPr="001101B0">
              <w:rPr>
                <w:rFonts w:eastAsiaTheme="minorEastAsia"/>
                <w:lang w:eastAsia="en-AU"/>
              </w:rPr>
              <w:t xml:space="preserve"> </w:t>
            </w:r>
          </w:p>
        </w:tc>
        <w:tc>
          <w:tcPr>
            <w:tcW w:w="843"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44"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44"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44" w:type="dxa"/>
            <w:tcBorders>
              <w:top w:val="single" w:sz="4" w:space="0" w:color="auto"/>
              <w:left w:val="nil"/>
              <w:bottom w:val="single" w:sz="4" w:space="0" w:color="auto"/>
              <w:right w:val="nil"/>
            </w:tcBorders>
            <w:shd w:val="clear" w:color="auto" w:fill="000000"/>
          </w:tcPr>
          <w:p w:rsidR="00E25CC6" w:rsidRPr="001101B0" w:rsidRDefault="00E25CC6" w:rsidP="00237767">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44" w:type="dxa"/>
            <w:tcBorders>
              <w:top w:val="single" w:sz="4" w:space="0" w:color="auto"/>
              <w:left w:val="nil"/>
              <w:bottom w:val="single" w:sz="4" w:space="0" w:color="auto"/>
              <w:right w:val="single" w:sz="4" w:space="0" w:color="auto"/>
            </w:tcBorders>
            <w:shd w:val="clear" w:color="auto" w:fill="000000"/>
          </w:tcPr>
          <w:p w:rsidR="00E25CC6" w:rsidRPr="001101B0" w:rsidRDefault="00E25CC6" w:rsidP="00237767">
            <w:pPr>
              <w:pStyle w:val="Tabletextheading"/>
              <w:rPr>
                <w:rFonts w:eastAsiaTheme="minorEastAsia" w:cs="Calibri"/>
                <w:iCs/>
                <w:lang w:eastAsia="en-AU"/>
              </w:rPr>
            </w:pPr>
            <w:r w:rsidRPr="001101B0">
              <w:rPr>
                <w:rFonts w:eastAsiaTheme="minorEastAsia" w:cs="Calibri"/>
                <w:iCs/>
                <w:lang w:eastAsia="en-AU"/>
              </w:rPr>
              <w:t>2019</w:t>
            </w:r>
            <w:r>
              <w:rPr>
                <w:rFonts w:eastAsiaTheme="minorEastAsia" w:cs="Calibri"/>
                <w:iCs/>
                <w:lang w:eastAsia="en-AU"/>
              </w:rPr>
              <w:noBreakHyphen/>
            </w:r>
            <w:r w:rsidRPr="001101B0">
              <w:rPr>
                <w:rFonts w:eastAsiaTheme="minorEastAsia" w:cs="Calibri"/>
                <w:iCs/>
                <w:lang w:eastAsia="en-AU"/>
              </w:rPr>
              <w:t>20</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Fire and Emergency Management</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Additional aviation resources for firefighting</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2.0</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Bushfire preparedness and response activities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18.5</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18.5</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18.5</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18.5</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Local Government</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Interface Growth Fund</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50.0</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Supporting Colac and the Otways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0.4</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Supporting Victoria</w:t>
            </w:r>
            <w:r>
              <w:rPr>
                <w:rFonts w:eastAsiaTheme="minorEastAsia"/>
                <w:color w:val="000000"/>
                <w:lang w:eastAsia="en-AU"/>
              </w:rPr>
              <w:t>’</w:t>
            </w:r>
            <w:r w:rsidRPr="001101B0">
              <w:rPr>
                <w:rFonts w:eastAsiaTheme="minorEastAsia"/>
                <w:color w:val="000000"/>
                <w:lang w:eastAsia="en-AU"/>
              </w:rPr>
              <w:t>s public libraries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5.6</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5.6</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5.6</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5.6</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Local Government Support Team</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0.8</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0.8</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0.8</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0.8</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Planning, Building and Heritage</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Living Heritage Grants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15.0</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11.6</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2.2</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1.2</w:t>
            </w:r>
          </w:p>
        </w:tc>
      </w:tr>
      <w:tr w:rsidR="00E25CC6" w:rsidRPr="001101B0" w:rsidTr="003D1D8A">
        <w:trPr>
          <w:cantSplit/>
        </w:trPr>
        <w:tc>
          <w:tcPr>
            <w:tcW w:w="3557"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Upgrade Land Victoria property administration systems</w:t>
            </w:r>
          </w:p>
        </w:tc>
        <w:tc>
          <w:tcPr>
            <w:tcW w:w="843"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10.1</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14.4</w:t>
            </w:r>
          </w:p>
        </w:tc>
        <w:tc>
          <w:tcPr>
            <w:tcW w:w="844" w:type="dxa"/>
            <w:tcBorders>
              <w:top w:val="nil"/>
              <w:left w:val="nil"/>
              <w:bottom w:val="nil"/>
              <w:right w:val="nil"/>
            </w:tcBorders>
            <w:shd w:val="solid" w:color="FFFFFF" w:fill="auto"/>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12.2</w:t>
            </w:r>
          </w:p>
        </w:tc>
        <w:tc>
          <w:tcPr>
            <w:tcW w:w="844" w:type="dxa"/>
            <w:tcBorders>
              <w:top w:val="nil"/>
              <w:left w:val="nil"/>
              <w:bottom w:val="nil"/>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10.8</w:t>
            </w:r>
          </w:p>
        </w:tc>
      </w:tr>
      <w:tr w:rsidR="00E25CC6" w:rsidRPr="001101B0" w:rsidTr="003D1D8A">
        <w:trPr>
          <w:cantSplit/>
        </w:trPr>
        <w:tc>
          <w:tcPr>
            <w:tcW w:w="3557"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text"/>
              <w:rPr>
                <w:rFonts w:eastAsiaTheme="minorEastAsia"/>
                <w:b/>
                <w:bCs/>
                <w:color w:val="000000"/>
                <w:vertAlign w:val="superscript"/>
                <w:lang w:eastAsia="en-AU"/>
              </w:rPr>
            </w:pPr>
            <w:r w:rsidRPr="001101B0">
              <w:rPr>
                <w:rFonts w:eastAsiaTheme="minorEastAsia"/>
                <w:b/>
                <w:bCs/>
                <w:color w:val="000000"/>
                <w:lang w:eastAsia="en-AU"/>
              </w:rPr>
              <w:t xml:space="preserve">Total output initiatives </w:t>
            </w:r>
            <w:r w:rsidRPr="001101B0">
              <w:rPr>
                <w:rFonts w:eastAsiaTheme="minorEastAsia"/>
                <w:b/>
                <w:bCs/>
                <w:color w:val="000000"/>
                <w:vertAlign w:val="superscript"/>
                <w:lang w:eastAsia="en-AU"/>
              </w:rPr>
              <w:t>(a)</w:t>
            </w:r>
          </w:p>
        </w:tc>
        <w:tc>
          <w:tcPr>
            <w:tcW w:w="843"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2.4</w:t>
            </w:r>
          </w:p>
        </w:tc>
        <w:tc>
          <w:tcPr>
            <w:tcW w:w="844"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229.1</w:t>
            </w:r>
          </w:p>
        </w:tc>
        <w:tc>
          <w:tcPr>
            <w:tcW w:w="844"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149.6</w:t>
            </w:r>
          </w:p>
        </w:tc>
        <w:tc>
          <w:tcPr>
            <w:tcW w:w="844"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129.2</w:t>
            </w:r>
          </w:p>
        </w:tc>
        <w:tc>
          <w:tcPr>
            <w:tcW w:w="844" w:type="dxa"/>
            <w:tcBorders>
              <w:top w:val="single" w:sz="6" w:space="0" w:color="auto"/>
              <w:left w:val="nil"/>
              <w:bottom w:val="single" w:sz="12" w:space="0" w:color="auto"/>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b/>
                <w:bCs/>
                <w:color w:val="000000"/>
                <w:sz w:val="20"/>
                <w:lang w:eastAsia="en-AU"/>
              </w:rPr>
            </w:pPr>
            <w:r w:rsidRPr="001101B0">
              <w:rPr>
                <w:rFonts w:ascii="Calibri" w:eastAsiaTheme="minorEastAsia" w:hAnsi="Calibri" w:cs="Calibri"/>
                <w:b/>
                <w:bCs/>
                <w:color w:val="000000"/>
                <w:sz w:val="20"/>
                <w:lang w:eastAsia="en-AU"/>
              </w:rPr>
              <w:t xml:space="preserve"> 121.6</w:t>
            </w:r>
          </w:p>
        </w:tc>
      </w:tr>
    </w:tbl>
    <w:p w:rsidR="00E25CC6" w:rsidRDefault="00E25CC6" w:rsidP="00566998">
      <w:pPr>
        <w:pStyle w:val="Source"/>
      </w:pPr>
      <w:r>
        <w:t>Source: Department of Treasury and Finance</w:t>
      </w:r>
      <w:r>
        <w:fldChar w:fldCharType="begin"/>
      </w:r>
      <w:r>
        <w:instrText xml:space="preserve"> XE "</w:instrText>
      </w:r>
      <w:r w:rsidRPr="009F0A3A">
        <w:instrText>Department of Environment, Land, Water and Planning:Output initiatives</w:instrText>
      </w:r>
      <w:r>
        <w:instrText xml:space="preserve">" \r "DELWP_OutputInit" </w:instrText>
      </w:r>
      <w:r>
        <w:fldChar w:fldCharType="end"/>
      </w:r>
    </w:p>
    <w:bookmarkEnd w:id="30"/>
    <w:p w:rsidR="00E25CC6" w:rsidRDefault="00E25CC6" w:rsidP="00566998">
      <w:pPr>
        <w:pStyle w:val="Notes"/>
      </w:pPr>
      <w:r>
        <w:t>Note:</w:t>
      </w:r>
    </w:p>
    <w:p w:rsidR="00E25CC6" w:rsidRDefault="00E25CC6" w:rsidP="00566998">
      <w:pPr>
        <w:pStyle w:val="Notes"/>
      </w:pPr>
      <w:r>
        <w:t>(a)</w:t>
      </w:r>
      <w:r>
        <w:tab/>
        <w:t>Tables may not add due to rounding.</w:t>
      </w:r>
    </w:p>
    <w:p w:rsidR="00E25CC6" w:rsidRPr="00CD63A7" w:rsidRDefault="00E25CC6" w:rsidP="00566998">
      <w:pPr>
        <w:pStyle w:val="Notes"/>
      </w:pPr>
    </w:p>
    <w:p w:rsidR="00E25CC6" w:rsidRPr="00B81E52" w:rsidRDefault="00E25CC6" w:rsidP="00BF1480">
      <w:pPr>
        <w:pStyle w:val="Heading4"/>
      </w:pPr>
      <w:r>
        <w:t>Effective Water Management and Supply</w:t>
      </w:r>
    </w:p>
    <w:p w:rsidR="00E25CC6" w:rsidRDefault="00E25CC6" w:rsidP="00AA1A9D">
      <w:pPr>
        <w:pStyle w:val="Heading5"/>
      </w:pPr>
      <w:bookmarkStart w:id="31" w:name="DELWP_EffecWaterMgmnt"/>
      <w:r>
        <w:t>A sustainable irrigation future</w:t>
      </w:r>
    </w:p>
    <w:p w:rsidR="00E25CC6" w:rsidRDefault="00E25CC6" w:rsidP="00AA1A9D">
      <w:r>
        <w:t>Victoria’s irrigators will be supported by modernising irrigation systems to improve efficiency and on</w:t>
      </w:r>
      <w:r>
        <w:noBreakHyphen/>
        <w:t>farm water use. In addition, the Murray</w:t>
      </w:r>
      <w:r>
        <w:noBreakHyphen/>
        <w:t xml:space="preserve">Darling Basin Salinity Management Strategy will ensure risks are managed and damage to both agriculture and the environment are avoided. </w:t>
      </w:r>
    </w:p>
    <w:p w:rsidR="00E25CC6" w:rsidRDefault="00E25CC6" w:rsidP="00AA1A9D">
      <w:r>
        <w:t>This initiative contributes to the Department of Environment, Land, Water and Planning’s Effective Water Management and Supply output.</w:t>
      </w:r>
    </w:p>
    <w:p w:rsidR="00E25CC6" w:rsidRDefault="00E25CC6" w:rsidP="00E80DA4">
      <w:pPr>
        <w:pStyle w:val="Heading5"/>
      </w:pPr>
      <w:r>
        <w:t>Clear, transparent w</w:t>
      </w:r>
      <w:r w:rsidRPr="00D57A6D">
        <w:t>ater information for sustainable water management</w:t>
      </w:r>
    </w:p>
    <w:p w:rsidR="00E25CC6" w:rsidRDefault="00E25CC6" w:rsidP="00E80DA4">
      <w:r>
        <w:t>Victoria’s water information systems</w:t>
      </w:r>
      <w:r w:rsidRPr="00CD41B5">
        <w:t xml:space="preserve"> </w:t>
      </w:r>
      <w:r>
        <w:t>will continue in 2016</w:t>
      </w:r>
      <w:r>
        <w:noBreakHyphen/>
        <w:t xml:space="preserve">17 to support water programs across the State. This will include surface and ground water monitoring, updated modelling of the State’s major water supply systems and improving community access to water information. </w:t>
      </w:r>
    </w:p>
    <w:p w:rsidR="00E25CC6" w:rsidRDefault="00E25CC6" w:rsidP="00E80DA4">
      <w:r>
        <w:t>This initiative contributes to the Department of Environment, Land, Water and Planning’s Effective Water Management and Supply output.</w:t>
      </w:r>
    </w:p>
    <w:p w:rsidR="00E25CC6" w:rsidRDefault="00E25CC6">
      <w:pPr>
        <w:spacing w:after="0"/>
        <w:rPr>
          <w:rFonts w:ascii="Calibri" w:hAnsi="Calibri"/>
          <w:b/>
        </w:rPr>
      </w:pPr>
      <w:r>
        <w:br w:type="page"/>
      </w:r>
    </w:p>
    <w:p w:rsidR="00E25CC6" w:rsidRDefault="00E25CC6" w:rsidP="006B6C71">
      <w:pPr>
        <w:pStyle w:val="Heading5"/>
      </w:pPr>
      <w:r>
        <w:t xml:space="preserve">Enhancing Waterway Management for Recreational Values </w:t>
      </w:r>
    </w:p>
    <w:p w:rsidR="00E25CC6" w:rsidRDefault="00E25CC6" w:rsidP="006B6C71">
      <w:r>
        <w:t xml:space="preserve">A new information, communication and coordination framework will be developed to advise the public on using Victoria’s waterways for recreational purposes. This will provide information such as seasonal and environmental conditions and water availability to communities using the waterways for recreation and to local businesses that rely on visitor numbers. </w:t>
      </w:r>
    </w:p>
    <w:p w:rsidR="00E25CC6" w:rsidRDefault="00E25CC6" w:rsidP="006B6C71">
      <w:r>
        <w:t>This initiative contributes to the Department of Environment, Land, Water and Planning’s Effective Water Management and Supply output.</w:t>
      </w:r>
    </w:p>
    <w:p w:rsidR="00E25CC6" w:rsidRDefault="00E25CC6" w:rsidP="003D56AD">
      <w:pPr>
        <w:pStyle w:val="Heading5"/>
      </w:pPr>
      <w:r w:rsidRPr="009B0FA0">
        <w:t xml:space="preserve">Flood and emergency risk resilience </w:t>
      </w:r>
    </w:p>
    <w:p w:rsidR="00E25CC6" w:rsidRDefault="00E25CC6" w:rsidP="006B6C71">
      <w:r>
        <w:t xml:space="preserve">The Victorian Floodplain Management Strategy will help reduce the economic loss from flood events and better manage rural drainage. Water Corporations and local governments will be better prepared to respond to emergency events, including works to reduce flood risks. The approach is focused on community decision making and governance for flood mitigation and drainage infrastructure. </w:t>
      </w:r>
    </w:p>
    <w:p w:rsidR="00E25CC6" w:rsidRDefault="00E25CC6" w:rsidP="006B6C71">
      <w:r>
        <w:t>This initiative contributes to the Department of Environment, Land, Water and Planning’s Effective Water Management and Supply output.</w:t>
      </w:r>
    </w:p>
    <w:p w:rsidR="00E25CC6" w:rsidRPr="00530008" w:rsidRDefault="00E25CC6" w:rsidP="00E80DA4">
      <w:pPr>
        <w:pStyle w:val="Heading5"/>
      </w:pPr>
      <w:r w:rsidRPr="00530008">
        <w:t>Improving the health of waterways in regional Victoria</w:t>
      </w:r>
    </w:p>
    <w:p w:rsidR="00E25CC6" w:rsidRDefault="00E25CC6" w:rsidP="00E80DA4">
      <w:r>
        <w:t>The health of waterways in regional Victoria will be improved through a fully integrated waterway management program that includes large scale restoration projects, community engagement and environmental water management and physical environmental work. Potential sites for restoration projects are proposed in the Water for Victoria Discussion Project. Health of land adjoining river banks and wetlands will be restored under the Regional Riparian Action Plan.</w:t>
      </w:r>
    </w:p>
    <w:p w:rsidR="00E25CC6" w:rsidRPr="00693177" w:rsidRDefault="00E25CC6" w:rsidP="00E80DA4">
      <w:r>
        <w:t xml:space="preserve">This initiative contributes to the Department of Environment, Land, Water and </w:t>
      </w:r>
      <w:r w:rsidRPr="00693177">
        <w:t>Planning</w:t>
      </w:r>
      <w:r>
        <w:t>’</w:t>
      </w:r>
      <w:r w:rsidRPr="00693177">
        <w:t>s Effective Water Management and Supply output.</w:t>
      </w:r>
    </w:p>
    <w:p w:rsidR="00E25CC6" w:rsidRPr="00693177" w:rsidRDefault="00E25CC6" w:rsidP="00F92795">
      <w:pPr>
        <w:pStyle w:val="Heading5"/>
      </w:pPr>
      <w:r w:rsidRPr="00693177">
        <w:t>Improving Victoria</w:t>
      </w:r>
      <w:r>
        <w:t>’</w:t>
      </w:r>
      <w:r w:rsidRPr="00693177">
        <w:t>s preparedness and response to climate change and the impact of drought</w:t>
      </w:r>
    </w:p>
    <w:p w:rsidR="00E25CC6" w:rsidRDefault="00E25CC6" w:rsidP="0057063D">
      <w:pPr>
        <w:rPr>
          <w:lang w:eastAsia="en-AU"/>
        </w:rPr>
      </w:pPr>
      <w:r>
        <w:rPr>
          <w:lang w:eastAsia="en-AU"/>
        </w:rPr>
        <w:t>Victoria’s preparedness for drought as a result of climate change will be improved. Research and modelling will be conducted on the impacts of climate change on hydrology, a new statewide drought readiness plan will be developed, revised Sustainable Water Strategies and long term water resource assessments will be delivered and emergency water supply infrastructure will be enhanced.</w:t>
      </w:r>
    </w:p>
    <w:p w:rsidR="00E25CC6" w:rsidRDefault="00E25CC6" w:rsidP="0057063D">
      <w:r w:rsidRPr="00693177">
        <w:t>This initiative contributes to the Department of Environment, Land, Water and Planning</w:t>
      </w:r>
      <w:r>
        <w:t>’</w:t>
      </w:r>
      <w:r w:rsidRPr="00693177">
        <w:t>s Effective Water Management and Supply output.</w:t>
      </w:r>
    </w:p>
    <w:p w:rsidR="00E25CC6" w:rsidRDefault="00E25CC6" w:rsidP="006B6C71">
      <w:pPr>
        <w:pStyle w:val="Heading5"/>
      </w:pPr>
      <w:r>
        <w:t>Integrated catchment management</w:t>
      </w:r>
    </w:p>
    <w:p w:rsidR="00E25CC6" w:rsidRDefault="00E25CC6" w:rsidP="006B6C71">
      <w:r>
        <w:t xml:space="preserve">Catchment Management Authorities will develop </w:t>
      </w:r>
      <w:r w:rsidRPr="006E5596">
        <w:t>integrated catchment management</w:t>
      </w:r>
      <w:r>
        <w:t xml:space="preserve"> strategies and increase engagement with local communities. </w:t>
      </w:r>
    </w:p>
    <w:p w:rsidR="00E25CC6" w:rsidRDefault="00E25CC6" w:rsidP="006B6C71">
      <w:r>
        <w:t>This initiative contributes to the Department of Environment, Land, Water and Planning’s Effective Water Management and Supply output.</w:t>
      </w:r>
    </w:p>
    <w:p w:rsidR="00E25CC6" w:rsidRPr="00ED0CFE" w:rsidRDefault="00E25CC6" w:rsidP="006B6C71">
      <w:pPr>
        <w:pStyle w:val="Heading5"/>
      </w:pPr>
      <w:r w:rsidRPr="00ED0CFE">
        <w:t>Realising the potential of the water grid</w:t>
      </w:r>
    </w:p>
    <w:p w:rsidR="00E25CC6" w:rsidRPr="00ED0CFE" w:rsidRDefault="00E25CC6" w:rsidP="006B6C71">
      <w:r w:rsidRPr="00ED0CFE">
        <w:t xml:space="preserve">Water market efficiency and movement of water will be improved to promote more productive regional industries. </w:t>
      </w:r>
      <w:r>
        <w:t>S</w:t>
      </w:r>
      <w:r w:rsidRPr="00ED0CFE">
        <w:t xml:space="preserve">trategic planning </w:t>
      </w:r>
      <w:r>
        <w:t>will enhance</w:t>
      </w:r>
      <w:r w:rsidRPr="00ED0CFE">
        <w:t xml:space="preserve"> </w:t>
      </w:r>
      <w:r>
        <w:t>t</w:t>
      </w:r>
      <w:r w:rsidRPr="00ED0CFE">
        <w:t>he water grid</w:t>
      </w:r>
      <w:r>
        <w:t xml:space="preserve"> </w:t>
      </w:r>
      <w:r w:rsidRPr="00ED0CFE">
        <w:t xml:space="preserve">to increase the future capacity to deliver water </w:t>
      </w:r>
      <w:r>
        <w:t>more efficiently and effectively</w:t>
      </w:r>
      <w:r w:rsidRPr="00ED0CFE">
        <w:t xml:space="preserve">. </w:t>
      </w:r>
    </w:p>
    <w:p w:rsidR="00E25CC6" w:rsidRPr="00E43E67" w:rsidRDefault="00E25CC6" w:rsidP="00E43E67">
      <w:r w:rsidRPr="00ED0CFE">
        <w:t>This initiative contributes to the Department of Environment, Land, Water and Planning</w:t>
      </w:r>
      <w:r>
        <w:t>’</w:t>
      </w:r>
      <w:r w:rsidRPr="00ED0CFE">
        <w:t>s Effective Water Management and Supply output.</w:t>
      </w:r>
    </w:p>
    <w:p w:rsidR="00E25CC6" w:rsidRDefault="00E25CC6" w:rsidP="006B6C71">
      <w:pPr>
        <w:pStyle w:val="Heading5"/>
      </w:pPr>
      <w:r>
        <w:t>Transforming cities and towns through efficient, integrated water management</w:t>
      </w:r>
    </w:p>
    <w:p w:rsidR="00E25CC6" w:rsidRDefault="00E25CC6" w:rsidP="006B6C71">
      <w:r>
        <w:t>Victorian cities and towns will be supported in 2016</w:t>
      </w:r>
      <w:r>
        <w:noBreakHyphen/>
        <w:t xml:space="preserve">17 to implement efficient and integrated water management practices. Integrated water management will support greener and better management of temperatures in public spaces during drought and reduce the risk of urban flooding, water quality and water supply resilience. </w:t>
      </w:r>
    </w:p>
    <w:p w:rsidR="00E25CC6" w:rsidRDefault="00E25CC6" w:rsidP="006B6C71">
      <w:r>
        <w:t>This initiative contributes to the Department of Environment, Land, Water and Planning’s Effective Water Management and Supply output.</w:t>
      </w:r>
    </w:p>
    <w:p w:rsidR="00E25CC6" w:rsidRDefault="00E25CC6" w:rsidP="003D56AD">
      <w:pPr>
        <w:pStyle w:val="Heading5"/>
      </w:pPr>
      <w:r w:rsidRPr="005F47F7">
        <w:t>Water for Aboriginal Culture</w:t>
      </w:r>
    </w:p>
    <w:p w:rsidR="00E25CC6" w:rsidRDefault="00E25CC6" w:rsidP="006B6C71">
      <w:r>
        <w:t>A state</w:t>
      </w:r>
      <w:r w:rsidRPr="005F47F7">
        <w:t>wide approach will be developed</w:t>
      </w:r>
      <w:r>
        <w:t xml:space="preserve"> to incorporate Aboriginal values and expertise into water management. </w:t>
      </w:r>
      <w:r w:rsidRPr="003851F8">
        <w:t>This will assist Victoria to meet its commitment to recognise</w:t>
      </w:r>
      <w:r>
        <w:t xml:space="preserve"> Aboriginal needs and values in relation to water management under the Murray</w:t>
      </w:r>
      <w:r>
        <w:noBreakHyphen/>
        <w:t>Darling Basin Plan, the Department’s Aboriginal Inclusion Plan ‘Munganin</w:t>
      </w:r>
      <w:r>
        <w:noBreakHyphen/>
        <w:t xml:space="preserve">Gadhaba’ and the Victorian Aboriginal Affairs Economic Framework. </w:t>
      </w:r>
    </w:p>
    <w:p w:rsidR="00E25CC6" w:rsidRDefault="00E25CC6" w:rsidP="006B6C71">
      <w:r>
        <w:t>This initiative contributes to the Department of Environment, Land, Water and Planning’s Effective Water Management and Supply output.</w:t>
      </w:r>
    </w:p>
    <w:p w:rsidR="00E25CC6" w:rsidRPr="00B81E52" w:rsidRDefault="00E25CC6" w:rsidP="00BF1480">
      <w:pPr>
        <w:pStyle w:val="Heading4"/>
      </w:pPr>
      <w:r>
        <w:t>Environment, Biodiversity and Climate Change</w:t>
      </w:r>
    </w:p>
    <w:p w:rsidR="00E25CC6" w:rsidRDefault="00E25CC6" w:rsidP="006B6C71">
      <w:pPr>
        <w:pStyle w:val="Heading5"/>
      </w:pPr>
      <w:r>
        <w:t xml:space="preserve">Climate Ready Victorian Infrastructure – Environmentally Sustainable Development Standards </w:t>
      </w:r>
    </w:p>
    <w:p w:rsidR="00E25CC6" w:rsidRDefault="00E25CC6" w:rsidP="006B6C71">
      <w:r>
        <w:t>Environmentally sustainable development standards will be established for infrastructure projects. This will assist business and the public to understand the interactions between climate change responses and environmental standards.</w:t>
      </w:r>
    </w:p>
    <w:p w:rsidR="00E25CC6" w:rsidRDefault="00E25CC6" w:rsidP="006B6C71">
      <w:r>
        <w:t>This initiative contributes to the Department of Environment, Land, Water and Planning’s Environment, Biodiversity and Climate Change output.</w:t>
      </w:r>
    </w:p>
    <w:p w:rsidR="00E25CC6" w:rsidRDefault="00E25CC6" w:rsidP="0006239E">
      <w:pPr>
        <w:pStyle w:val="Heading5"/>
      </w:pPr>
      <w:r>
        <w:rPr>
          <w:lang w:eastAsia="en-AU"/>
        </w:rPr>
        <w:t>Community driven action to protect Victoria’s unique biodiversity</w:t>
      </w:r>
      <w:r w:rsidRPr="00772761">
        <w:t xml:space="preserve"> </w:t>
      </w:r>
    </w:p>
    <w:p w:rsidR="00E25CC6" w:rsidRPr="00772761" w:rsidRDefault="00E25CC6" w:rsidP="0006239E">
      <w:r w:rsidRPr="00772761">
        <w:t>Direct targeted action will improve biodiversity through grants, auctions and direct involvement by the community, leveraging voluntary and private sector investment to protect threatened species, improve habitat and reduce threats to biodiversity.</w:t>
      </w:r>
      <w:r>
        <w:t xml:space="preserve"> </w:t>
      </w:r>
      <w:r w:rsidRPr="00772761">
        <w:t>L</w:t>
      </w:r>
      <w:r w:rsidRPr="00772761">
        <w:rPr>
          <w:rFonts w:cs="Garamond"/>
          <w:szCs w:val="22"/>
          <w:lang w:eastAsia="en-AU"/>
        </w:rPr>
        <w:t>and will be purchased to preserve habitat for the Helmeted Honeyeater.</w:t>
      </w:r>
    </w:p>
    <w:p w:rsidR="00E25CC6" w:rsidRDefault="00E25CC6" w:rsidP="0006239E">
      <w:r w:rsidRPr="00EE3FF7">
        <w:t>This initiative contributes to the Department of Environment, Land, Water and Planning</w:t>
      </w:r>
      <w:r>
        <w:t>’</w:t>
      </w:r>
      <w:r w:rsidRPr="00EE3FF7">
        <w:t>s Environment, Biodiversity and Climate Change output.</w:t>
      </w:r>
    </w:p>
    <w:p w:rsidR="00E25CC6" w:rsidRDefault="00E25CC6">
      <w:pPr>
        <w:spacing w:after="0"/>
        <w:rPr>
          <w:rFonts w:ascii="Calibri" w:hAnsi="Calibri"/>
          <w:b/>
        </w:rPr>
      </w:pPr>
      <w:r>
        <w:br w:type="page"/>
      </w:r>
    </w:p>
    <w:p w:rsidR="00E25CC6" w:rsidRDefault="00E25CC6" w:rsidP="0006239E">
      <w:pPr>
        <w:pStyle w:val="Heading5"/>
      </w:pPr>
      <w:r>
        <w:t>Encouraging Resource</w:t>
      </w:r>
      <w:r w:rsidRPr="00F002A0">
        <w:t xml:space="preserve"> Smart</w:t>
      </w:r>
      <w:r>
        <w:t xml:space="preserve"> Victorian</w:t>
      </w:r>
      <w:r w:rsidRPr="00F002A0">
        <w:t xml:space="preserve"> Schools</w:t>
      </w:r>
      <w:r>
        <w:t xml:space="preserve"> </w:t>
      </w:r>
    </w:p>
    <w:p w:rsidR="00E25CC6" w:rsidRDefault="00E25CC6" w:rsidP="0006239E">
      <w:r>
        <w:t>The Resource Smart Schools program will be continued. This program helps schools reduce costs by minimising waste, saving energy and water. Students will learn about sustainability and the impacts of climate change.</w:t>
      </w:r>
    </w:p>
    <w:p w:rsidR="00E25CC6" w:rsidRPr="00E43E67" w:rsidRDefault="00E25CC6" w:rsidP="00E43E67">
      <w:r>
        <w:t>This initiative contributes to the Department of Environment, Land, Water and Planning’s Environment, Biodiversity and Climate Change output.</w:t>
      </w:r>
    </w:p>
    <w:p w:rsidR="00E25CC6" w:rsidRPr="00C1245C" w:rsidRDefault="00E25CC6" w:rsidP="0006239E">
      <w:pPr>
        <w:pStyle w:val="Heading5"/>
      </w:pPr>
      <w:r>
        <w:t xml:space="preserve">Increasing </w:t>
      </w:r>
      <w:r w:rsidRPr="00C1245C">
        <w:t>Support for Landcare</w:t>
      </w:r>
      <w:r>
        <w:t xml:space="preserve"> </w:t>
      </w:r>
    </w:p>
    <w:p w:rsidR="00E25CC6" w:rsidRPr="00C1245C" w:rsidRDefault="00E25CC6" w:rsidP="0006239E">
      <w:r>
        <w:t>The number and coverage of Landcare facilitators under t</w:t>
      </w:r>
      <w:r w:rsidRPr="00C1245C">
        <w:t xml:space="preserve">he Victorian Landcare Program will </w:t>
      </w:r>
      <w:r>
        <w:t xml:space="preserve">be </w:t>
      </w:r>
      <w:r w:rsidRPr="00C1245C">
        <w:t>increase</w:t>
      </w:r>
      <w:r>
        <w:t>d. Up to ten</w:t>
      </w:r>
      <w:r w:rsidRPr="00C1245C">
        <w:t xml:space="preserve"> new facilitator positions will support Landcare groups and networks in known gaps around Ouyen, Edenhope, Halls Gap, Cavendish, Mortlake, Stawell, Omeo, Merriang, Swan Hill and Kerang. In addition, recommendations made </w:t>
      </w:r>
      <w:r>
        <w:t>by</w:t>
      </w:r>
      <w:r w:rsidRPr="00C1245C">
        <w:t xml:space="preserve"> the independent review into the Victorian Landcare Program will be implemented. </w:t>
      </w:r>
    </w:p>
    <w:p w:rsidR="00E25CC6" w:rsidRDefault="00E25CC6" w:rsidP="0006239E">
      <w:r w:rsidRPr="00C1245C">
        <w:t>This initiative contributes to the Department of Environment, Land, Water and Planning</w:t>
      </w:r>
      <w:r>
        <w:t>’</w:t>
      </w:r>
      <w:r w:rsidRPr="00C1245C">
        <w:t>s Environment, Biodiversity and Climate Change output.</w:t>
      </w:r>
    </w:p>
    <w:p w:rsidR="00E25CC6" w:rsidRDefault="00E25CC6" w:rsidP="0006239E">
      <w:pPr>
        <w:pStyle w:val="Heading5"/>
      </w:pPr>
      <w:r>
        <w:t xml:space="preserve">Increasing Support for </w:t>
      </w:r>
      <w:r w:rsidRPr="00C1245C">
        <w:t>Trust for Nature</w:t>
      </w:r>
      <w:r>
        <w:t xml:space="preserve"> </w:t>
      </w:r>
    </w:p>
    <w:p w:rsidR="00E25CC6" w:rsidRDefault="00E25CC6" w:rsidP="0006239E">
      <w:r>
        <w:t>The area of private land protected and rehabilitated by Trust for Nature covenants will be increased to restore and maintain habitats that support important biodiversity.</w:t>
      </w:r>
    </w:p>
    <w:p w:rsidR="00E25CC6" w:rsidRDefault="00E25CC6" w:rsidP="0006239E">
      <w:r>
        <w:t>This initiative contributes to the Department of Environment, Land, Water and Planning’s Environment, Biodiversity and Climate Change output.</w:t>
      </w:r>
    </w:p>
    <w:p w:rsidR="00E25CC6" w:rsidRPr="00F002A0" w:rsidRDefault="00E25CC6" w:rsidP="0006239E">
      <w:pPr>
        <w:pStyle w:val="Heading5"/>
      </w:pPr>
      <w:r w:rsidRPr="00F002A0">
        <w:t>Making Communities Climate Ready – Protection of Priority Victorian Beaches and</w:t>
      </w:r>
      <w:r>
        <w:t> </w:t>
      </w:r>
      <w:r w:rsidRPr="00F002A0">
        <w:t>Foreshores</w:t>
      </w:r>
      <w:r>
        <w:t xml:space="preserve"> </w:t>
      </w:r>
    </w:p>
    <w:p w:rsidR="00E25CC6" w:rsidRDefault="00E25CC6" w:rsidP="0006239E">
      <w:r w:rsidRPr="005F1BFD">
        <w:t>Victoria</w:t>
      </w:r>
      <w:r>
        <w:t>’</w:t>
      </w:r>
      <w:r w:rsidRPr="005F1BFD">
        <w:t>s iconic beaches will be protected against ongoing erosion and flooding by continuing the Priority Victorian Beaches and Foreshores program of renourishing beaches.</w:t>
      </w:r>
      <w:r>
        <w:t xml:space="preserve"> </w:t>
      </w:r>
    </w:p>
    <w:p w:rsidR="00E25CC6" w:rsidRDefault="00E25CC6" w:rsidP="0006239E">
      <w:r>
        <w:t>This initiative contributes to the Department of Environment, Land, Water and Planning’s Environment, Biodiversity and Climate Change output.</w:t>
      </w:r>
    </w:p>
    <w:p w:rsidR="00E25CC6" w:rsidRDefault="00E25CC6" w:rsidP="0006239E">
      <w:pPr>
        <w:pStyle w:val="Heading5"/>
      </w:pPr>
      <w:r>
        <w:t xml:space="preserve">Partnering with local government to address weeds and pests </w:t>
      </w:r>
    </w:p>
    <w:p w:rsidR="00E25CC6" w:rsidRDefault="00E25CC6" w:rsidP="0006239E">
      <w:r>
        <w:t xml:space="preserve">Targeted, high priority actions will protect important biodiversity sites by removing weeds and pests in six urban fringe areas by working with local governments and partnering with other land managers. </w:t>
      </w:r>
    </w:p>
    <w:p w:rsidR="00E25CC6" w:rsidRDefault="00E25CC6" w:rsidP="0006239E">
      <w:r>
        <w:t>This initiative contributes to the Department of Environment, Land, Water and Planning’s Environment, Biodiversity and Climate Change output.</w:t>
      </w:r>
    </w:p>
    <w:p w:rsidR="00E25CC6" w:rsidRDefault="00E25CC6" w:rsidP="001C06CF">
      <w:pPr>
        <w:pStyle w:val="Heading5"/>
      </w:pPr>
      <w:r>
        <w:t>Port Phillip Bay Fund</w:t>
      </w:r>
    </w:p>
    <w:p w:rsidR="00E25CC6" w:rsidRDefault="00E25CC6" w:rsidP="001C06CF">
      <w:r>
        <w:t xml:space="preserve">The health of Victoria’s iconic Port Phillip Bay will be protected and preserved with grants provided from the Port Phillip Bay Fund. Grants will be available to support projects including water quality improvement works, foreshore upgrades, dune stability works, amenity upgrades and wetlands improvements. </w:t>
      </w:r>
    </w:p>
    <w:p w:rsidR="00E25CC6" w:rsidRDefault="00E25CC6" w:rsidP="001C06CF">
      <w:r>
        <w:t>This initiative contributes to the Department of Environment, Land, Water and Planning’s Environment, Biodiversity and Climate Change</w:t>
      </w:r>
      <w:r>
        <w:rPr>
          <w:color w:val="FF0000"/>
        </w:rPr>
        <w:t xml:space="preserve"> </w:t>
      </w:r>
      <w:r>
        <w:t>output.</w:t>
      </w:r>
    </w:p>
    <w:p w:rsidR="00E25CC6" w:rsidRDefault="00E25CC6" w:rsidP="006B6C71">
      <w:pPr>
        <w:pStyle w:val="Heading5"/>
      </w:pPr>
      <w:r>
        <w:t xml:space="preserve">Science, Innovation and Excellence – Modelling and feasibility </w:t>
      </w:r>
    </w:p>
    <w:p w:rsidR="00E25CC6" w:rsidRDefault="00E25CC6" w:rsidP="006B6C71">
      <w:r>
        <w:t>The cost impacts of climate change on the health and human services system will be modelled and studied. This will build an evidence base to assist future policy development in the fields of health, food and energy security.</w:t>
      </w:r>
    </w:p>
    <w:p w:rsidR="00E25CC6" w:rsidRDefault="00E25CC6" w:rsidP="006B6C71">
      <w:r>
        <w:t>This initiative contributes to the Department of Environment, Land, Water and Planning’s Environment, Biodiversity and Climate Change output.</w:t>
      </w:r>
    </w:p>
    <w:p w:rsidR="00E25CC6" w:rsidRDefault="00E25CC6" w:rsidP="006B6C71">
      <w:pPr>
        <w:pStyle w:val="Heading5"/>
      </w:pPr>
      <w:r>
        <w:t xml:space="preserve">Science, Innovation and Excellence – Monitoring coastal flooding, erosion and land stability </w:t>
      </w:r>
    </w:p>
    <w:p w:rsidR="00E25CC6" w:rsidRDefault="00E25CC6" w:rsidP="006B6C71">
      <w:r>
        <w:t xml:space="preserve">Information on coastal flooding, erosion and land flooding will be captured and used to better prepare for emergencies. This will help to support coastal communities and businesses and reduce potential economic losses arising from climate change. </w:t>
      </w:r>
    </w:p>
    <w:p w:rsidR="00E25CC6" w:rsidRDefault="00E25CC6" w:rsidP="006B6C71">
      <w:r>
        <w:t xml:space="preserve">The </w:t>
      </w:r>
      <w:r w:rsidRPr="003851F8">
        <w:t>modelling of coastal flooding and erosion will contribute to the Government</w:t>
      </w:r>
      <w:r>
        <w:t>’</w:t>
      </w:r>
      <w:r w:rsidRPr="003851F8">
        <w:t>s commitment to</w:t>
      </w:r>
      <w:r>
        <w:t xml:space="preserve"> undertake a five yearly State of the Bay report to monitor the health of the coasts, bays and waterways.</w:t>
      </w:r>
      <w:r>
        <w:fldChar w:fldCharType="begin"/>
      </w:r>
      <w:r>
        <w:instrText xml:space="preserve"> XE "</w:instrText>
      </w:r>
      <w:r w:rsidRPr="0089597F">
        <w:instrText>Department of Environment, Land, Water and Planning:Effective Water Management and Supply</w:instrText>
      </w:r>
      <w:r>
        <w:instrText xml:space="preserve">" \r "DELWP_EffecWaterMgmnt" </w:instrText>
      </w:r>
      <w:r>
        <w:fldChar w:fldCharType="end"/>
      </w:r>
    </w:p>
    <w:bookmarkEnd w:id="31"/>
    <w:p w:rsidR="00E25CC6" w:rsidRDefault="00E25CC6" w:rsidP="006B6C71">
      <w:r>
        <w:t>This initiative contributes to the Department of Environment, Land, Water and Planning’s Environment, Biodiversity and Climate Change output.</w:t>
      </w:r>
    </w:p>
    <w:p w:rsidR="00E25CC6" w:rsidRPr="00C35B15" w:rsidRDefault="00E25CC6" w:rsidP="00BF1480">
      <w:pPr>
        <w:pStyle w:val="Heading4"/>
      </w:pPr>
      <w:r>
        <w:t>Fire and Emergency Management</w:t>
      </w:r>
    </w:p>
    <w:p w:rsidR="00E25CC6" w:rsidRDefault="00E25CC6" w:rsidP="00D104CE">
      <w:pPr>
        <w:pStyle w:val="Heading5"/>
      </w:pPr>
      <w:r>
        <w:t xml:space="preserve">Additional aviation resources for firefighting </w:t>
      </w:r>
    </w:p>
    <w:p w:rsidR="00E25CC6" w:rsidRDefault="00E25CC6" w:rsidP="00D104CE">
      <w:r>
        <w:t>Additional resources will be provided to support the State’s aerial firefighting capability due to the higher fire risk profile for the 2015</w:t>
      </w:r>
      <w:r>
        <w:noBreakHyphen/>
        <w:t xml:space="preserve">16 summer period. </w:t>
      </w:r>
    </w:p>
    <w:p w:rsidR="00E25CC6" w:rsidRDefault="00E25CC6" w:rsidP="00D104CE">
      <w:r>
        <w:t xml:space="preserve">This initiative contributes to the Department of Environment, Land, Water and Planning’s Fire and Emergency Management output. </w:t>
      </w:r>
      <w:r>
        <w:fldChar w:fldCharType="begin"/>
      </w:r>
      <w:r>
        <w:instrText xml:space="preserve"> XE "</w:instrText>
      </w:r>
      <w:r w:rsidRPr="00E36408">
        <w:instrText>Department of Environment, Land, Water and Planning:Fire and Emergency Management</w:instrText>
      </w:r>
      <w:r>
        <w:instrText xml:space="preserve">" </w:instrText>
      </w:r>
      <w:r>
        <w:fldChar w:fldCharType="end"/>
      </w:r>
    </w:p>
    <w:p w:rsidR="00E25CC6" w:rsidRDefault="00E25CC6" w:rsidP="006B6C71">
      <w:pPr>
        <w:pStyle w:val="Heading5"/>
      </w:pPr>
      <w:r>
        <w:t>Bushfire preparedness and response activities</w:t>
      </w:r>
    </w:p>
    <w:p w:rsidR="00E25CC6" w:rsidRDefault="00E25CC6" w:rsidP="006B6C71">
      <w:r>
        <w:t xml:space="preserve">Forest Fire Management firefighting will be strengthened through additional aviation capability, additional standby staff, additional heavy plant equipment, and training for new joint Standard Operating Procedures. </w:t>
      </w:r>
    </w:p>
    <w:p w:rsidR="00E25CC6" w:rsidRDefault="00E25CC6" w:rsidP="006B6C71">
      <w:r>
        <w:t xml:space="preserve">The radio network used by Forest Fire Management firefighters will be upgraded to a digital network to improve safety and interoperability. </w:t>
      </w:r>
    </w:p>
    <w:p w:rsidR="00E25CC6" w:rsidRPr="00400A4E" w:rsidRDefault="00E25CC6" w:rsidP="006B6C71">
      <w:r>
        <w:t xml:space="preserve">This initiative contributes to the Department of Environment, Land, Water and Planning’s Fire and Emergency Management output. </w:t>
      </w:r>
    </w:p>
    <w:p w:rsidR="00E25CC6" w:rsidRDefault="00E25CC6">
      <w:pPr>
        <w:spacing w:after="0"/>
        <w:rPr>
          <w:rFonts w:ascii="Calibri" w:hAnsi="Calibri"/>
          <w:i/>
          <w:sz w:val="24"/>
          <w:szCs w:val="22"/>
        </w:rPr>
      </w:pPr>
      <w:r>
        <w:br w:type="page"/>
      </w:r>
    </w:p>
    <w:p w:rsidR="00E25CC6" w:rsidRPr="00265E52" w:rsidRDefault="00E25CC6" w:rsidP="00BF1480">
      <w:pPr>
        <w:pStyle w:val="Heading4"/>
      </w:pPr>
      <w:r w:rsidRPr="00265E52">
        <w:t>Local Government</w:t>
      </w:r>
    </w:p>
    <w:p w:rsidR="00E25CC6" w:rsidRPr="00D65090" w:rsidRDefault="00E25CC6" w:rsidP="006B6C71">
      <w:pPr>
        <w:pStyle w:val="Heading5"/>
      </w:pPr>
      <w:r w:rsidRPr="00D65090">
        <w:t xml:space="preserve">Interface </w:t>
      </w:r>
      <w:r>
        <w:t xml:space="preserve">Growth Fund </w:t>
      </w:r>
    </w:p>
    <w:p w:rsidR="00E25CC6" w:rsidRPr="00D65090" w:rsidRDefault="00E25CC6" w:rsidP="006B6C71">
      <w:r w:rsidRPr="00D65090">
        <w:t xml:space="preserve">The </w:t>
      </w:r>
      <w:r w:rsidRPr="003851F8">
        <w:t xml:space="preserve">Interface Growth Fund will </w:t>
      </w:r>
      <w:r>
        <w:t>continue</w:t>
      </w:r>
      <w:r w:rsidRPr="003851F8">
        <w:t xml:space="preserve"> to support councils and communities</w:t>
      </w:r>
      <w:r w:rsidRPr="009366BC">
        <w:t xml:space="preserve"> in outer suburban areas to improve local infrastructure.</w:t>
      </w:r>
      <w:r w:rsidRPr="00D65090">
        <w:t xml:space="preserve"> This will </w:t>
      </w:r>
      <w:r>
        <w:t>generate</w:t>
      </w:r>
      <w:r w:rsidRPr="00D65090">
        <w:t xml:space="preserve"> jobs</w:t>
      </w:r>
      <w:r>
        <w:t xml:space="preserve"> and</w:t>
      </w:r>
      <w:r w:rsidRPr="00D65090">
        <w:t xml:space="preserve"> </w:t>
      </w:r>
      <w:r>
        <w:t>develop</w:t>
      </w:r>
      <w:r w:rsidRPr="00D65090">
        <w:t xml:space="preserve"> local areas that have experienced unique infrastructure challenges in recent years, including significant population growth. Infrastructure such as parks, community centres</w:t>
      </w:r>
      <w:r>
        <w:t xml:space="preserve"> and children’s centres</w:t>
      </w:r>
      <w:r w:rsidRPr="00D65090">
        <w:t>, town centres</w:t>
      </w:r>
      <w:r>
        <w:t xml:space="preserve"> and hubs, swimming pools,</w:t>
      </w:r>
      <w:r w:rsidRPr="00D65090">
        <w:t xml:space="preserve"> and cultural facilities will be built or upgraded.</w:t>
      </w:r>
      <w:r>
        <w:t xml:space="preserve"> </w:t>
      </w:r>
    </w:p>
    <w:p w:rsidR="00E25CC6" w:rsidRPr="00E43E67" w:rsidRDefault="00E25CC6" w:rsidP="00E43E67">
      <w:r w:rsidRPr="00D65090">
        <w:t>This initiative contributes to the Department of Environment, Land, Water and Plan</w:t>
      </w:r>
      <w:r>
        <w:t>ning’s Local Government output.</w:t>
      </w:r>
    </w:p>
    <w:p w:rsidR="00E25CC6" w:rsidRPr="001A5D6D" w:rsidRDefault="00E25CC6" w:rsidP="008B56E2">
      <w:pPr>
        <w:pStyle w:val="Heading5"/>
      </w:pPr>
      <w:r w:rsidRPr="001A5D6D">
        <w:t>Supporting Colac and the Otways</w:t>
      </w:r>
    </w:p>
    <w:p w:rsidR="00E25CC6" w:rsidRPr="00E004DA" w:rsidRDefault="00E25CC6" w:rsidP="008B56E2">
      <w:pPr>
        <w:rPr>
          <w:bCs/>
          <w:szCs w:val="24"/>
        </w:rPr>
      </w:pPr>
      <w:r w:rsidRPr="00E004DA">
        <w:rPr>
          <w:bCs/>
          <w:szCs w:val="24"/>
        </w:rPr>
        <w:t>The Colac Otway Shire will be supported through a number of recovery efforts following the Christmas Day bushfires. Works to revitalise Colac</w:t>
      </w:r>
      <w:r>
        <w:rPr>
          <w:bCs/>
          <w:szCs w:val="24"/>
        </w:rPr>
        <w:t>’</w:t>
      </w:r>
      <w:r w:rsidRPr="00E004DA">
        <w:rPr>
          <w:bCs/>
          <w:szCs w:val="24"/>
        </w:rPr>
        <w:t>s CBD for locals and visitors will improve general amenity and encourage people to stop and support small business in regional Victoria. A contribution to finalise the Colac Otway Central Reserve Redevelopment project will give residents better access to recreational facilities.</w:t>
      </w:r>
    </w:p>
    <w:p w:rsidR="00E25CC6" w:rsidRPr="00E004DA" w:rsidRDefault="00E25CC6" w:rsidP="008B56E2">
      <w:pPr>
        <w:rPr>
          <w:bCs/>
          <w:szCs w:val="24"/>
        </w:rPr>
      </w:pPr>
      <w:r w:rsidRPr="00E004DA">
        <w:rPr>
          <w:bCs/>
          <w:szCs w:val="24"/>
        </w:rPr>
        <w:t>This initiative contributes to the Department of Environment, Land, Water and Planning</w:t>
      </w:r>
      <w:r>
        <w:rPr>
          <w:bCs/>
          <w:szCs w:val="24"/>
        </w:rPr>
        <w:t>’</w:t>
      </w:r>
      <w:r w:rsidRPr="00E004DA">
        <w:rPr>
          <w:bCs/>
          <w:szCs w:val="24"/>
        </w:rPr>
        <w:t>s Local Government output.</w:t>
      </w:r>
    </w:p>
    <w:p w:rsidR="00E25CC6" w:rsidRDefault="00E25CC6" w:rsidP="00537FD9">
      <w:pPr>
        <w:pStyle w:val="Heading5"/>
        <w:rPr>
          <w:lang w:eastAsia="en-AU"/>
        </w:rPr>
      </w:pPr>
      <w:r>
        <w:rPr>
          <w:lang w:eastAsia="en-AU"/>
        </w:rPr>
        <w:t>Supporting Victoria’s public libraries</w:t>
      </w:r>
    </w:p>
    <w:p w:rsidR="00E25CC6" w:rsidRDefault="00E25CC6" w:rsidP="00537FD9">
      <w:pPr>
        <w:rPr>
          <w:lang w:eastAsia="en-AU"/>
        </w:rPr>
      </w:pPr>
      <w:r>
        <w:rPr>
          <w:lang w:eastAsia="en-AU"/>
        </w:rPr>
        <w:t>The Living Libraries Infrastructure program will continue. This program co</w:t>
      </w:r>
      <w:r>
        <w:rPr>
          <w:lang w:eastAsia="en-AU"/>
        </w:rPr>
        <w:noBreakHyphen/>
        <w:t xml:space="preserve">funds local governments for capital works to improve public libraries. The Premiers’ Reading Challenge book fund will continue to ensure all public libraries can purchase new books and reading material to allow participation in the Reading Challenge. </w:t>
      </w:r>
    </w:p>
    <w:p w:rsidR="00E25CC6" w:rsidRDefault="00E25CC6" w:rsidP="00537FD9">
      <w:pPr>
        <w:rPr>
          <w:rFonts w:cs="Garamond"/>
          <w:szCs w:val="22"/>
          <w:lang w:eastAsia="en-AU"/>
        </w:rPr>
      </w:pPr>
      <w:r>
        <w:rPr>
          <w:rFonts w:cs="Garamond"/>
          <w:szCs w:val="22"/>
          <w:lang w:eastAsia="en-AU"/>
        </w:rPr>
        <w:t>This initiative contributes to the Department of Environment, Land, Water and Planning’s Local Government output.</w:t>
      </w:r>
    </w:p>
    <w:p w:rsidR="00E25CC6" w:rsidRDefault="00E25CC6" w:rsidP="00537FD9">
      <w:pPr>
        <w:pStyle w:val="Heading5"/>
      </w:pPr>
      <w:r w:rsidRPr="00B066B1">
        <w:t>Local Government Support</w:t>
      </w:r>
      <w:r w:rsidRPr="00EF7DC5">
        <w:t xml:space="preserve"> Team </w:t>
      </w:r>
    </w:p>
    <w:p w:rsidR="00E25CC6" w:rsidRDefault="00E25CC6" w:rsidP="006B6C71">
      <w:r>
        <w:t xml:space="preserve">Small local governments especially those in regional or rural Victoria, will have access to a finance and accounting specialist team as needed. This will ensure they can improve accountability and transparency to their constituents. </w:t>
      </w:r>
    </w:p>
    <w:p w:rsidR="00E25CC6" w:rsidRDefault="00E25CC6" w:rsidP="006B6C71">
      <w:r>
        <w:t>This initiative contributes to the Department of Environment, Land, Water and Planning’s Local Government output.</w:t>
      </w:r>
      <w:r>
        <w:fldChar w:fldCharType="begin"/>
      </w:r>
      <w:r>
        <w:instrText xml:space="preserve"> XE "</w:instrText>
      </w:r>
      <w:r w:rsidRPr="00E44E62">
        <w:instrText>Department of Environment, Land, Water and Planning:Local Government</w:instrText>
      </w:r>
      <w:r>
        <w:instrText xml:space="preserve">" </w:instrText>
      </w:r>
      <w:r>
        <w:fldChar w:fldCharType="end"/>
      </w:r>
      <w:r>
        <w:fldChar w:fldCharType="begin"/>
      </w:r>
      <w:r>
        <w:instrText xml:space="preserve"> XE "</w:instrText>
      </w:r>
      <w:r w:rsidRPr="007810D7">
        <w:instrText>Local Government</w:instrText>
      </w:r>
      <w:r>
        <w:instrText xml:space="preserve">" </w:instrText>
      </w:r>
      <w:r>
        <w:fldChar w:fldCharType="end"/>
      </w:r>
    </w:p>
    <w:p w:rsidR="00E25CC6" w:rsidRDefault="00E25CC6" w:rsidP="00BF1480">
      <w:pPr>
        <w:pStyle w:val="Heading4"/>
      </w:pPr>
      <w:bookmarkStart w:id="32" w:name="DELWP_PlanBldHer"/>
      <w:r>
        <w:t>Planning, Building and Heritage</w:t>
      </w:r>
    </w:p>
    <w:p w:rsidR="00E25CC6" w:rsidRDefault="00E25CC6" w:rsidP="006B6C71">
      <w:pPr>
        <w:pStyle w:val="Heading5"/>
      </w:pPr>
      <w:r>
        <w:t>Living Heritage Grants</w:t>
      </w:r>
    </w:p>
    <w:p w:rsidR="00E25CC6" w:rsidRDefault="00E25CC6" w:rsidP="006B6C71">
      <w:r>
        <w:t>Repair and restoration works for a number of ‘at risk’ State significant heritage places will be undertaken</w:t>
      </w:r>
      <w:r w:rsidRPr="00115428">
        <w:t xml:space="preserve"> </w:t>
      </w:r>
      <w:r>
        <w:t xml:space="preserve">following the 2015 Living Heritage Audit. In addition, contestable grants of up to $200,000 will be made available to owners and managers of heritage places across Victoria. These works will ensure these important places are conserved for future generations to visit and enjoy. </w:t>
      </w:r>
    </w:p>
    <w:p w:rsidR="00E25CC6" w:rsidRDefault="00E25CC6" w:rsidP="006B6C71">
      <w:r>
        <w:t xml:space="preserve">This initiative contributes to the Department of Environment, Land, Water and Planning’s Planning, Building and Heritage output. </w:t>
      </w:r>
    </w:p>
    <w:p w:rsidR="00E25CC6" w:rsidRPr="00E004DA" w:rsidRDefault="00E25CC6" w:rsidP="008B56E2">
      <w:pPr>
        <w:pStyle w:val="Heading5"/>
      </w:pPr>
      <w:r>
        <w:t>Upgrade Land Victoria property administration systems</w:t>
      </w:r>
    </w:p>
    <w:p w:rsidR="00E25CC6" w:rsidRPr="00E004DA" w:rsidRDefault="00E25CC6" w:rsidP="008B56E2">
      <w:pPr>
        <w:rPr>
          <w:bCs/>
          <w:szCs w:val="24"/>
        </w:rPr>
      </w:pPr>
      <w:r w:rsidRPr="00E004DA">
        <w:rPr>
          <w:bCs/>
          <w:szCs w:val="24"/>
        </w:rPr>
        <w:t>Land Victoria</w:t>
      </w:r>
      <w:r>
        <w:rPr>
          <w:bCs/>
          <w:szCs w:val="24"/>
        </w:rPr>
        <w:t>’</w:t>
      </w:r>
      <w:r w:rsidRPr="00E004DA">
        <w:rPr>
          <w:bCs/>
          <w:szCs w:val="24"/>
        </w:rPr>
        <w:t>s land titles and search systems will be enhanced to ensure reliability and responsiveness and reduce costs to industry.</w:t>
      </w:r>
      <w:r>
        <w:rPr>
          <w:bCs/>
          <w:szCs w:val="24"/>
        </w:rPr>
        <w:t xml:space="preserve"> </w:t>
      </w:r>
      <w:r w:rsidRPr="00E004DA">
        <w:rPr>
          <w:bCs/>
          <w:szCs w:val="24"/>
        </w:rPr>
        <w:t>Existing Victorian property records will be converted to an electronic format, increasing the accuracy of land ownership records.</w:t>
      </w:r>
    </w:p>
    <w:p w:rsidR="00E25CC6" w:rsidRPr="00E004DA" w:rsidRDefault="00E25CC6" w:rsidP="008B56E2">
      <w:pPr>
        <w:rPr>
          <w:bCs/>
          <w:szCs w:val="24"/>
        </w:rPr>
      </w:pPr>
      <w:r w:rsidRPr="00E004DA">
        <w:rPr>
          <w:bCs/>
          <w:szCs w:val="24"/>
        </w:rPr>
        <w:t>This initiative contributes to the Department of Environment, Land, Water and Planning</w:t>
      </w:r>
      <w:r>
        <w:rPr>
          <w:bCs/>
          <w:szCs w:val="24"/>
        </w:rPr>
        <w:t>’</w:t>
      </w:r>
      <w:r w:rsidRPr="00E004DA">
        <w:rPr>
          <w:bCs/>
          <w:szCs w:val="24"/>
        </w:rPr>
        <w:t>s Planning Building and Heritage output.</w:t>
      </w:r>
      <w:r>
        <w:rPr>
          <w:bCs/>
          <w:szCs w:val="24"/>
        </w:rPr>
        <w:fldChar w:fldCharType="begin"/>
      </w:r>
      <w:r>
        <w:instrText xml:space="preserve"> XE "</w:instrText>
      </w:r>
      <w:r w:rsidRPr="00EE389E">
        <w:instrText>Department of Environment, Land, Water and Planning:Planning, Building and Heritage</w:instrText>
      </w:r>
      <w:r>
        <w:instrText xml:space="preserve">" \r "DELWP_PlanBldHer" </w:instrText>
      </w:r>
      <w:r>
        <w:rPr>
          <w:bCs/>
          <w:szCs w:val="24"/>
        </w:rPr>
        <w:fldChar w:fldCharType="end"/>
      </w:r>
      <w:r w:rsidRPr="00E004DA">
        <w:rPr>
          <w:bCs/>
          <w:szCs w:val="24"/>
        </w:rPr>
        <w:t xml:space="preserve"> </w:t>
      </w:r>
      <w:bookmarkEnd w:id="32"/>
    </w:p>
    <w:p w:rsidR="00E25CC6" w:rsidRDefault="00E25CC6" w:rsidP="00500A53">
      <w:pPr>
        <w:pStyle w:val="Heading3"/>
      </w:pPr>
      <w:r>
        <w:t xml:space="preserve">Asset initiatives </w:t>
      </w:r>
    </w:p>
    <w:p w:rsidR="00E25CC6" w:rsidRDefault="00E25CC6" w:rsidP="00341B58">
      <w:pPr>
        <w:pStyle w:val="Tableheading"/>
      </w:pPr>
      <w:r>
        <w:t>Table 1.17:</w:t>
      </w:r>
      <w:r>
        <w:tab/>
        <w:t>Asset initiatives – Department of Environment, Land, Water and Planning</w:t>
      </w:r>
    </w:p>
    <w:p w:rsidR="00E25CC6" w:rsidRDefault="00E25CC6" w:rsidP="001101B0">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20"/>
        <w:gridCol w:w="858"/>
        <w:gridCol w:w="858"/>
        <w:gridCol w:w="859"/>
        <w:gridCol w:w="858"/>
        <w:gridCol w:w="11"/>
        <w:gridCol w:w="283"/>
        <w:gridCol w:w="283"/>
        <w:gridCol w:w="285"/>
        <w:gridCol w:w="283"/>
        <w:gridCol w:w="283"/>
        <w:gridCol w:w="283"/>
        <w:gridCol w:w="12"/>
      </w:tblGrid>
      <w:tr w:rsidR="00E25CC6" w:rsidRPr="001101B0" w:rsidTr="00B62E2C">
        <w:trPr>
          <w:cantSplit/>
        </w:trPr>
        <w:tc>
          <w:tcPr>
            <w:tcW w:w="2622" w:type="dxa"/>
            <w:tcBorders>
              <w:top w:val="single" w:sz="4" w:space="0" w:color="auto"/>
              <w:left w:val="single" w:sz="4" w:space="0" w:color="auto"/>
              <w:bottom w:val="single" w:sz="4" w:space="0" w:color="auto"/>
              <w:right w:val="nil"/>
            </w:tcBorders>
            <w:shd w:val="clear" w:color="auto" w:fill="000000"/>
          </w:tcPr>
          <w:p w:rsidR="00E25CC6" w:rsidRPr="001101B0" w:rsidRDefault="00E25CC6" w:rsidP="001101B0">
            <w:pPr>
              <w:pStyle w:val="Tabletext"/>
              <w:rPr>
                <w:rFonts w:eastAsiaTheme="minorEastAsia"/>
                <w:lang w:eastAsia="en-AU"/>
              </w:rPr>
            </w:pPr>
            <w:r>
              <w:rPr>
                <w:rFonts w:eastAsiaTheme="minorEastAsia"/>
                <w:lang w:eastAsia="en-AU"/>
              </w:rPr>
              <w:t xml:space="preserve"> </w:t>
            </w:r>
          </w:p>
        </w:tc>
        <w:tc>
          <w:tcPr>
            <w:tcW w:w="858"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2015</w:t>
            </w:r>
            <w:r>
              <w:rPr>
                <w:rFonts w:eastAsiaTheme="minorEastAsia"/>
                <w:lang w:eastAsia="en-AU"/>
              </w:rPr>
              <w:noBreakHyphen/>
            </w:r>
            <w:r w:rsidRPr="001101B0">
              <w:rPr>
                <w:rFonts w:eastAsiaTheme="minorEastAsia"/>
                <w:lang w:eastAsia="en-AU"/>
              </w:rPr>
              <w:t>16</w:t>
            </w:r>
          </w:p>
        </w:tc>
        <w:tc>
          <w:tcPr>
            <w:tcW w:w="858"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2016</w:t>
            </w:r>
            <w:r>
              <w:rPr>
                <w:rFonts w:eastAsiaTheme="minorEastAsia"/>
                <w:lang w:eastAsia="en-AU"/>
              </w:rPr>
              <w:noBreakHyphen/>
            </w:r>
            <w:r w:rsidRPr="001101B0">
              <w:rPr>
                <w:rFonts w:eastAsiaTheme="minorEastAsia"/>
                <w:lang w:eastAsia="en-AU"/>
              </w:rPr>
              <w:t>17</w:t>
            </w:r>
          </w:p>
        </w:tc>
        <w:tc>
          <w:tcPr>
            <w:tcW w:w="859"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2017</w:t>
            </w:r>
            <w:r>
              <w:rPr>
                <w:rFonts w:eastAsiaTheme="minorEastAsia"/>
                <w:lang w:eastAsia="en-AU"/>
              </w:rPr>
              <w:noBreakHyphen/>
            </w:r>
            <w:r w:rsidRPr="001101B0">
              <w:rPr>
                <w:rFonts w:eastAsiaTheme="minorEastAsia"/>
                <w:lang w:eastAsia="en-AU"/>
              </w:rPr>
              <w:t>18</w:t>
            </w:r>
          </w:p>
        </w:tc>
        <w:tc>
          <w:tcPr>
            <w:tcW w:w="858" w:type="dxa"/>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2018</w:t>
            </w:r>
            <w:r>
              <w:rPr>
                <w:rFonts w:eastAsiaTheme="minorEastAsia"/>
                <w:lang w:eastAsia="en-AU"/>
              </w:rPr>
              <w:noBreakHyphen/>
            </w:r>
            <w:r w:rsidRPr="001101B0">
              <w:rPr>
                <w:rFonts w:eastAsiaTheme="minorEastAsia"/>
                <w:lang w:eastAsia="en-AU"/>
              </w:rPr>
              <w:t>19</w:t>
            </w:r>
          </w:p>
        </w:tc>
        <w:tc>
          <w:tcPr>
            <w:tcW w:w="860" w:type="dxa"/>
            <w:gridSpan w:val="4"/>
            <w:tcBorders>
              <w:top w:val="single" w:sz="4" w:space="0" w:color="auto"/>
              <w:left w:val="nil"/>
              <w:bottom w:val="single" w:sz="4" w:space="0" w:color="auto"/>
              <w:right w:val="nil"/>
            </w:tcBorders>
            <w:shd w:val="clear" w:color="auto" w:fill="000000"/>
          </w:tcPr>
          <w:p w:rsidR="00E25CC6" w:rsidRPr="001101B0" w:rsidRDefault="00E25CC6" w:rsidP="001101B0">
            <w:pPr>
              <w:pStyle w:val="Tabletextheading"/>
              <w:rPr>
                <w:rFonts w:eastAsiaTheme="minorEastAsia"/>
                <w:lang w:eastAsia="en-AU"/>
              </w:rPr>
            </w:pPr>
            <w:r w:rsidRPr="001101B0">
              <w:rPr>
                <w:rFonts w:eastAsiaTheme="minorEastAsia"/>
                <w:lang w:eastAsia="en-AU"/>
              </w:rPr>
              <w:t>2019</w:t>
            </w:r>
            <w:r>
              <w:rPr>
                <w:rFonts w:eastAsiaTheme="minorEastAsia"/>
                <w:lang w:eastAsia="en-AU"/>
              </w:rPr>
              <w:noBreakHyphen/>
            </w:r>
            <w:r w:rsidRPr="001101B0">
              <w:rPr>
                <w:rFonts w:eastAsiaTheme="minorEastAsia"/>
                <w:lang w:eastAsia="en-AU"/>
              </w:rPr>
              <w:t>20</w:t>
            </w:r>
          </w:p>
        </w:tc>
        <w:tc>
          <w:tcPr>
            <w:tcW w:w="861" w:type="dxa"/>
            <w:gridSpan w:val="4"/>
            <w:tcBorders>
              <w:top w:val="single" w:sz="4" w:space="0" w:color="auto"/>
              <w:left w:val="nil"/>
              <w:bottom w:val="single" w:sz="4" w:space="0" w:color="auto"/>
              <w:right w:val="single" w:sz="4" w:space="0" w:color="auto"/>
            </w:tcBorders>
            <w:shd w:val="clear" w:color="auto" w:fill="000000"/>
          </w:tcPr>
          <w:p w:rsidR="00E25CC6" w:rsidRPr="001101B0" w:rsidRDefault="00E25CC6" w:rsidP="001101B0">
            <w:pPr>
              <w:pStyle w:val="Tabletextheading"/>
              <w:rPr>
                <w:rFonts w:eastAsiaTheme="minorEastAsia" w:cs="Calibri"/>
                <w:iCs/>
                <w:lang w:eastAsia="en-AU"/>
              </w:rPr>
            </w:pPr>
            <w:r w:rsidRPr="001101B0">
              <w:rPr>
                <w:rFonts w:eastAsiaTheme="minorEastAsia" w:cs="Calibri"/>
                <w:iCs/>
                <w:lang w:eastAsia="en-AU"/>
              </w:rPr>
              <w:t>TEI</w:t>
            </w:r>
          </w:p>
        </w:tc>
      </w:tr>
      <w:tr w:rsidR="00E25CC6" w:rsidRPr="001101B0" w:rsidTr="00B62E2C">
        <w:trPr>
          <w:cantSplit/>
        </w:trPr>
        <w:tc>
          <w:tcPr>
            <w:tcW w:w="2622" w:type="dxa"/>
            <w:tcBorders>
              <w:top w:val="single" w:sz="4" w:space="0" w:color="auto"/>
              <w:left w:val="nil"/>
              <w:bottom w:val="nil"/>
              <w:right w:val="nil"/>
            </w:tcBorders>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Effective Water Management and Supply</w:t>
            </w:r>
          </w:p>
        </w:tc>
        <w:tc>
          <w:tcPr>
            <w:tcW w:w="858" w:type="dxa"/>
            <w:tcBorders>
              <w:top w:val="single" w:sz="4" w:space="0" w:color="auto"/>
              <w:left w:val="nil"/>
              <w:bottom w:val="nil"/>
              <w:right w:val="nil"/>
            </w:tcBorders>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w:t>
            </w:r>
          </w:p>
        </w:tc>
        <w:tc>
          <w:tcPr>
            <w:tcW w:w="858" w:type="dxa"/>
            <w:tcBorders>
              <w:top w:val="single" w:sz="4" w:space="0" w:color="auto"/>
              <w:left w:val="nil"/>
              <w:bottom w:val="nil"/>
              <w:right w:val="nil"/>
            </w:tcBorders>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w:t>
            </w:r>
          </w:p>
        </w:tc>
        <w:tc>
          <w:tcPr>
            <w:tcW w:w="859" w:type="dxa"/>
            <w:tcBorders>
              <w:top w:val="single" w:sz="4" w:space="0" w:color="auto"/>
              <w:left w:val="nil"/>
              <w:bottom w:val="nil"/>
              <w:right w:val="nil"/>
            </w:tcBorders>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w:t>
            </w:r>
          </w:p>
        </w:tc>
        <w:tc>
          <w:tcPr>
            <w:tcW w:w="858" w:type="dxa"/>
            <w:tcBorders>
              <w:top w:val="single" w:sz="4" w:space="0" w:color="auto"/>
              <w:left w:val="nil"/>
              <w:bottom w:val="nil"/>
              <w:right w:val="nil"/>
            </w:tcBorders>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w:t>
            </w:r>
          </w:p>
        </w:tc>
        <w:tc>
          <w:tcPr>
            <w:tcW w:w="860" w:type="dxa"/>
            <w:gridSpan w:val="4"/>
            <w:tcBorders>
              <w:top w:val="single" w:sz="4" w:space="0" w:color="auto"/>
              <w:left w:val="nil"/>
              <w:bottom w:val="nil"/>
              <w:right w:val="nil"/>
            </w:tcBorders>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w:t>
            </w:r>
          </w:p>
        </w:tc>
        <w:tc>
          <w:tcPr>
            <w:tcW w:w="861" w:type="dxa"/>
            <w:gridSpan w:val="4"/>
            <w:tcBorders>
              <w:top w:val="single" w:sz="4" w:space="0" w:color="auto"/>
              <w:left w:val="nil"/>
              <w:bottom w:val="nil"/>
              <w:right w:val="nil"/>
            </w:tcBorders>
          </w:tcPr>
          <w:p w:rsidR="00E25CC6" w:rsidRPr="001101B0" w:rsidRDefault="00E25CC6" w:rsidP="001101B0">
            <w:pPr>
              <w:autoSpaceDE w:val="0"/>
              <w:autoSpaceDN w:val="0"/>
              <w:adjustRightInd w:val="0"/>
              <w:spacing w:after="0"/>
              <w:rPr>
                <w:rFonts w:ascii="Calibri" w:eastAsiaTheme="minorEastAsia" w:hAnsi="Calibri" w:cs="Calibri"/>
                <w:b/>
                <w:bCs/>
                <w:color w:val="000000"/>
                <w:sz w:val="20"/>
                <w:lang w:eastAsia="en-AU"/>
              </w:rPr>
            </w:pPr>
            <w:r w:rsidRPr="001101B0">
              <w:rPr>
                <w:rFonts w:ascii="Calibri" w:eastAsiaTheme="minorEastAsia" w:hAnsi="Calibri" w:cs="Calibri"/>
                <w:b/>
                <w:bCs/>
                <w:color w:val="000000"/>
                <w:sz w:val="20"/>
                <w:lang w:eastAsia="en-AU"/>
              </w:rPr>
              <w:t xml:space="preserve"> </w:t>
            </w:r>
          </w:p>
        </w:tc>
      </w:tr>
      <w:tr w:rsidR="00E25CC6" w:rsidRPr="001101B0" w:rsidTr="00B62E2C">
        <w:trPr>
          <w:cantSplit/>
        </w:trPr>
        <w:tc>
          <w:tcPr>
            <w:tcW w:w="2622" w:type="dxa"/>
            <w:tcBorders>
              <w:top w:val="nil"/>
              <w:left w:val="nil"/>
              <w:bottom w:val="nil"/>
              <w:right w:val="nil"/>
            </w:tcBorders>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A Sustainable Irrigation Future</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3.0</w:t>
            </w:r>
          </w:p>
        </w:tc>
        <w:tc>
          <w:tcPr>
            <w:tcW w:w="859"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4.0</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4.0</w:t>
            </w:r>
          </w:p>
        </w:tc>
        <w:tc>
          <w:tcPr>
            <w:tcW w:w="860"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4.0</w:t>
            </w:r>
          </w:p>
        </w:tc>
        <w:tc>
          <w:tcPr>
            <w:tcW w:w="86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15.0</w:t>
            </w:r>
          </w:p>
        </w:tc>
      </w:tr>
      <w:tr w:rsidR="00E25CC6" w:rsidRPr="001101B0" w:rsidTr="00B62E2C">
        <w:trPr>
          <w:gridAfter w:val="1"/>
          <w:wAfter w:w="12" w:type="dxa"/>
          <w:cantSplit/>
        </w:trPr>
        <w:tc>
          <w:tcPr>
            <w:tcW w:w="6064" w:type="dxa"/>
            <w:gridSpan w:val="6"/>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Environment, Biodiversity and Climate Change</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w:t>
            </w:r>
          </w:p>
        </w:tc>
      </w:tr>
      <w:tr w:rsidR="00E25CC6" w:rsidRPr="001101B0" w:rsidTr="00B62E2C">
        <w:trPr>
          <w:cantSplit/>
        </w:trPr>
        <w:tc>
          <w:tcPr>
            <w:tcW w:w="262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Climate Ready Victorian Infrastructure</w:t>
            </w:r>
            <w:r>
              <w:rPr>
                <w:rFonts w:eastAsiaTheme="minorEastAsia"/>
                <w:color w:val="000000"/>
                <w:lang w:eastAsia="en-AU"/>
              </w:rPr>
              <w:t xml:space="preserve"> – </w:t>
            </w:r>
            <w:r w:rsidRPr="001101B0">
              <w:rPr>
                <w:rFonts w:eastAsiaTheme="minorEastAsia"/>
                <w:color w:val="000000"/>
                <w:lang w:eastAsia="en-AU"/>
              </w:rPr>
              <w:t>Critical Coastal Protection Assets</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3.8</w:t>
            </w:r>
          </w:p>
        </w:tc>
        <w:tc>
          <w:tcPr>
            <w:tcW w:w="859"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3.8</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3.8</w:t>
            </w:r>
          </w:p>
        </w:tc>
        <w:tc>
          <w:tcPr>
            <w:tcW w:w="860"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3.8</w:t>
            </w:r>
          </w:p>
        </w:tc>
        <w:tc>
          <w:tcPr>
            <w:tcW w:w="86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15.0</w:t>
            </w:r>
          </w:p>
        </w:tc>
      </w:tr>
      <w:tr w:rsidR="00E25CC6" w:rsidRPr="001101B0" w:rsidTr="00B62E2C">
        <w:trPr>
          <w:cantSplit/>
        </w:trPr>
        <w:tc>
          <w:tcPr>
            <w:tcW w:w="262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Community driven action to protect Victoria</w:t>
            </w:r>
            <w:r>
              <w:rPr>
                <w:rFonts w:eastAsiaTheme="minorEastAsia"/>
                <w:color w:val="000000"/>
                <w:lang w:eastAsia="en-AU"/>
              </w:rPr>
              <w:t>’</w:t>
            </w:r>
            <w:r w:rsidRPr="001101B0">
              <w:rPr>
                <w:rFonts w:eastAsiaTheme="minorEastAsia"/>
                <w:color w:val="000000"/>
                <w:lang w:eastAsia="en-AU"/>
              </w:rPr>
              <w:t xml:space="preserve">s unique biodiversity </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0.4</w:t>
            </w:r>
          </w:p>
        </w:tc>
        <w:tc>
          <w:tcPr>
            <w:tcW w:w="859"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0"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0.4</w:t>
            </w:r>
          </w:p>
        </w:tc>
      </w:tr>
      <w:tr w:rsidR="00E25CC6" w:rsidRPr="001101B0" w:rsidTr="00B62E2C">
        <w:trPr>
          <w:gridAfter w:val="1"/>
          <w:wAfter w:w="12" w:type="dxa"/>
          <w:cantSplit/>
        </w:trPr>
        <w:tc>
          <w:tcPr>
            <w:tcW w:w="6064" w:type="dxa"/>
            <w:gridSpan w:val="6"/>
            <w:tcBorders>
              <w:top w:val="nil"/>
              <w:left w:val="nil"/>
              <w:bottom w:val="nil"/>
              <w:right w:val="nil"/>
            </w:tcBorders>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Management of Forests, Parks and Public Land</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5"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w:t>
            </w:r>
          </w:p>
        </w:tc>
      </w:tr>
      <w:tr w:rsidR="00E25CC6" w:rsidRPr="001101B0" w:rsidTr="00B62E2C">
        <w:trPr>
          <w:cantSplit/>
        </w:trPr>
        <w:tc>
          <w:tcPr>
            <w:tcW w:w="262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Revitalising Infrastructure in the State</w:t>
            </w:r>
            <w:r>
              <w:rPr>
                <w:rFonts w:eastAsiaTheme="minorEastAsia"/>
                <w:color w:val="000000"/>
                <w:lang w:eastAsia="en-AU"/>
              </w:rPr>
              <w:t>’</w:t>
            </w:r>
            <w:r w:rsidRPr="001101B0">
              <w:rPr>
                <w:rFonts w:eastAsiaTheme="minorEastAsia"/>
                <w:color w:val="000000"/>
                <w:lang w:eastAsia="en-AU"/>
              </w:rPr>
              <w:t>s Parks estate</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w:t>
            </w:r>
          </w:p>
        </w:tc>
        <w:tc>
          <w:tcPr>
            <w:tcW w:w="859"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w:t>
            </w:r>
          </w:p>
        </w:tc>
        <w:tc>
          <w:tcPr>
            <w:tcW w:w="860"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5.0</w:t>
            </w:r>
          </w:p>
        </w:tc>
        <w:tc>
          <w:tcPr>
            <w:tcW w:w="86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20.0</w:t>
            </w:r>
          </w:p>
        </w:tc>
      </w:tr>
      <w:tr w:rsidR="00E25CC6" w:rsidRPr="001101B0" w:rsidTr="00B62E2C">
        <w:trPr>
          <w:gridAfter w:val="1"/>
          <w:wAfter w:w="12" w:type="dxa"/>
          <w:cantSplit/>
        </w:trPr>
        <w:tc>
          <w:tcPr>
            <w:tcW w:w="6066" w:type="dxa"/>
            <w:gridSpan w:val="6"/>
            <w:tcBorders>
              <w:top w:val="nil"/>
              <w:left w:val="nil"/>
              <w:bottom w:val="nil"/>
              <w:right w:val="nil"/>
            </w:tcBorders>
            <w:shd w:val="solid" w:color="FFFFFF" w:fill="auto"/>
          </w:tcPr>
          <w:p w:rsidR="00E25CC6" w:rsidRPr="001101B0" w:rsidRDefault="00E25CC6" w:rsidP="001101B0">
            <w:pPr>
              <w:pStyle w:val="Tabletext"/>
              <w:rPr>
                <w:rFonts w:eastAsiaTheme="minorEastAsia"/>
                <w:b/>
                <w:bCs/>
                <w:color w:val="000000"/>
                <w:lang w:eastAsia="en-AU"/>
              </w:rPr>
            </w:pPr>
            <w:r w:rsidRPr="001101B0">
              <w:rPr>
                <w:rFonts w:eastAsiaTheme="minorEastAsia"/>
                <w:b/>
                <w:bCs/>
                <w:color w:val="000000"/>
                <w:lang w:eastAsia="en-AU"/>
              </w:rPr>
              <w:t>Planning, Building and Heritage</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nil"/>
              <w:left w:val="nil"/>
              <w:bottom w:val="nil"/>
              <w:right w:val="nil"/>
            </w:tcBorders>
          </w:tcPr>
          <w:p w:rsidR="00E25CC6" w:rsidRPr="001101B0" w:rsidRDefault="00E25CC6" w:rsidP="001101B0">
            <w:pPr>
              <w:autoSpaceDE w:val="0"/>
              <w:autoSpaceDN w:val="0"/>
              <w:adjustRightInd w:val="0"/>
              <w:spacing w:after="0"/>
              <w:rPr>
                <w:rFonts w:ascii="Calibri" w:eastAsiaTheme="minorEastAsia" w:hAnsi="Calibri" w:cs="Calibri"/>
                <w:color w:val="000000"/>
                <w:sz w:val="20"/>
                <w:lang w:eastAsia="en-AU"/>
              </w:rPr>
            </w:pPr>
            <w:r>
              <w:rPr>
                <w:rFonts w:ascii="Calibri" w:eastAsiaTheme="minorEastAsia" w:hAnsi="Calibri" w:cs="Calibri"/>
                <w:color w:val="000000"/>
                <w:sz w:val="20"/>
                <w:lang w:eastAsia="en-AU"/>
              </w:rPr>
              <w:t xml:space="preserve"> </w:t>
            </w:r>
          </w:p>
        </w:tc>
      </w:tr>
      <w:tr w:rsidR="00E25CC6" w:rsidRPr="001101B0" w:rsidTr="00B62E2C">
        <w:trPr>
          <w:cantSplit/>
        </w:trPr>
        <w:tc>
          <w:tcPr>
            <w:tcW w:w="262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vertAlign w:val="superscript"/>
                <w:lang w:eastAsia="en-AU"/>
              </w:rPr>
            </w:pPr>
            <w:r w:rsidRPr="001101B0">
              <w:rPr>
                <w:rFonts w:eastAsiaTheme="minorEastAsia"/>
                <w:color w:val="000000"/>
                <w:lang w:eastAsia="en-AU"/>
              </w:rPr>
              <w:t xml:space="preserve">Acquisition of Buckhurst Street (South Melbourne) </w:t>
            </w:r>
            <w:r w:rsidRPr="001101B0">
              <w:rPr>
                <w:rFonts w:eastAsiaTheme="minorEastAsia"/>
                <w:color w:val="000000"/>
                <w:vertAlign w:val="superscript"/>
                <w:lang w:eastAsia="en-AU"/>
              </w:rPr>
              <w:t>(a)</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3.9</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9.0</w:t>
            </w:r>
          </w:p>
        </w:tc>
        <w:tc>
          <w:tcPr>
            <w:tcW w:w="859"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0"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6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12.9</w:t>
            </w:r>
          </w:p>
        </w:tc>
      </w:tr>
      <w:tr w:rsidR="00E25CC6" w:rsidRPr="001101B0" w:rsidTr="00B62E2C">
        <w:trPr>
          <w:cantSplit/>
        </w:trPr>
        <w:tc>
          <w:tcPr>
            <w:tcW w:w="2622" w:type="dxa"/>
            <w:tcBorders>
              <w:top w:val="nil"/>
              <w:left w:val="nil"/>
              <w:bottom w:val="nil"/>
              <w:right w:val="nil"/>
            </w:tcBorders>
            <w:shd w:val="solid" w:color="FFFFFF" w:fill="auto"/>
          </w:tcPr>
          <w:p w:rsidR="00E25CC6" w:rsidRPr="001101B0" w:rsidRDefault="00E25CC6" w:rsidP="001101B0">
            <w:pPr>
              <w:pStyle w:val="Tabletext"/>
              <w:rPr>
                <w:rFonts w:eastAsiaTheme="minorEastAsia"/>
                <w:color w:val="000000"/>
                <w:lang w:eastAsia="en-AU"/>
              </w:rPr>
            </w:pPr>
            <w:r w:rsidRPr="001101B0">
              <w:rPr>
                <w:rFonts w:eastAsiaTheme="minorEastAsia"/>
                <w:color w:val="000000"/>
                <w:lang w:eastAsia="en-AU"/>
              </w:rPr>
              <w:t>Upgrade Land Victoria</w:t>
            </w:r>
            <w:r>
              <w:rPr>
                <w:rFonts w:eastAsiaTheme="minorEastAsia"/>
                <w:color w:val="000000"/>
                <w:lang w:eastAsia="en-AU"/>
              </w:rPr>
              <w:t>’</w:t>
            </w:r>
            <w:r w:rsidRPr="001101B0">
              <w:rPr>
                <w:rFonts w:eastAsiaTheme="minorEastAsia"/>
                <w:color w:val="000000"/>
                <w:lang w:eastAsia="en-AU"/>
              </w:rPr>
              <w:t>s property administration systems</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3.5</w:t>
            </w:r>
          </w:p>
        </w:tc>
        <w:tc>
          <w:tcPr>
            <w:tcW w:w="859"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4.5</w:t>
            </w:r>
          </w:p>
        </w:tc>
        <w:tc>
          <w:tcPr>
            <w:tcW w:w="858" w:type="dxa"/>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6.3</w:t>
            </w:r>
          </w:p>
        </w:tc>
        <w:tc>
          <w:tcPr>
            <w:tcW w:w="860" w:type="dxa"/>
            <w:gridSpan w:val="4"/>
            <w:tcBorders>
              <w:top w:val="nil"/>
              <w:left w:val="nil"/>
              <w:bottom w:val="nil"/>
              <w:right w:val="nil"/>
            </w:tcBorders>
          </w:tcPr>
          <w:p w:rsidR="00E25CC6" w:rsidRPr="001101B0" w:rsidRDefault="00E25CC6" w:rsidP="001101B0">
            <w:pPr>
              <w:pStyle w:val="TableofFigures"/>
              <w:rPr>
                <w:rFonts w:eastAsiaTheme="minorEastAsia"/>
                <w:color w:val="000000"/>
                <w:lang w:eastAsia="en-AU"/>
              </w:rPr>
            </w:pPr>
            <w:r w:rsidRPr="001101B0">
              <w:rPr>
                <w:rFonts w:eastAsiaTheme="minorEastAsia"/>
                <w:color w:val="000000"/>
                <w:lang w:eastAsia="en-AU"/>
              </w:rPr>
              <w:t xml:space="preserve"> 3.5</w:t>
            </w:r>
          </w:p>
        </w:tc>
        <w:tc>
          <w:tcPr>
            <w:tcW w:w="861" w:type="dxa"/>
            <w:gridSpan w:val="4"/>
            <w:tcBorders>
              <w:top w:val="nil"/>
              <w:left w:val="nil"/>
              <w:bottom w:val="nil"/>
              <w:right w:val="nil"/>
            </w:tcBorders>
          </w:tcPr>
          <w:p w:rsidR="00E25CC6" w:rsidRPr="001101B0" w:rsidRDefault="00E25CC6" w:rsidP="001101B0">
            <w:pPr>
              <w:autoSpaceDE w:val="0"/>
              <w:autoSpaceDN w:val="0"/>
              <w:adjustRightInd w:val="0"/>
              <w:spacing w:after="0"/>
              <w:jc w:val="right"/>
              <w:rPr>
                <w:rFonts w:ascii="Calibri" w:eastAsiaTheme="minorEastAsia" w:hAnsi="Calibri" w:cs="Calibri"/>
                <w:color w:val="000000"/>
                <w:sz w:val="20"/>
                <w:lang w:eastAsia="en-AU"/>
              </w:rPr>
            </w:pPr>
            <w:r w:rsidRPr="001101B0">
              <w:rPr>
                <w:rFonts w:ascii="Calibri" w:eastAsiaTheme="minorEastAsia" w:hAnsi="Calibri" w:cs="Calibri"/>
                <w:color w:val="000000"/>
                <w:sz w:val="20"/>
                <w:lang w:eastAsia="en-AU"/>
              </w:rPr>
              <w:t xml:space="preserve"> 27.4</w:t>
            </w:r>
          </w:p>
        </w:tc>
      </w:tr>
      <w:tr w:rsidR="00E25CC6" w:rsidRPr="001101B0" w:rsidTr="00B62E2C">
        <w:trPr>
          <w:cantSplit/>
        </w:trPr>
        <w:tc>
          <w:tcPr>
            <w:tcW w:w="2622"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text"/>
              <w:rPr>
                <w:rFonts w:eastAsiaTheme="minorEastAsia"/>
                <w:b/>
                <w:bCs/>
                <w:color w:val="000000"/>
                <w:vertAlign w:val="superscript"/>
                <w:lang w:eastAsia="en-AU"/>
              </w:rPr>
            </w:pPr>
            <w:r w:rsidRPr="001101B0">
              <w:rPr>
                <w:rFonts w:eastAsiaTheme="minorEastAsia"/>
                <w:b/>
                <w:bCs/>
                <w:color w:val="000000"/>
                <w:lang w:eastAsia="en-AU"/>
              </w:rPr>
              <w:t xml:space="preserve">Total asset initiatives </w:t>
            </w:r>
            <w:r w:rsidRPr="001101B0">
              <w:rPr>
                <w:rFonts w:eastAsiaTheme="minorEastAsia"/>
                <w:b/>
                <w:bCs/>
                <w:color w:val="000000"/>
                <w:vertAlign w:val="superscript"/>
                <w:lang w:eastAsia="en-AU"/>
              </w:rPr>
              <w:t>(b)</w:t>
            </w:r>
          </w:p>
        </w:tc>
        <w:tc>
          <w:tcPr>
            <w:tcW w:w="858"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3.9</w:t>
            </w:r>
          </w:p>
        </w:tc>
        <w:tc>
          <w:tcPr>
            <w:tcW w:w="858"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24.6</w:t>
            </w:r>
          </w:p>
        </w:tc>
        <w:tc>
          <w:tcPr>
            <w:tcW w:w="859"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17.3</w:t>
            </w:r>
          </w:p>
        </w:tc>
        <w:tc>
          <w:tcPr>
            <w:tcW w:w="858" w:type="dxa"/>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19.1</w:t>
            </w:r>
          </w:p>
        </w:tc>
        <w:tc>
          <w:tcPr>
            <w:tcW w:w="860" w:type="dxa"/>
            <w:gridSpan w:val="4"/>
            <w:tcBorders>
              <w:top w:val="single" w:sz="6" w:space="0" w:color="auto"/>
              <w:left w:val="nil"/>
              <w:bottom w:val="single" w:sz="12" w:space="0" w:color="auto"/>
              <w:right w:val="nil"/>
            </w:tcBorders>
            <w:shd w:val="solid" w:color="FFFFFF" w:fill="auto"/>
          </w:tcPr>
          <w:p w:rsidR="00E25CC6" w:rsidRPr="001101B0" w:rsidRDefault="00E25CC6" w:rsidP="001101B0">
            <w:pPr>
              <w:pStyle w:val="TableofFigures"/>
              <w:rPr>
                <w:rFonts w:eastAsiaTheme="minorEastAsia"/>
                <w:b/>
                <w:bCs/>
                <w:color w:val="000000"/>
                <w:lang w:eastAsia="en-AU"/>
              </w:rPr>
            </w:pPr>
            <w:r w:rsidRPr="001101B0">
              <w:rPr>
                <w:rFonts w:eastAsiaTheme="minorEastAsia"/>
                <w:b/>
                <w:bCs/>
                <w:color w:val="000000"/>
                <w:lang w:eastAsia="en-AU"/>
              </w:rPr>
              <w:t xml:space="preserve"> 16.3</w:t>
            </w:r>
          </w:p>
        </w:tc>
        <w:tc>
          <w:tcPr>
            <w:tcW w:w="861" w:type="dxa"/>
            <w:gridSpan w:val="4"/>
            <w:tcBorders>
              <w:top w:val="single" w:sz="6" w:space="0" w:color="auto"/>
              <w:left w:val="nil"/>
              <w:bottom w:val="single" w:sz="12" w:space="0" w:color="auto"/>
              <w:right w:val="nil"/>
            </w:tcBorders>
            <w:shd w:val="solid" w:color="FFFFFF" w:fill="auto"/>
          </w:tcPr>
          <w:p w:rsidR="00E25CC6" w:rsidRPr="001101B0" w:rsidRDefault="00E25CC6" w:rsidP="001101B0">
            <w:pPr>
              <w:autoSpaceDE w:val="0"/>
              <w:autoSpaceDN w:val="0"/>
              <w:adjustRightInd w:val="0"/>
              <w:spacing w:after="0"/>
              <w:jc w:val="right"/>
              <w:rPr>
                <w:rFonts w:ascii="Calibri" w:eastAsiaTheme="minorEastAsia" w:hAnsi="Calibri" w:cs="Calibri"/>
                <w:b/>
                <w:bCs/>
                <w:color w:val="000000"/>
                <w:sz w:val="20"/>
                <w:lang w:eastAsia="en-AU"/>
              </w:rPr>
            </w:pPr>
            <w:r w:rsidRPr="001101B0">
              <w:rPr>
                <w:rFonts w:ascii="Calibri" w:eastAsiaTheme="minorEastAsia" w:hAnsi="Calibri" w:cs="Calibri"/>
                <w:b/>
                <w:bCs/>
                <w:color w:val="000000"/>
                <w:sz w:val="20"/>
                <w:lang w:eastAsia="en-AU"/>
              </w:rPr>
              <w:t xml:space="preserve"> 90.7</w:t>
            </w:r>
          </w:p>
        </w:tc>
      </w:tr>
    </w:tbl>
    <w:p w:rsidR="00E25CC6" w:rsidRDefault="00E25CC6" w:rsidP="00566998">
      <w:pPr>
        <w:pStyle w:val="Source"/>
      </w:pPr>
      <w:r>
        <w:t>Source: Department of Treasury and Finance</w:t>
      </w:r>
      <w:r>
        <w:fldChar w:fldCharType="begin"/>
      </w:r>
      <w:r>
        <w:instrText xml:space="preserve"> XE "</w:instrText>
      </w:r>
      <w:r w:rsidRPr="0040499D">
        <w:instrText>Department of Environment, Land, Water and Planning:Asset initiatives</w:instrText>
      </w:r>
      <w:r>
        <w:instrText xml:space="preserve">" </w:instrText>
      </w:r>
      <w:r>
        <w:fldChar w:fldCharType="end"/>
      </w:r>
    </w:p>
    <w:p w:rsidR="00E25CC6" w:rsidRDefault="00E25CC6" w:rsidP="00566998">
      <w:pPr>
        <w:pStyle w:val="Notes"/>
      </w:pPr>
      <w:r>
        <w:t>Notes:</w:t>
      </w:r>
    </w:p>
    <w:p w:rsidR="00E25CC6" w:rsidRDefault="00E25CC6" w:rsidP="005C3267">
      <w:pPr>
        <w:pStyle w:val="Notes"/>
      </w:pPr>
      <w:r>
        <w:t>(a)</w:t>
      </w:r>
      <w:r>
        <w:tab/>
        <w:t>This project has a total TEI of $19.2 million with the State contributing $12.867 million and $6.333 million from the Port Phillip Council.</w:t>
      </w:r>
    </w:p>
    <w:p w:rsidR="00E25CC6" w:rsidRDefault="00E25CC6" w:rsidP="005C3267">
      <w:pPr>
        <w:pStyle w:val="Notes"/>
      </w:pPr>
      <w:r>
        <w:t>(b)</w:t>
      </w:r>
      <w:r>
        <w:tab/>
        <w:t>Tables may not add due to rounding.</w:t>
      </w:r>
    </w:p>
    <w:p w:rsidR="00E25CC6" w:rsidRDefault="00E25CC6" w:rsidP="005C3267">
      <w:pPr>
        <w:pStyle w:val="Notes"/>
      </w:pPr>
    </w:p>
    <w:p w:rsidR="00E25CC6" w:rsidRDefault="00E25CC6">
      <w:pPr>
        <w:spacing w:after="0"/>
        <w:rPr>
          <w:rFonts w:ascii="Calibri" w:hAnsi="Calibri"/>
          <w:i/>
          <w:sz w:val="24"/>
          <w:szCs w:val="22"/>
        </w:rPr>
      </w:pPr>
      <w:r>
        <w:br w:type="page"/>
      </w:r>
    </w:p>
    <w:p w:rsidR="00E25CC6" w:rsidRDefault="00E25CC6" w:rsidP="003851F8">
      <w:pPr>
        <w:pStyle w:val="Heading4"/>
      </w:pPr>
      <w:r>
        <w:t>Effective Water Management and Supply</w:t>
      </w:r>
    </w:p>
    <w:p w:rsidR="00E25CC6" w:rsidRDefault="00E25CC6" w:rsidP="003B317A">
      <w:pPr>
        <w:pStyle w:val="Heading5"/>
      </w:pPr>
      <w:r>
        <w:t>A Sustainable Irrigation Future</w:t>
      </w:r>
    </w:p>
    <w:p w:rsidR="00E25CC6" w:rsidRPr="003B317A" w:rsidRDefault="00E25CC6" w:rsidP="003B317A">
      <w:r>
        <w:t>Refer to the output initiative for a description of this initiative.</w:t>
      </w:r>
    </w:p>
    <w:p w:rsidR="00E25CC6" w:rsidRPr="00B81E52" w:rsidRDefault="00E25CC6" w:rsidP="003851F8">
      <w:pPr>
        <w:pStyle w:val="Heading4"/>
      </w:pPr>
      <w:r>
        <w:t>Environment, Biodiversity and Climate Change</w:t>
      </w:r>
    </w:p>
    <w:p w:rsidR="00E25CC6" w:rsidRDefault="00E25CC6" w:rsidP="006B6C71">
      <w:pPr>
        <w:pStyle w:val="Heading5"/>
      </w:pPr>
      <w:r>
        <w:t>Climate Ready Victorian Infrastructure – Critical Coastal Protection Assets</w:t>
      </w:r>
    </w:p>
    <w:p w:rsidR="00E25CC6" w:rsidRDefault="00E25CC6" w:rsidP="006B6C71">
      <w:r>
        <w:t xml:space="preserve">Critical coastal protection assets will be replaced to increase resilience against storms, flooding and erosion. This will reduce economic losses for coastal communities that are dealing with the effects of climate change. </w:t>
      </w:r>
      <w:r>
        <w:fldChar w:fldCharType="begin"/>
      </w:r>
      <w:r>
        <w:instrText xml:space="preserve"> XE "</w:instrText>
      </w:r>
      <w:r w:rsidRPr="00024384">
        <w:instrText>Department of Environment, Land, Water and Planning:Environment, Biodiversity and Climate Change</w:instrText>
      </w:r>
      <w:r>
        <w:instrText xml:space="preserve">" </w:instrText>
      </w:r>
      <w:r>
        <w:fldChar w:fldCharType="end"/>
      </w:r>
    </w:p>
    <w:p w:rsidR="00E25CC6" w:rsidRPr="003F5519" w:rsidRDefault="00E25CC6" w:rsidP="003F5519">
      <w:r>
        <w:t>This initiative contributes to the Department of Environment, Land, Water and Planning’s Environmental Programs output.</w:t>
      </w:r>
    </w:p>
    <w:p w:rsidR="00E25CC6" w:rsidRDefault="00E25CC6" w:rsidP="0057063D">
      <w:pPr>
        <w:pStyle w:val="Heading5"/>
      </w:pPr>
      <w:r>
        <w:rPr>
          <w:lang w:eastAsia="en-AU"/>
        </w:rPr>
        <w:t>Community driven action to protect Victoria’s unique biodiversity</w:t>
      </w:r>
      <w:r>
        <w:t xml:space="preserve"> </w:t>
      </w:r>
    </w:p>
    <w:p w:rsidR="00E25CC6" w:rsidRDefault="00E25CC6" w:rsidP="003B317A">
      <w:r>
        <w:t>Refer to the output initiative for a description of this initiative.</w:t>
      </w:r>
    </w:p>
    <w:p w:rsidR="00E25CC6" w:rsidRPr="008C05F5" w:rsidRDefault="00E25CC6" w:rsidP="00BF1480">
      <w:pPr>
        <w:pStyle w:val="Heading4"/>
      </w:pPr>
      <w:r w:rsidRPr="00F16063">
        <w:t>Management of</w:t>
      </w:r>
      <w:r>
        <w:t xml:space="preserve"> Forests, Parks and Public Land</w:t>
      </w:r>
    </w:p>
    <w:p w:rsidR="00E25CC6" w:rsidRDefault="00E25CC6" w:rsidP="006B6C71">
      <w:pPr>
        <w:pStyle w:val="Heading5"/>
      </w:pPr>
      <w:r>
        <w:t>Revitalising Infrastructure in the State’s Parks estate</w:t>
      </w:r>
    </w:p>
    <w:p w:rsidR="00E25CC6" w:rsidRPr="000D5B85" w:rsidRDefault="00E25CC6" w:rsidP="006B6C71">
      <w:r w:rsidRPr="000D5B85">
        <w:t>The Government will</w:t>
      </w:r>
      <w:r>
        <w:t xml:space="preserve"> fund </w:t>
      </w:r>
      <w:r w:rsidRPr="000D5B85">
        <w:t xml:space="preserve">critical renewal works </w:t>
      </w:r>
      <w:r>
        <w:t>over the next four years to revitalise</w:t>
      </w:r>
      <w:r w:rsidRPr="000D5B85">
        <w:t xml:space="preserve"> or replace priority park infrastructure. Th</w:t>
      </w:r>
      <w:r>
        <w:t>is funding</w:t>
      </w:r>
      <w:r w:rsidRPr="000D5B85">
        <w:t xml:space="preserve"> will make parks more accessible and enjoyable, promoting tourism and employment.</w:t>
      </w:r>
      <w:r>
        <w:t xml:space="preserve"> </w:t>
      </w:r>
      <w:r>
        <w:fldChar w:fldCharType="begin"/>
      </w:r>
      <w:r>
        <w:instrText xml:space="preserve"> XE "</w:instrText>
      </w:r>
      <w:r w:rsidRPr="00E17C7E">
        <w:instrText>Department of Environment, Land, Water and Planning:Management of Forests, Parks and Public Land</w:instrText>
      </w:r>
      <w:r>
        <w:instrText xml:space="preserve">" </w:instrText>
      </w:r>
      <w:r>
        <w:fldChar w:fldCharType="end"/>
      </w:r>
    </w:p>
    <w:p w:rsidR="00E25CC6" w:rsidRDefault="00E25CC6" w:rsidP="006B6C71">
      <w:r w:rsidRPr="000D5B85">
        <w:t>This initiative contributes to the Department of Environment, Land, Water and Planning</w:t>
      </w:r>
      <w:r>
        <w:t>’</w:t>
      </w:r>
      <w:r w:rsidRPr="000D5B85">
        <w:t>s Management of Fores</w:t>
      </w:r>
      <w:r>
        <w:t xml:space="preserve">ts, Parks and Public Land output. </w:t>
      </w:r>
    </w:p>
    <w:p w:rsidR="00E25CC6" w:rsidRDefault="00E25CC6" w:rsidP="00350C3B">
      <w:pPr>
        <w:pStyle w:val="Heading4"/>
      </w:pPr>
      <w:r>
        <w:t>Planning, Building and Heritage</w:t>
      </w:r>
    </w:p>
    <w:p w:rsidR="00E25CC6" w:rsidRPr="00350C3B" w:rsidRDefault="00E25CC6" w:rsidP="00350C3B">
      <w:pPr>
        <w:pStyle w:val="Heading5"/>
      </w:pPr>
      <w:r w:rsidRPr="00350C3B">
        <w:t>Acquisition of Buckhurst Street (South Melbourne)</w:t>
      </w:r>
    </w:p>
    <w:p w:rsidR="00E25CC6" w:rsidRPr="00E004DA" w:rsidRDefault="00E25CC6" w:rsidP="00350C3B">
      <w:r w:rsidRPr="00E004DA">
        <w:t xml:space="preserve">Land has been acquired </w:t>
      </w:r>
      <w:r>
        <w:t>to provide</w:t>
      </w:r>
      <w:r w:rsidRPr="00E004DA">
        <w:t xml:space="preserve"> open space within the Fish</w:t>
      </w:r>
      <w:r>
        <w:t>erman’s Bend Urban Renewal Area</w:t>
      </w:r>
      <w:r w:rsidRPr="00E004DA">
        <w:t xml:space="preserve"> to create a healthy and liveable community.</w:t>
      </w:r>
    </w:p>
    <w:p w:rsidR="00E25CC6" w:rsidRPr="00E004DA" w:rsidRDefault="00E25CC6" w:rsidP="00350C3B">
      <w:r w:rsidRPr="00E004DA">
        <w:t>This initiative contributes to the Department of Environment, Land, Water and Planning</w:t>
      </w:r>
      <w:r>
        <w:t>’</w:t>
      </w:r>
      <w:r w:rsidRPr="00E004DA">
        <w:t xml:space="preserve">s Planning Building and Heritage output. </w:t>
      </w:r>
    </w:p>
    <w:p w:rsidR="00E25CC6" w:rsidRPr="001A5D6D" w:rsidRDefault="00E25CC6" w:rsidP="00350C3B">
      <w:pPr>
        <w:pStyle w:val="Heading5"/>
      </w:pPr>
      <w:r>
        <w:t>Upgrade Land Victoria property administration systems</w:t>
      </w:r>
    </w:p>
    <w:p w:rsidR="00E25CC6" w:rsidRPr="00E004DA" w:rsidRDefault="00E25CC6" w:rsidP="00350C3B">
      <w:pPr>
        <w:rPr>
          <w:bCs/>
          <w:szCs w:val="24"/>
        </w:rPr>
      </w:pPr>
      <w:r w:rsidRPr="00E004DA">
        <w:rPr>
          <w:bCs/>
          <w:szCs w:val="24"/>
        </w:rPr>
        <w:t>Refer to the output initiative for a description of this initiative.</w:t>
      </w:r>
    </w:p>
    <w:p w:rsidR="00E25CC6" w:rsidRDefault="00E25CC6">
      <w:pPr>
        <w:spacing w:after="0"/>
        <w:rPr>
          <w:rFonts w:ascii="Calibri" w:hAnsi="Calibri"/>
          <w:b/>
          <w:caps/>
          <w:sz w:val="26"/>
          <w:szCs w:val="22"/>
        </w:rPr>
      </w:pPr>
      <w:r>
        <w:br w:type="page"/>
      </w:r>
    </w:p>
    <w:p w:rsidR="00E25CC6" w:rsidRPr="00980AA6" w:rsidRDefault="00E25CC6" w:rsidP="007A3BD7">
      <w:pPr>
        <w:pStyle w:val="Heading1"/>
      </w:pPr>
      <w:bookmarkStart w:id="33" w:name="_Toc449109429"/>
      <w:r w:rsidRPr="00980AA6">
        <w:t>Department of Health and Human Services</w:t>
      </w:r>
      <w:bookmarkEnd w:id="33"/>
    </w:p>
    <w:p w:rsidR="00E25CC6" w:rsidRDefault="00E25CC6" w:rsidP="00BF1480">
      <w:pPr>
        <w:pStyle w:val="Heading3"/>
      </w:pPr>
      <w:r>
        <w:t>Output initiatives</w:t>
      </w:r>
    </w:p>
    <w:p w:rsidR="00E25CC6" w:rsidRDefault="00E25CC6" w:rsidP="00341B58">
      <w:pPr>
        <w:pStyle w:val="Tableheading"/>
      </w:pPr>
      <w:bookmarkStart w:id="34" w:name="DHHS_OutputInit"/>
      <w:r>
        <w:t>Table 1.18:</w:t>
      </w:r>
      <w:r>
        <w:tab/>
        <w:t>Output initiatives – Department of Health and Human Services</w:t>
      </w:r>
    </w:p>
    <w:p w:rsidR="00E25CC6" w:rsidRPr="005255BF" w:rsidRDefault="00E25CC6" w:rsidP="005255BF">
      <w:pPr>
        <w:pStyle w:val="million"/>
        <w:rPr>
          <w:rFonts w:ascii="Times New Roman" w:hAnsi="Times New Roman"/>
          <w:sz w:val="20"/>
          <w:lang w:eastAsia="en-AU"/>
        </w:rPr>
      </w:pPr>
      <w:r w:rsidRPr="00F3418B">
        <w:t>(</w:t>
      </w:r>
      <w:r w:rsidRPr="005255BF">
        <w:t>$</w:t>
      </w:r>
      <w:r>
        <w:t> million</w:t>
      </w:r>
      <w:r w:rsidRPr="005255BF">
        <w:t>)</w:t>
      </w:r>
    </w:p>
    <w:tbl>
      <w:tblPr>
        <w:tblW w:w="7765" w:type="dxa"/>
        <w:tblInd w:w="43" w:type="dxa"/>
        <w:tblLayout w:type="fixed"/>
        <w:tblCellMar>
          <w:left w:w="43" w:type="dxa"/>
          <w:right w:w="43" w:type="dxa"/>
        </w:tblCellMar>
        <w:tblLook w:val="0000" w:firstRow="0" w:lastRow="0" w:firstColumn="0" w:lastColumn="0" w:noHBand="0" w:noVBand="0"/>
      </w:tblPr>
      <w:tblGrid>
        <w:gridCol w:w="3515"/>
        <w:gridCol w:w="850"/>
        <w:gridCol w:w="850"/>
        <w:gridCol w:w="850"/>
        <w:gridCol w:w="850"/>
        <w:gridCol w:w="850"/>
      </w:tblGrid>
      <w:tr w:rsidR="00E25CC6" w:rsidRPr="00B62E2C" w:rsidTr="00B62E2C">
        <w:trPr>
          <w:cantSplit/>
          <w:tblHeader/>
        </w:trPr>
        <w:tc>
          <w:tcPr>
            <w:tcW w:w="3515" w:type="dxa"/>
            <w:tcBorders>
              <w:bottom w:val="single" w:sz="4" w:space="0" w:color="auto"/>
              <w:right w:val="nil"/>
            </w:tcBorders>
            <w:shd w:val="clear" w:color="auto" w:fill="000000"/>
            <w:vAlign w:val="bottom"/>
          </w:tcPr>
          <w:p w:rsidR="00E25CC6" w:rsidRPr="00B62E2C" w:rsidRDefault="00E25CC6" w:rsidP="00B62E2C">
            <w:pPr>
              <w:pStyle w:val="Tabletext"/>
              <w:rPr>
                <w:rFonts w:eastAsiaTheme="minorEastAsia"/>
                <w:i/>
                <w:color w:val="FFFFFF"/>
                <w:lang w:eastAsia="en-AU"/>
              </w:rPr>
            </w:pPr>
            <w:r w:rsidRPr="00B62E2C">
              <w:rPr>
                <w:rFonts w:eastAsiaTheme="minorEastAsia"/>
                <w:i/>
                <w:color w:val="FFFFFF"/>
                <w:lang w:eastAsia="en-AU"/>
              </w:rPr>
              <w:t xml:space="preserve"> </w:t>
            </w:r>
          </w:p>
        </w:tc>
        <w:tc>
          <w:tcPr>
            <w:tcW w:w="850" w:type="dxa"/>
            <w:tcBorders>
              <w:left w:val="nil"/>
              <w:bottom w:val="single" w:sz="4" w:space="0" w:color="auto"/>
              <w:right w:val="nil"/>
            </w:tcBorders>
            <w:shd w:val="clear" w:color="auto" w:fill="000000"/>
            <w:vAlign w:val="bottom"/>
          </w:tcPr>
          <w:p w:rsidR="00E25CC6" w:rsidRPr="00B62E2C" w:rsidRDefault="00E25CC6" w:rsidP="00B62E2C">
            <w:pPr>
              <w:pStyle w:val="Tabletextheading"/>
              <w:rPr>
                <w:rFonts w:eastAsiaTheme="minorEastAsia"/>
                <w:color w:val="FFFFFF"/>
                <w:sz w:val="19"/>
                <w:lang w:eastAsia="en-AU"/>
              </w:rPr>
            </w:pPr>
            <w:r w:rsidRPr="00B62E2C">
              <w:rPr>
                <w:rFonts w:eastAsiaTheme="minorEastAsia"/>
                <w:color w:val="FFFFFF"/>
                <w:sz w:val="19"/>
                <w:lang w:eastAsia="en-AU"/>
              </w:rPr>
              <w:t>2015</w:t>
            </w:r>
            <w:r w:rsidRPr="00B62E2C">
              <w:rPr>
                <w:rFonts w:eastAsiaTheme="minorEastAsia"/>
                <w:color w:val="FFFFFF"/>
                <w:sz w:val="19"/>
                <w:lang w:eastAsia="en-AU"/>
              </w:rPr>
              <w:noBreakHyphen/>
              <w:t>16</w:t>
            </w:r>
          </w:p>
        </w:tc>
        <w:tc>
          <w:tcPr>
            <w:tcW w:w="850" w:type="dxa"/>
            <w:tcBorders>
              <w:left w:val="nil"/>
              <w:bottom w:val="single" w:sz="4" w:space="0" w:color="auto"/>
              <w:right w:val="nil"/>
            </w:tcBorders>
            <w:shd w:val="clear" w:color="auto" w:fill="000000"/>
            <w:vAlign w:val="bottom"/>
          </w:tcPr>
          <w:p w:rsidR="00E25CC6" w:rsidRPr="00B62E2C" w:rsidRDefault="00E25CC6" w:rsidP="00B62E2C">
            <w:pPr>
              <w:pStyle w:val="Tabletextheading"/>
              <w:rPr>
                <w:rFonts w:eastAsiaTheme="minorEastAsia"/>
                <w:color w:val="FFFFFF"/>
                <w:sz w:val="19"/>
                <w:lang w:eastAsia="en-AU"/>
              </w:rPr>
            </w:pPr>
            <w:r w:rsidRPr="00B62E2C">
              <w:rPr>
                <w:rFonts w:eastAsiaTheme="minorEastAsia"/>
                <w:color w:val="FFFFFF"/>
                <w:sz w:val="19"/>
                <w:lang w:eastAsia="en-AU"/>
              </w:rPr>
              <w:t>2016</w:t>
            </w:r>
            <w:r w:rsidRPr="00B62E2C">
              <w:rPr>
                <w:rFonts w:eastAsiaTheme="minorEastAsia"/>
                <w:color w:val="FFFFFF"/>
                <w:sz w:val="19"/>
                <w:lang w:eastAsia="en-AU"/>
              </w:rPr>
              <w:noBreakHyphen/>
              <w:t>17</w:t>
            </w:r>
          </w:p>
        </w:tc>
        <w:tc>
          <w:tcPr>
            <w:tcW w:w="850" w:type="dxa"/>
            <w:tcBorders>
              <w:left w:val="nil"/>
              <w:bottom w:val="single" w:sz="4" w:space="0" w:color="auto"/>
              <w:right w:val="nil"/>
            </w:tcBorders>
            <w:shd w:val="clear" w:color="auto" w:fill="000000"/>
            <w:vAlign w:val="bottom"/>
          </w:tcPr>
          <w:p w:rsidR="00E25CC6" w:rsidRPr="00B62E2C" w:rsidRDefault="00E25CC6" w:rsidP="00B62E2C">
            <w:pPr>
              <w:pStyle w:val="Tabletextheading"/>
              <w:rPr>
                <w:rFonts w:eastAsiaTheme="minorEastAsia"/>
                <w:color w:val="FFFFFF"/>
                <w:sz w:val="19"/>
                <w:lang w:eastAsia="en-AU"/>
              </w:rPr>
            </w:pPr>
            <w:r w:rsidRPr="00B62E2C">
              <w:rPr>
                <w:rFonts w:eastAsiaTheme="minorEastAsia"/>
                <w:color w:val="FFFFFF"/>
                <w:sz w:val="19"/>
                <w:lang w:eastAsia="en-AU"/>
              </w:rPr>
              <w:t>2017</w:t>
            </w:r>
            <w:r w:rsidRPr="00B62E2C">
              <w:rPr>
                <w:rFonts w:eastAsiaTheme="minorEastAsia"/>
                <w:color w:val="FFFFFF"/>
                <w:sz w:val="19"/>
                <w:lang w:eastAsia="en-AU"/>
              </w:rPr>
              <w:noBreakHyphen/>
              <w:t>18</w:t>
            </w:r>
          </w:p>
        </w:tc>
        <w:tc>
          <w:tcPr>
            <w:tcW w:w="850" w:type="dxa"/>
            <w:tcBorders>
              <w:left w:val="nil"/>
              <w:bottom w:val="single" w:sz="4" w:space="0" w:color="auto"/>
              <w:right w:val="nil"/>
            </w:tcBorders>
            <w:shd w:val="clear" w:color="auto" w:fill="000000"/>
            <w:vAlign w:val="bottom"/>
          </w:tcPr>
          <w:p w:rsidR="00E25CC6" w:rsidRPr="00B62E2C" w:rsidRDefault="00E25CC6" w:rsidP="00B62E2C">
            <w:pPr>
              <w:pStyle w:val="Tabletextheading"/>
              <w:rPr>
                <w:rFonts w:eastAsiaTheme="minorEastAsia"/>
                <w:color w:val="FFFFFF"/>
                <w:sz w:val="19"/>
                <w:lang w:eastAsia="en-AU"/>
              </w:rPr>
            </w:pPr>
            <w:r w:rsidRPr="00B62E2C">
              <w:rPr>
                <w:rFonts w:eastAsiaTheme="minorEastAsia"/>
                <w:color w:val="FFFFFF"/>
                <w:sz w:val="19"/>
                <w:lang w:eastAsia="en-AU"/>
              </w:rPr>
              <w:t>2018</w:t>
            </w:r>
            <w:r w:rsidRPr="00B62E2C">
              <w:rPr>
                <w:rFonts w:eastAsiaTheme="minorEastAsia"/>
                <w:color w:val="FFFFFF"/>
                <w:sz w:val="19"/>
                <w:lang w:eastAsia="en-AU"/>
              </w:rPr>
              <w:noBreakHyphen/>
              <w:t>19</w:t>
            </w:r>
          </w:p>
        </w:tc>
        <w:tc>
          <w:tcPr>
            <w:tcW w:w="850" w:type="dxa"/>
            <w:tcBorders>
              <w:left w:val="nil"/>
              <w:bottom w:val="single" w:sz="4" w:space="0" w:color="auto"/>
            </w:tcBorders>
            <w:shd w:val="clear" w:color="auto" w:fill="000000"/>
            <w:vAlign w:val="bottom"/>
          </w:tcPr>
          <w:p w:rsidR="00E25CC6" w:rsidRPr="00B62E2C" w:rsidRDefault="00E25CC6" w:rsidP="00B62E2C">
            <w:pPr>
              <w:pStyle w:val="Tabletextheading"/>
              <w:rPr>
                <w:rFonts w:eastAsiaTheme="minorEastAsia" w:cs="Calibri"/>
                <w:iCs/>
                <w:color w:val="FFFFFF"/>
                <w:sz w:val="19"/>
                <w:lang w:eastAsia="en-AU"/>
              </w:rPr>
            </w:pPr>
            <w:r w:rsidRPr="00B62E2C">
              <w:rPr>
                <w:rFonts w:eastAsiaTheme="minorEastAsia" w:cs="Calibri"/>
                <w:iCs/>
                <w:color w:val="FFFFFF"/>
                <w:sz w:val="19"/>
                <w:lang w:eastAsia="en-AU"/>
              </w:rPr>
              <w:t>2019</w:t>
            </w:r>
            <w:r w:rsidRPr="00B62E2C">
              <w:rPr>
                <w:rFonts w:eastAsiaTheme="minorEastAsia" w:cs="Calibri"/>
                <w:iCs/>
                <w:color w:val="FFFFFF"/>
                <w:sz w:val="19"/>
                <w:lang w:eastAsia="en-AU"/>
              </w:rPr>
              <w:noBreakHyphen/>
              <w:t>20</w:t>
            </w:r>
          </w:p>
        </w:tc>
      </w:tr>
      <w:tr w:rsidR="00E25CC6" w:rsidRPr="00B62E2C" w:rsidTr="00B62E2C">
        <w:trPr>
          <w:cantSplit/>
        </w:trPr>
        <w:tc>
          <w:tcPr>
            <w:tcW w:w="3515" w:type="dxa"/>
            <w:tcBorders>
              <w:top w:val="single" w:sz="4" w:space="0" w:color="auto"/>
              <w:left w:val="nil"/>
              <w:right w:val="nil"/>
            </w:tcBorders>
            <w:shd w:val="clear" w:color="000000"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Acute Health Services</w:t>
            </w:r>
          </w:p>
        </w:tc>
        <w:tc>
          <w:tcPr>
            <w:tcW w:w="850" w:type="dxa"/>
            <w:tcBorders>
              <w:top w:val="single" w:sz="4" w:space="0" w:color="auto"/>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single" w:sz="4" w:space="0" w:color="auto"/>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single" w:sz="4" w:space="0" w:color="auto"/>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single" w:sz="4" w:space="0" w:color="auto"/>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single" w:sz="4" w:space="0" w:color="auto"/>
              <w:left w:val="nil"/>
              <w:right w:val="nil"/>
            </w:tcBorders>
            <w:shd w:val="clear" w:color="000000"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Better Care Victoria Innovation Fund</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10.0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vertAlign w:val="superscript"/>
                <w:lang w:eastAsia="en-AU"/>
              </w:rPr>
            </w:pPr>
            <w:r w:rsidRPr="00B62E2C">
              <w:rPr>
                <w:rFonts w:eastAsiaTheme="minorEastAsia"/>
                <w:color w:val="000000"/>
                <w:lang w:eastAsia="en-AU"/>
              </w:rPr>
              <w:t xml:space="preserve">Improving access to elective surgery </w:t>
            </w:r>
            <w:r w:rsidRPr="00B62E2C">
              <w:rPr>
                <w:rFonts w:eastAsiaTheme="minorEastAsia"/>
                <w:color w:val="000000"/>
                <w:vertAlign w:val="superscript"/>
                <w:lang w:eastAsia="en-AU"/>
              </w:rPr>
              <w:t>(a)</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20.0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167.0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48.2</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49.4</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50.6</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Leukaemia Foundation patient accommodation</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0.5</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vertAlign w:val="superscript"/>
                <w:lang w:eastAsia="en-AU"/>
              </w:rPr>
            </w:pPr>
            <w:r w:rsidRPr="00B62E2C">
              <w:rPr>
                <w:rFonts w:eastAsiaTheme="minorEastAsia"/>
                <w:color w:val="000000"/>
                <w:lang w:eastAsia="en-AU"/>
              </w:rPr>
              <w:t>Meeting hospital services demand</w:t>
            </w:r>
            <w:r w:rsidRPr="00B62E2C">
              <w:rPr>
                <w:rFonts w:eastAsiaTheme="minorEastAsia"/>
                <w:color w:val="000000"/>
                <w:vertAlign w:val="superscript"/>
                <w:lang w:eastAsia="en-AU"/>
              </w:rPr>
              <w:t xml:space="preserve"> (a)</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25.0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271.7</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229.8</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235.5</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241.4</w:t>
            </w:r>
          </w:p>
        </w:tc>
      </w:tr>
      <w:tr w:rsidR="00E25CC6" w:rsidRPr="00B62E2C" w:rsidTr="00B62E2C">
        <w:trPr>
          <w:cantSplit/>
        </w:trPr>
        <w:tc>
          <w:tcPr>
            <w:tcW w:w="3515" w:type="dxa"/>
            <w:tcBorders>
              <w:top w:val="nil"/>
              <w:left w:val="nil"/>
              <w:right w:val="nil"/>
            </w:tcBorders>
            <w:shd w:val="clear" w:color="000000"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Parkville Precinct Electronic Medical Records</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3.8</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1.2</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Strengthening oversight of quality and safety across Victorian health services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12.7</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3.4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0.5</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0.2</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 xml:space="preserve">Very Special Kids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3.5</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Ageing, Aged and Home Care</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Future public sector residential aged care provision</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25.0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Home and Community Care services indexation</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7.0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7.2</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7.3</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7.5</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Ambulance Services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Expanding ambulance services and availability</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19.1</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14.4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14.8</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15.2</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Response Time Rescue Fund</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4.7</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12.8</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17.6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17.6</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Child Protection and Family Services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b/>
                <w:bCs/>
                <w:color w:val="000000"/>
                <w:sz w:val="19"/>
                <w:lang w:eastAsia="en-AU"/>
              </w:rPr>
            </w:pPr>
            <w:r w:rsidRPr="00B62E2C">
              <w:rPr>
                <w:rFonts w:ascii="Calibri" w:eastAsiaTheme="minorEastAsia" w:hAnsi="Calibri" w:cs="Calibri"/>
                <w:b/>
                <w:bCs/>
                <w:color w:val="000000"/>
                <w:sz w:val="19"/>
                <w:lang w:eastAsia="en-AU"/>
              </w:rPr>
              <w:t xml:space="preserve"> </w:t>
            </w:r>
          </w:p>
        </w:tc>
      </w:tr>
      <w:tr w:rsidR="00E25CC6" w:rsidRPr="00B62E2C" w:rsidTr="00B62E2C">
        <w:trPr>
          <w:cantSplit/>
        </w:trPr>
        <w:tc>
          <w:tcPr>
            <w:tcW w:w="3515" w:type="dxa"/>
            <w:tcBorders>
              <w:top w:val="nil"/>
              <w:left w:val="nil"/>
              <w:right w:val="nil"/>
            </w:tcBorders>
            <w:shd w:val="clear" w:color="auto"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Improving the sexual health of children in out</w:t>
            </w:r>
            <w:r w:rsidRPr="00B62E2C">
              <w:rPr>
                <w:rFonts w:eastAsiaTheme="minorEastAsia"/>
                <w:color w:val="000000"/>
                <w:lang w:eastAsia="en-AU"/>
              </w:rPr>
              <w:noBreakHyphen/>
              <w:t>of</w:t>
            </w:r>
            <w:r w:rsidRPr="00B62E2C">
              <w:rPr>
                <w:rFonts w:eastAsiaTheme="minorEastAsia"/>
                <w:color w:val="000000"/>
                <w:lang w:eastAsia="en-AU"/>
              </w:rPr>
              <w:noBreakHyphen/>
              <w:t>home care</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1.0</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clear" w:color="auto"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Sustaining the out</w:t>
            </w:r>
            <w:r w:rsidRPr="00B62E2C">
              <w:rPr>
                <w:rFonts w:eastAsiaTheme="minorEastAsia"/>
                <w:color w:val="000000"/>
                <w:lang w:eastAsia="en-AU"/>
              </w:rPr>
              <w:noBreakHyphen/>
              <w:t>of</w:t>
            </w:r>
            <w:r w:rsidRPr="00B62E2C">
              <w:rPr>
                <w:rFonts w:eastAsiaTheme="minorEastAsia"/>
                <w:color w:val="000000"/>
                <w:lang w:eastAsia="en-AU"/>
              </w:rPr>
              <w:noBreakHyphen/>
              <w:t>home care system – meeting unavoidable placement demand</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16.8</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17.3</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clear" w:color="auto"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Urgent and essential residential care maintenance</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1.1</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1.2</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Disability Services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clear" w:color="auto"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Getting Ready for the National Disability Insurance Scheme</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27.0</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5.7</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2.6</w:t>
            </w:r>
          </w:p>
        </w:tc>
        <w:tc>
          <w:tcPr>
            <w:tcW w:w="850" w:type="dxa"/>
            <w:tcBorders>
              <w:top w:val="nil"/>
              <w:left w:val="nil"/>
              <w:right w:val="nil"/>
            </w:tcBorders>
            <w:shd w:val="clear" w:color="auto"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0.2</w:t>
            </w:r>
          </w:p>
        </w:tc>
      </w:tr>
      <w:tr w:rsidR="00E25CC6" w:rsidRPr="00B62E2C" w:rsidTr="00B62E2C">
        <w:trPr>
          <w:cantSplit/>
        </w:trPr>
        <w:tc>
          <w:tcPr>
            <w:tcW w:w="3515" w:type="dxa"/>
            <w:tcBorders>
              <w:top w:val="nil"/>
              <w:left w:val="nil"/>
              <w:right w:val="nil"/>
            </w:tcBorders>
            <w:shd w:val="clear" w:color="auto"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More support for young people with a disability before full transition to the National Disability Insurance Scheme</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14.4</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15.1</w:t>
            </w:r>
          </w:p>
        </w:tc>
        <w:tc>
          <w:tcPr>
            <w:tcW w:w="850" w:type="dxa"/>
            <w:tcBorders>
              <w:top w:val="nil"/>
              <w:left w:val="nil"/>
              <w:right w:val="nil"/>
            </w:tcBorders>
            <w:shd w:val="clear" w:color="auto"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15.8</w:t>
            </w:r>
          </w:p>
        </w:tc>
        <w:tc>
          <w:tcPr>
            <w:tcW w:w="850" w:type="dxa"/>
            <w:tcBorders>
              <w:top w:val="nil"/>
              <w:left w:val="nil"/>
              <w:right w:val="nil"/>
            </w:tcBorders>
            <w:shd w:val="clear" w:color="auto"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clear" w:color="000000"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Vision Australia Mobility and Training Centre</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0.5</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clear" w:color="000000"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Drug Services</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clear" w:color="000000"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Real</w:t>
            </w:r>
            <w:r w:rsidRPr="00B62E2C">
              <w:rPr>
                <w:rFonts w:eastAsiaTheme="minorEastAsia"/>
                <w:color w:val="000000"/>
                <w:lang w:eastAsia="en-AU"/>
              </w:rPr>
              <w:noBreakHyphen/>
              <w:t>time prescription monitoring</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12.4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8.8</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4.5</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3.8</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Empowering Individuals and Communities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Pathways to Exit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0.4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0.4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0.5</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0.4</w:t>
            </w:r>
          </w:p>
        </w:tc>
      </w:tr>
      <w:tr w:rsidR="00E25CC6" w:rsidRPr="00B62E2C" w:rsidTr="00B62E2C">
        <w:trPr>
          <w:cantSplit/>
        </w:trPr>
        <w:tc>
          <w:tcPr>
            <w:tcW w:w="3515" w:type="dxa"/>
            <w:tcBorders>
              <w:top w:val="nil"/>
              <w:left w:val="nil"/>
              <w:right w:val="nil"/>
            </w:tcBorders>
            <w:shd w:val="clear" w:color="000000"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State Disability Plan 2017</w:t>
            </w:r>
            <w:r w:rsidRPr="00B62E2C">
              <w:rPr>
                <w:rFonts w:eastAsiaTheme="minorEastAsia"/>
                <w:color w:val="000000"/>
                <w:lang w:eastAsia="en-AU"/>
              </w:rPr>
              <w:noBreakHyphen/>
              <w:t>2020</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3.3</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bl>
    <w:p w:rsidR="00E25CC6" w:rsidRDefault="00E25CC6" w:rsidP="00E43E67">
      <w:pPr>
        <w:pStyle w:val="Tableheading"/>
      </w:pPr>
      <w:r>
        <w:t>Table 1.18:</w:t>
      </w:r>
      <w:r>
        <w:tab/>
        <w:t xml:space="preserve">Output initiatives – Department of Health and Human Services </w:t>
      </w:r>
      <w:r w:rsidRPr="00E43E67">
        <w:rPr>
          <w:i/>
        </w:rPr>
        <w:t>(continued)</w:t>
      </w:r>
    </w:p>
    <w:p w:rsidR="00E25CC6" w:rsidRDefault="00E25CC6" w:rsidP="00E43E67">
      <w:pPr>
        <w:pStyle w:val="million"/>
      </w:pPr>
      <w:r w:rsidRPr="00F3418B">
        <w:t>(</w:t>
      </w:r>
      <w:r w:rsidRPr="005255BF">
        <w:t>$</w:t>
      </w:r>
      <w:r>
        <w:t> million</w:t>
      </w:r>
      <w:r w:rsidRPr="005255BF">
        <w:t>)</w:t>
      </w:r>
    </w:p>
    <w:tbl>
      <w:tblPr>
        <w:tblW w:w="7765" w:type="dxa"/>
        <w:tblInd w:w="43" w:type="dxa"/>
        <w:tblLayout w:type="fixed"/>
        <w:tblCellMar>
          <w:left w:w="43" w:type="dxa"/>
          <w:right w:w="43" w:type="dxa"/>
        </w:tblCellMar>
        <w:tblLook w:val="0000" w:firstRow="0" w:lastRow="0" w:firstColumn="0" w:lastColumn="0" w:noHBand="0" w:noVBand="0"/>
      </w:tblPr>
      <w:tblGrid>
        <w:gridCol w:w="3515"/>
        <w:gridCol w:w="850"/>
        <w:gridCol w:w="850"/>
        <w:gridCol w:w="850"/>
        <w:gridCol w:w="850"/>
        <w:gridCol w:w="850"/>
      </w:tblGrid>
      <w:tr w:rsidR="00E25CC6" w:rsidRPr="00B62E2C" w:rsidTr="00237767">
        <w:trPr>
          <w:cantSplit/>
          <w:tblHeader/>
        </w:trPr>
        <w:tc>
          <w:tcPr>
            <w:tcW w:w="3515" w:type="dxa"/>
            <w:tcBorders>
              <w:bottom w:val="single" w:sz="4" w:space="0" w:color="auto"/>
              <w:right w:val="nil"/>
            </w:tcBorders>
            <w:shd w:val="clear" w:color="auto" w:fill="000000"/>
            <w:vAlign w:val="bottom"/>
          </w:tcPr>
          <w:p w:rsidR="00E25CC6" w:rsidRPr="00B62E2C" w:rsidRDefault="00E25CC6" w:rsidP="00237767">
            <w:pPr>
              <w:pStyle w:val="Tabletext"/>
              <w:rPr>
                <w:rFonts w:eastAsiaTheme="minorEastAsia"/>
                <w:i/>
                <w:color w:val="FFFFFF"/>
                <w:lang w:eastAsia="en-AU"/>
              </w:rPr>
            </w:pPr>
            <w:r w:rsidRPr="00B62E2C">
              <w:rPr>
                <w:rFonts w:eastAsiaTheme="minorEastAsia"/>
                <w:i/>
                <w:color w:val="FFFFFF"/>
                <w:lang w:eastAsia="en-AU"/>
              </w:rPr>
              <w:t xml:space="preserve"> </w:t>
            </w:r>
          </w:p>
        </w:tc>
        <w:tc>
          <w:tcPr>
            <w:tcW w:w="850" w:type="dxa"/>
            <w:tcBorders>
              <w:left w:val="nil"/>
              <w:bottom w:val="single" w:sz="4" w:space="0" w:color="auto"/>
              <w:right w:val="nil"/>
            </w:tcBorders>
            <w:shd w:val="clear" w:color="auto" w:fill="000000"/>
            <w:vAlign w:val="bottom"/>
          </w:tcPr>
          <w:p w:rsidR="00E25CC6" w:rsidRPr="00B62E2C" w:rsidRDefault="00E25CC6" w:rsidP="00237767">
            <w:pPr>
              <w:pStyle w:val="Tabletextheading"/>
              <w:rPr>
                <w:rFonts w:eastAsiaTheme="minorEastAsia"/>
                <w:color w:val="FFFFFF"/>
                <w:sz w:val="19"/>
                <w:lang w:eastAsia="en-AU"/>
              </w:rPr>
            </w:pPr>
            <w:r w:rsidRPr="00B62E2C">
              <w:rPr>
                <w:rFonts w:eastAsiaTheme="minorEastAsia"/>
                <w:color w:val="FFFFFF"/>
                <w:sz w:val="19"/>
                <w:lang w:eastAsia="en-AU"/>
              </w:rPr>
              <w:t>2015</w:t>
            </w:r>
            <w:r w:rsidRPr="00B62E2C">
              <w:rPr>
                <w:rFonts w:eastAsiaTheme="minorEastAsia"/>
                <w:color w:val="FFFFFF"/>
                <w:sz w:val="19"/>
                <w:lang w:eastAsia="en-AU"/>
              </w:rPr>
              <w:noBreakHyphen/>
              <w:t>16</w:t>
            </w:r>
          </w:p>
        </w:tc>
        <w:tc>
          <w:tcPr>
            <w:tcW w:w="850" w:type="dxa"/>
            <w:tcBorders>
              <w:left w:val="nil"/>
              <w:bottom w:val="single" w:sz="4" w:space="0" w:color="auto"/>
              <w:right w:val="nil"/>
            </w:tcBorders>
            <w:shd w:val="clear" w:color="auto" w:fill="000000"/>
            <w:vAlign w:val="bottom"/>
          </w:tcPr>
          <w:p w:rsidR="00E25CC6" w:rsidRPr="00B62E2C" w:rsidRDefault="00E25CC6" w:rsidP="00237767">
            <w:pPr>
              <w:pStyle w:val="Tabletextheading"/>
              <w:rPr>
                <w:rFonts w:eastAsiaTheme="minorEastAsia"/>
                <w:color w:val="FFFFFF"/>
                <w:sz w:val="19"/>
                <w:lang w:eastAsia="en-AU"/>
              </w:rPr>
            </w:pPr>
            <w:r w:rsidRPr="00B62E2C">
              <w:rPr>
                <w:rFonts w:eastAsiaTheme="minorEastAsia"/>
                <w:color w:val="FFFFFF"/>
                <w:sz w:val="19"/>
                <w:lang w:eastAsia="en-AU"/>
              </w:rPr>
              <w:t>2016</w:t>
            </w:r>
            <w:r w:rsidRPr="00B62E2C">
              <w:rPr>
                <w:rFonts w:eastAsiaTheme="minorEastAsia"/>
                <w:color w:val="FFFFFF"/>
                <w:sz w:val="19"/>
                <w:lang w:eastAsia="en-AU"/>
              </w:rPr>
              <w:noBreakHyphen/>
              <w:t>17</w:t>
            </w:r>
          </w:p>
        </w:tc>
        <w:tc>
          <w:tcPr>
            <w:tcW w:w="850" w:type="dxa"/>
            <w:tcBorders>
              <w:left w:val="nil"/>
              <w:bottom w:val="single" w:sz="4" w:space="0" w:color="auto"/>
              <w:right w:val="nil"/>
            </w:tcBorders>
            <w:shd w:val="clear" w:color="auto" w:fill="000000"/>
            <w:vAlign w:val="bottom"/>
          </w:tcPr>
          <w:p w:rsidR="00E25CC6" w:rsidRPr="00B62E2C" w:rsidRDefault="00E25CC6" w:rsidP="00237767">
            <w:pPr>
              <w:pStyle w:val="Tabletextheading"/>
              <w:rPr>
                <w:rFonts w:eastAsiaTheme="minorEastAsia"/>
                <w:color w:val="FFFFFF"/>
                <w:sz w:val="19"/>
                <w:lang w:eastAsia="en-AU"/>
              </w:rPr>
            </w:pPr>
            <w:r w:rsidRPr="00B62E2C">
              <w:rPr>
                <w:rFonts w:eastAsiaTheme="minorEastAsia"/>
                <w:color w:val="FFFFFF"/>
                <w:sz w:val="19"/>
                <w:lang w:eastAsia="en-AU"/>
              </w:rPr>
              <w:t>2017</w:t>
            </w:r>
            <w:r w:rsidRPr="00B62E2C">
              <w:rPr>
                <w:rFonts w:eastAsiaTheme="minorEastAsia"/>
                <w:color w:val="FFFFFF"/>
                <w:sz w:val="19"/>
                <w:lang w:eastAsia="en-AU"/>
              </w:rPr>
              <w:noBreakHyphen/>
              <w:t>18</w:t>
            </w:r>
          </w:p>
        </w:tc>
        <w:tc>
          <w:tcPr>
            <w:tcW w:w="850" w:type="dxa"/>
            <w:tcBorders>
              <w:left w:val="nil"/>
              <w:bottom w:val="single" w:sz="4" w:space="0" w:color="auto"/>
              <w:right w:val="nil"/>
            </w:tcBorders>
            <w:shd w:val="clear" w:color="auto" w:fill="000000"/>
            <w:vAlign w:val="bottom"/>
          </w:tcPr>
          <w:p w:rsidR="00E25CC6" w:rsidRPr="00B62E2C" w:rsidRDefault="00E25CC6" w:rsidP="00237767">
            <w:pPr>
              <w:pStyle w:val="Tabletextheading"/>
              <w:rPr>
                <w:rFonts w:eastAsiaTheme="minorEastAsia"/>
                <w:color w:val="FFFFFF"/>
                <w:sz w:val="19"/>
                <w:lang w:eastAsia="en-AU"/>
              </w:rPr>
            </w:pPr>
            <w:r w:rsidRPr="00B62E2C">
              <w:rPr>
                <w:rFonts w:eastAsiaTheme="minorEastAsia"/>
                <w:color w:val="FFFFFF"/>
                <w:sz w:val="19"/>
                <w:lang w:eastAsia="en-AU"/>
              </w:rPr>
              <w:t>2018</w:t>
            </w:r>
            <w:r w:rsidRPr="00B62E2C">
              <w:rPr>
                <w:rFonts w:eastAsiaTheme="minorEastAsia"/>
                <w:color w:val="FFFFFF"/>
                <w:sz w:val="19"/>
                <w:lang w:eastAsia="en-AU"/>
              </w:rPr>
              <w:noBreakHyphen/>
              <w:t>19</w:t>
            </w:r>
          </w:p>
        </w:tc>
        <w:tc>
          <w:tcPr>
            <w:tcW w:w="850" w:type="dxa"/>
            <w:tcBorders>
              <w:left w:val="nil"/>
              <w:bottom w:val="single" w:sz="4" w:space="0" w:color="auto"/>
            </w:tcBorders>
            <w:shd w:val="clear" w:color="auto" w:fill="000000"/>
            <w:vAlign w:val="bottom"/>
          </w:tcPr>
          <w:p w:rsidR="00E25CC6" w:rsidRPr="00B62E2C" w:rsidRDefault="00E25CC6" w:rsidP="00237767">
            <w:pPr>
              <w:pStyle w:val="Tabletextheading"/>
              <w:rPr>
                <w:rFonts w:eastAsiaTheme="minorEastAsia" w:cs="Calibri"/>
                <w:iCs/>
                <w:color w:val="FFFFFF"/>
                <w:sz w:val="19"/>
                <w:lang w:eastAsia="en-AU"/>
              </w:rPr>
            </w:pPr>
            <w:r w:rsidRPr="00B62E2C">
              <w:rPr>
                <w:rFonts w:eastAsiaTheme="minorEastAsia" w:cs="Calibri"/>
                <w:iCs/>
                <w:color w:val="FFFFFF"/>
                <w:sz w:val="19"/>
                <w:lang w:eastAsia="en-AU"/>
              </w:rPr>
              <w:t>2019</w:t>
            </w:r>
            <w:r w:rsidRPr="00B62E2C">
              <w:rPr>
                <w:rFonts w:eastAsiaTheme="minorEastAsia" w:cs="Calibri"/>
                <w:iCs/>
                <w:color w:val="FFFFFF"/>
                <w:sz w:val="19"/>
                <w:lang w:eastAsia="en-AU"/>
              </w:rPr>
              <w:noBreakHyphen/>
              <w:t>20</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Housing Assistance</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Homes for Homes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0.5</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Kangan Education First Youth Foyer</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1.5</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1.6</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Mental Health</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Community safety strategy – management of serious sex offenders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4.5</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4.6</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4.7</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vertAlign w:val="superscript"/>
                <w:lang w:eastAsia="en-AU"/>
              </w:rPr>
            </w:pPr>
            <w:r w:rsidRPr="00B62E2C">
              <w:rPr>
                <w:rFonts w:eastAsiaTheme="minorEastAsia"/>
                <w:color w:val="000000"/>
                <w:lang w:eastAsia="en-AU"/>
              </w:rPr>
              <w:t xml:space="preserve">Meeting clinical services demand </w:t>
            </w:r>
            <w:r w:rsidRPr="00B62E2C">
              <w:rPr>
                <w:rFonts w:eastAsiaTheme="minorEastAsia"/>
                <w:color w:val="000000"/>
                <w:vertAlign w:val="superscript"/>
                <w:lang w:eastAsia="en-AU"/>
              </w:rPr>
              <w:t>(a)</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5.0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40.4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28.3</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29.0</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29.6</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Perinatal depression funding</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Responding to vulnerable children, families and trauma</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9.6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15.6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16.0</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16.1</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Strengthening mental health support for marginalised Victorians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5.0</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4.9</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Suicide prevention</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5.2</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7.4</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7.6</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7.3</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Primary, Community and Dental Health</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Increased refugee and asylum seeker arrivals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2.9</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2.9</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2.9</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2.2</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Public Health</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Access to medicinal cannabis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5.1</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5.1</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5.5</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5.6</w:t>
            </w:r>
          </w:p>
        </w:tc>
      </w:tr>
      <w:tr w:rsidR="00E25CC6" w:rsidRPr="00B62E2C" w:rsidTr="00B62E2C">
        <w:trPr>
          <w:cantSplit/>
        </w:trPr>
        <w:tc>
          <w:tcPr>
            <w:tcW w:w="3515" w:type="dxa"/>
            <w:tcBorders>
              <w:top w:val="nil"/>
              <w:left w:val="nil"/>
              <w:right w:val="nil"/>
            </w:tcBorders>
            <w:shd w:val="clear" w:color="000000"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Critical cancer control services</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4.0</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4.1</w:t>
            </w:r>
          </w:p>
        </w:tc>
        <w:tc>
          <w:tcPr>
            <w:tcW w:w="850" w:type="dxa"/>
            <w:tcBorders>
              <w:top w:val="nil"/>
              <w:left w:val="nil"/>
              <w:right w:val="nil"/>
            </w:tcBorders>
            <w:shd w:val="clear" w:color="000000"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4.2</w:t>
            </w:r>
          </w:p>
        </w:tc>
        <w:tc>
          <w:tcPr>
            <w:tcW w:w="850" w:type="dxa"/>
            <w:tcBorders>
              <w:top w:val="nil"/>
              <w:left w:val="nil"/>
              <w:right w:val="nil"/>
            </w:tcBorders>
            <w:shd w:val="clear" w:color="000000"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4.3</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Improving reproductive health for Victorians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1.7</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1.7</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b/>
                <w:bCs/>
                <w:color w:val="000000"/>
                <w:lang w:eastAsia="en-AU"/>
              </w:rPr>
            </w:pPr>
            <w:r w:rsidRPr="00B62E2C">
              <w:rPr>
                <w:rFonts w:eastAsiaTheme="minorEastAsia"/>
                <w:b/>
                <w:bCs/>
                <w:color w:val="000000"/>
                <w:lang w:eastAsia="en-AU"/>
              </w:rPr>
              <w:t>Sport and Recreation</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 xml:space="preserve"> </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 xml:space="preserve"> </w:t>
            </w:r>
          </w:p>
        </w:tc>
      </w:tr>
      <w:tr w:rsidR="00E25CC6" w:rsidRPr="00B62E2C" w:rsidTr="00B62E2C">
        <w:trPr>
          <w:cantSplit/>
        </w:trPr>
        <w:tc>
          <w:tcPr>
            <w:tcW w:w="3515" w:type="dxa"/>
            <w:tcBorders>
              <w:top w:val="nil"/>
              <w:left w:val="nil"/>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Community Sports and Events</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21.6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11.6</w:t>
            </w:r>
          </w:p>
        </w:tc>
        <w:tc>
          <w:tcPr>
            <w:tcW w:w="850" w:type="dxa"/>
            <w:tcBorders>
              <w:top w:val="nil"/>
              <w:left w:val="nil"/>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6.6</w:t>
            </w:r>
          </w:p>
        </w:tc>
        <w:tc>
          <w:tcPr>
            <w:tcW w:w="850" w:type="dxa"/>
            <w:tcBorders>
              <w:top w:val="nil"/>
              <w:left w:val="nil"/>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6.6</w:t>
            </w:r>
          </w:p>
        </w:tc>
      </w:tr>
      <w:tr w:rsidR="00E25CC6" w:rsidRPr="00B62E2C" w:rsidTr="00B62E2C">
        <w:trPr>
          <w:cantSplit/>
        </w:trPr>
        <w:tc>
          <w:tcPr>
            <w:tcW w:w="3515" w:type="dxa"/>
            <w:tcBorders>
              <w:top w:val="nil"/>
              <w:left w:val="nil"/>
              <w:bottom w:val="single" w:sz="6" w:space="0" w:color="auto"/>
              <w:right w:val="nil"/>
            </w:tcBorders>
            <w:shd w:val="solid" w:color="FFFFFF" w:fill="FFFFFF"/>
          </w:tcPr>
          <w:p w:rsidR="00E25CC6" w:rsidRPr="00B62E2C" w:rsidRDefault="00E25CC6" w:rsidP="00B62E2C">
            <w:pPr>
              <w:pStyle w:val="Tabletext"/>
              <w:ind w:left="227" w:hanging="227"/>
              <w:rPr>
                <w:rFonts w:eastAsiaTheme="minorEastAsia"/>
                <w:color w:val="000000"/>
                <w:lang w:eastAsia="en-AU"/>
              </w:rPr>
            </w:pPr>
            <w:r w:rsidRPr="00B62E2C">
              <w:rPr>
                <w:rFonts w:eastAsiaTheme="minorEastAsia"/>
                <w:color w:val="000000"/>
                <w:lang w:eastAsia="en-AU"/>
              </w:rPr>
              <w:t>Kardinia Park Stadium Trust (Simonds Stadium)</w:t>
            </w:r>
          </w:p>
        </w:tc>
        <w:tc>
          <w:tcPr>
            <w:tcW w:w="850" w:type="dxa"/>
            <w:tcBorders>
              <w:top w:val="nil"/>
              <w:left w:val="nil"/>
              <w:bottom w:val="single" w:sz="6" w:space="0" w:color="auto"/>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w:t>
            </w:r>
          </w:p>
        </w:tc>
        <w:tc>
          <w:tcPr>
            <w:tcW w:w="850" w:type="dxa"/>
            <w:tcBorders>
              <w:top w:val="nil"/>
              <w:left w:val="nil"/>
              <w:bottom w:val="single" w:sz="6" w:space="0" w:color="auto"/>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3.0</w:t>
            </w:r>
          </w:p>
        </w:tc>
        <w:tc>
          <w:tcPr>
            <w:tcW w:w="850" w:type="dxa"/>
            <w:tcBorders>
              <w:top w:val="nil"/>
              <w:left w:val="nil"/>
              <w:bottom w:val="single" w:sz="6" w:space="0" w:color="auto"/>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3.1</w:t>
            </w:r>
          </w:p>
        </w:tc>
        <w:tc>
          <w:tcPr>
            <w:tcW w:w="850" w:type="dxa"/>
            <w:tcBorders>
              <w:top w:val="nil"/>
              <w:left w:val="nil"/>
              <w:bottom w:val="single" w:sz="6" w:space="0" w:color="auto"/>
              <w:right w:val="nil"/>
            </w:tcBorders>
            <w:shd w:val="solid" w:color="FFFFFF" w:fill="FFFFFF"/>
          </w:tcPr>
          <w:p w:rsidR="00E25CC6" w:rsidRPr="00B62E2C" w:rsidRDefault="00E25CC6" w:rsidP="00B62E2C">
            <w:pPr>
              <w:pStyle w:val="TableofFigures"/>
              <w:rPr>
                <w:rFonts w:eastAsiaTheme="minorEastAsia"/>
                <w:color w:val="000000"/>
                <w:sz w:val="19"/>
                <w:lang w:eastAsia="en-AU"/>
              </w:rPr>
            </w:pPr>
            <w:r w:rsidRPr="00B62E2C">
              <w:rPr>
                <w:rFonts w:eastAsiaTheme="minorEastAsia"/>
                <w:color w:val="000000"/>
                <w:sz w:val="19"/>
                <w:lang w:eastAsia="en-AU"/>
              </w:rPr>
              <w:t>3.2</w:t>
            </w:r>
          </w:p>
        </w:tc>
        <w:tc>
          <w:tcPr>
            <w:tcW w:w="850" w:type="dxa"/>
            <w:tcBorders>
              <w:top w:val="nil"/>
              <w:left w:val="nil"/>
              <w:bottom w:val="single" w:sz="6" w:space="0" w:color="auto"/>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color w:val="000000"/>
                <w:sz w:val="19"/>
                <w:lang w:eastAsia="en-AU"/>
              </w:rPr>
            </w:pPr>
            <w:r w:rsidRPr="00B62E2C">
              <w:rPr>
                <w:rFonts w:ascii="Calibri" w:eastAsiaTheme="minorEastAsia" w:hAnsi="Calibri" w:cs="Calibri"/>
                <w:color w:val="000000"/>
                <w:sz w:val="19"/>
                <w:lang w:eastAsia="en-AU"/>
              </w:rPr>
              <w:t>4.7</w:t>
            </w:r>
          </w:p>
        </w:tc>
      </w:tr>
      <w:tr w:rsidR="00E25CC6" w:rsidRPr="00B62E2C" w:rsidTr="00B62E2C">
        <w:trPr>
          <w:cantSplit/>
        </w:trPr>
        <w:tc>
          <w:tcPr>
            <w:tcW w:w="3515" w:type="dxa"/>
            <w:tcBorders>
              <w:top w:val="single" w:sz="6" w:space="0" w:color="auto"/>
              <w:left w:val="nil"/>
              <w:bottom w:val="single" w:sz="12" w:space="0" w:color="auto"/>
              <w:right w:val="nil"/>
            </w:tcBorders>
            <w:shd w:val="solid" w:color="FFFFFF" w:fill="FFFFFF"/>
          </w:tcPr>
          <w:p w:rsidR="00E25CC6" w:rsidRPr="00B62E2C" w:rsidRDefault="00E25CC6" w:rsidP="00B62E2C">
            <w:pPr>
              <w:pStyle w:val="Tabletext"/>
              <w:ind w:left="227" w:hanging="227"/>
              <w:rPr>
                <w:rFonts w:eastAsiaTheme="minorEastAsia"/>
                <w:b/>
                <w:bCs/>
                <w:color w:val="000000"/>
                <w:vertAlign w:val="superscript"/>
                <w:lang w:eastAsia="en-AU"/>
              </w:rPr>
            </w:pPr>
            <w:r w:rsidRPr="00B62E2C">
              <w:rPr>
                <w:rFonts w:eastAsiaTheme="minorEastAsia"/>
                <w:b/>
                <w:bCs/>
                <w:color w:val="000000"/>
                <w:lang w:eastAsia="en-AU"/>
              </w:rPr>
              <w:t xml:space="preserve">Total output initiatives </w:t>
            </w:r>
            <w:r w:rsidRPr="00B62E2C">
              <w:rPr>
                <w:rFonts w:eastAsiaTheme="minorEastAsia"/>
                <w:b/>
                <w:bCs/>
                <w:color w:val="000000"/>
                <w:vertAlign w:val="superscript"/>
                <w:lang w:eastAsia="en-AU"/>
              </w:rPr>
              <w:t>(b)</w:t>
            </w:r>
          </w:p>
        </w:tc>
        <w:tc>
          <w:tcPr>
            <w:tcW w:w="850" w:type="dxa"/>
            <w:tcBorders>
              <w:top w:val="single" w:sz="6" w:space="0" w:color="auto"/>
              <w:left w:val="nil"/>
              <w:bottom w:val="single" w:sz="12" w:space="0" w:color="auto"/>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58.7</w:t>
            </w:r>
          </w:p>
        </w:tc>
        <w:tc>
          <w:tcPr>
            <w:tcW w:w="850" w:type="dxa"/>
            <w:tcBorders>
              <w:top w:val="single" w:sz="6" w:space="0" w:color="auto"/>
              <w:left w:val="nil"/>
              <w:bottom w:val="single" w:sz="12" w:space="0" w:color="auto"/>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712.4</w:t>
            </w:r>
          </w:p>
        </w:tc>
        <w:tc>
          <w:tcPr>
            <w:tcW w:w="850" w:type="dxa"/>
            <w:tcBorders>
              <w:top w:val="single" w:sz="6" w:space="0" w:color="auto"/>
              <w:left w:val="nil"/>
              <w:bottom w:val="single" w:sz="12" w:space="0" w:color="auto"/>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460.9</w:t>
            </w:r>
          </w:p>
        </w:tc>
        <w:tc>
          <w:tcPr>
            <w:tcW w:w="850" w:type="dxa"/>
            <w:tcBorders>
              <w:top w:val="single" w:sz="6" w:space="0" w:color="auto"/>
              <w:left w:val="nil"/>
              <w:bottom w:val="single" w:sz="12" w:space="0" w:color="auto"/>
              <w:right w:val="nil"/>
            </w:tcBorders>
            <w:shd w:val="solid" w:color="FFFFFF" w:fill="FFFFFF"/>
          </w:tcPr>
          <w:p w:rsidR="00E25CC6" w:rsidRPr="00B62E2C" w:rsidRDefault="00E25CC6" w:rsidP="00B62E2C">
            <w:pPr>
              <w:pStyle w:val="TableofFigures"/>
              <w:rPr>
                <w:rFonts w:eastAsiaTheme="minorEastAsia"/>
                <w:b/>
                <w:bCs/>
                <w:color w:val="000000"/>
                <w:sz w:val="19"/>
                <w:lang w:eastAsia="en-AU"/>
              </w:rPr>
            </w:pPr>
            <w:r w:rsidRPr="00B62E2C">
              <w:rPr>
                <w:rFonts w:eastAsiaTheme="minorEastAsia"/>
                <w:b/>
                <w:bCs/>
                <w:color w:val="000000"/>
                <w:sz w:val="19"/>
                <w:lang w:eastAsia="en-AU"/>
              </w:rPr>
              <w:t>431.4</w:t>
            </w:r>
          </w:p>
        </w:tc>
        <w:tc>
          <w:tcPr>
            <w:tcW w:w="850" w:type="dxa"/>
            <w:tcBorders>
              <w:top w:val="single" w:sz="6" w:space="0" w:color="auto"/>
              <w:left w:val="nil"/>
              <w:bottom w:val="single" w:sz="12" w:space="0" w:color="auto"/>
              <w:right w:val="nil"/>
            </w:tcBorders>
            <w:shd w:val="solid" w:color="FFFFFF" w:fill="FFFFFF"/>
          </w:tcPr>
          <w:p w:rsidR="00E25CC6" w:rsidRPr="00B62E2C" w:rsidRDefault="00E25CC6" w:rsidP="00B62E2C">
            <w:pPr>
              <w:autoSpaceDE w:val="0"/>
              <w:autoSpaceDN w:val="0"/>
              <w:adjustRightInd w:val="0"/>
              <w:spacing w:after="0"/>
              <w:jc w:val="right"/>
              <w:rPr>
                <w:rFonts w:ascii="Calibri" w:eastAsiaTheme="minorEastAsia" w:hAnsi="Calibri" w:cs="Calibri"/>
                <w:b/>
                <w:bCs/>
                <w:color w:val="000000"/>
                <w:sz w:val="19"/>
                <w:lang w:eastAsia="en-AU"/>
              </w:rPr>
            </w:pPr>
            <w:r w:rsidRPr="00B62E2C">
              <w:rPr>
                <w:rFonts w:ascii="Calibri" w:eastAsiaTheme="minorEastAsia" w:hAnsi="Calibri" w:cs="Calibri"/>
                <w:b/>
                <w:bCs/>
                <w:color w:val="000000"/>
                <w:sz w:val="19"/>
                <w:lang w:eastAsia="en-AU"/>
              </w:rPr>
              <w:t>402.1</w:t>
            </w:r>
          </w:p>
        </w:tc>
      </w:tr>
    </w:tbl>
    <w:p w:rsidR="00E25CC6" w:rsidRDefault="00E25CC6" w:rsidP="00566998">
      <w:pPr>
        <w:pStyle w:val="Source"/>
      </w:pPr>
      <w:r>
        <w:t>Source: Department of Treasury and Finance</w:t>
      </w:r>
      <w:r>
        <w:fldChar w:fldCharType="begin"/>
      </w:r>
      <w:r>
        <w:instrText xml:space="preserve"> XE "</w:instrText>
      </w:r>
      <w:r w:rsidRPr="008B1CEF">
        <w:instrText>Department of Health and Human Services:Output initiatives</w:instrText>
      </w:r>
      <w:r>
        <w:instrText xml:space="preserve">" \r "DHHS_OutputInit" </w:instrText>
      </w:r>
      <w:r>
        <w:fldChar w:fldCharType="end"/>
      </w:r>
    </w:p>
    <w:bookmarkEnd w:id="34"/>
    <w:p w:rsidR="00E25CC6" w:rsidRDefault="00E25CC6" w:rsidP="002602BE">
      <w:pPr>
        <w:pStyle w:val="Notes"/>
        <w:tabs>
          <w:tab w:val="clear" w:pos="454"/>
          <w:tab w:val="left" w:pos="762"/>
        </w:tabs>
      </w:pPr>
      <w:r>
        <w:t>Notes:</w:t>
      </w:r>
    </w:p>
    <w:p w:rsidR="00E25CC6" w:rsidRDefault="00E25CC6" w:rsidP="002602BE">
      <w:pPr>
        <w:pStyle w:val="Notes"/>
        <w:tabs>
          <w:tab w:val="clear" w:pos="454"/>
          <w:tab w:val="left" w:pos="762"/>
        </w:tabs>
      </w:pPr>
      <w:r>
        <w:t>(a)</w:t>
      </w:r>
      <w:r>
        <w:tab/>
        <w:t>These initiatives contribute to activity that attracts Commonwealth funding under the National Health Reform Agreement. Estimates of the Commonwealth’s contribution are included.</w:t>
      </w:r>
      <w:r>
        <w:tab/>
      </w:r>
    </w:p>
    <w:p w:rsidR="00E25CC6" w:rsidRDefault="00E25CC6" w:rsidP="002602BE">
      <w:pPr>
        <w:pStyle w:val="Notes"/>
        <w:tabs>
          <w:tab w:val="clear" w:pos="454"/>
          <w:tab w:val="left" w:pos="762"/>
        </w:tabs>
      </w:pPr>
      <w:r>
        <w:t>(b)</w:t>
      </w:r>
      <w:r>
        <w:tab/>
        <w:t>Tables may not add due to rounding.</w:t>
      </w:r>
    </w:p>
    <w:p w:rsidR="00E25CC6" w:rsidRPr="00CD63A7" w:rsidRDefault="00E25CC6" w:rsidP="002602BE">
      <w:pPr>
        <w:pStyle w:val="Notes"/>
        <w:tabs>
          <w:tab w:val="clear" w:pos="454"/>
          <w:tab w:val="left" w:pos="762"/>
        </w:tabs>
      </w:pPr>
    </w:p>
    <w:p w:rsidR="00E25CC6" w:rsidRDefault="00E25CC6">
      <w:pPr>
        <w:spacing w:after="0"/>
        <w:rPr>
          <w:rFonts w:ascii="Calibri" w:hAnsi="Calibri"/>
          <w:i/>
          <w:sz w:val="24"/>
          <w:szCs w:val="22"/>
        </w:rPr>
      </w:pPr>
      <w:r>
        <w:br w:type="page"/>
      </w:r>
    </w:p>
    <w:p w:rsidR="00E25CC6" w:rsidRPr="00980AA6" w:rsidRDefault="00E25CC6" w:rsidP="00BF1480">
      <w:pPr>
        <w:pStyle w:val="Heading4"/>
      </w:pPr>
      <w:r w:rsidRPr="00980AA6">
        <w:t>Acute Health Services</w:t>
      </w:r>
    </w:p>
    <w:p w:rsidR="00E25CC6" w:rsidRPr="00980AA6" w:rsidRDefault="00E25CC6" w:rsidP="003D56AD">
      <w:pPr>
        <w:pStyle w:val="Heading5"/>
      </w:pPr>
      <w:bookmarkStart w:id="35" w:name="DHHS_AcuteHlthSvcesCh1"/>
      <w:r w:rsidRPr="00980AA6">
        <w:t xml:space="preserve">Better Care Victoria </w:t>
      </w:r>
      <w:r>
        <w:t>I</w:t>
      </w:r>
      <w:r w:rsidRPr="00980AA6">
        <w:t xml:space="preserve">nnovation </w:t>
      </w:r>
      <w:r>
        <w:t>Fund</w:t>
      </w:r>
    </w:p>
    <w:p w:rsidR="00E25CC6" w:rsidRDefault="00E25CC6" w:rsidP="00B62E2C">
      <w:r w:rsidRPr="00980AA6">
        <w:t>A fund will be established to inves</w:t>
      </w:r>
      <w:r>
        <w:t>t</w:t>
      </w:r>
      <w:r w:rsidRPr="00980AA6">
        <w:t xml:space="preserve"> in public hospital</w:t>
      </w:r>
      <w:r>
        <w:noBreakHyphen/>
      </w:r>
      <w:r w:rsidRPr="00980AA6">
        <w:t>led improvement and innovation projects. These projects will enhance access to hospitals</w:t>
      </w:r>
      <w:r>
        <w:t>,</w:t>
      </w:r>
      <w:r w:rsidRPr="00980AA6">
        <w:t xml:space="preserve"> and improve quality of care and hospital performance. The fund will assist to scale up innovative projects across Victorian hospitals and will be overseen by Better Care Victoria, which includes an independent board of senior c</w:t>
      </w:r>
      <w:r>
        <w:t>linical and innovation experts.</w:t>
      </w:r>
    </w:p>
    <w:p w:rsidR="00E25CC6" w:rsidRPr="00980AA6" w:rsidRDefault="00E25CC6" w:rsidP="00D94ED5">
      <w:r w:rsidRPr="00980AA6">
        <w:t>This initiative contributes to the Department of Health and Human Services</w:t>
      </w:r>
      <w:r>
        <w:t>’</w:t>
      </w:r>
      <w:r w:rsidRPr="00980AA6">
        <w:t>:</w:t>
      </w:r>
    </w:p>
    <w:p w:rsidR="00E25CC6" w:rsidRPr="00980AA6" w:rsidRDefault="00E25CC6" w:rsidP="00D94ED5">
      <w:pPr>
        <w:pStyle w:val="BulletText"/>
      </w:pPr>
      <w:r w:rsidRPr="00980AA6">
        <w:t xml:space="preserve">Admitted Services output; and </w:t>
      </w:r>
    </w:p>
    <w:p w:rsidR="00E25CC6" w:rsidRPr="00E43E67" w:rsidRDefault="00E25CC6" w:rsidP="00E43E67">
      <w:pPr>
        <w:pStyle w:val="BulletText"/>
      </w:pPr>
      <w:r w:rsidRPr="00980AA6">
        <w:t>Non</w:t>
      </w:r>
      <w:r>
        <w:noBreakHyphen/>
        <w:t>admitted Services output.</w:t>
      </w:r>
    </w:p>
    <w:p w:rsidR="00E25CC6" w:rsidRPr="00E0236C" w:rsidRDefault="00E25CC6" w:rsidP="00C15293">
      <w:pPr>
        <w:pStyle w:val="Heading5"/>
      </w:pPr>
      <w:r>
        <w:t xml:space="preserve">Improving access to elective surgery </w:t>
      </w:r>
    </w:p>
    <w:p w:rsidR="00E25CC6" w:rsidRDefault="00E25CC6" w:rsidP="00B62E2C">
      <w:r>
        <w:t xml:space="preserve">Additional funding for elective surgery will enable additional elective surgery procedures to meet existing demand and significantly reduce waiting times. Funding includes minor capital grants to increase elective surgery capacity. </w:t>
      </w:r>
    </w:p>
    <w:p w:rsidR="00E25CC6" w:rsidRDefault="00E25CC6" w:rsidP="00584ACA">
      <w:r>
        <w:t xml:space="preserve">This initiative contributes to the Department of Health and Human Services’ Admitted Services output. </w:t>
      </w:r>
    </w:p>
    <w:p w:rsidR="00E25CC6" w:rsidRPr="00980AA6" w:rsidRDefault="00E25CC6" w:rsidP="003D56AD">
      <w:pPr>
        <w:pStyle w:val="Heading5"/>
      </w:pPr>
      <w:r w:rsidRPr="00980AA6">
        <w:t>Leukaemia Foundation patient accommodation</w:t>
      </w:r>
    </w:p>
    <w:p w:rsidR="00E25CC6" w:rsidRPr="00980AA6" w:rsidRDefault="00E25CC6" w:rsidP="007C56BA">
      <w:r w:rsidRPr="00980AA6">
        <w:t xml:space="preserve">A grant to the Leukaemia Foundation </w:t>
      </w:r>
      <w:r>
        <w:t>will</w:t>
      </w:r>
      <w:r w:rsidRPr="00980AA6">
        <w:t xml:space="preserve"> establish the Victorian</w:t>
      </w:r>
      <w:r>
        <w:t xml:space="preserve"> Patient Accommodation Centre on</w:t>
      </w:r>
      <w:r w:rsidRPr="00980AA6">
        <w:t xml:space="preserve"> Flemington</w:t>
      </w:r>
      <w:r>
        <w:t xml:space="preserve"> Road</w:t>
      </w:r>
      <w:r w:rsidRPr="00980AA6">
        <w:t>. The centre will provide accommodation for rural and regional patients undergoing treatment and their families. It will comprise 15</w:t>
      </w:r>
      <w:r>
        <w:t> </w:t>
      </w:r>
      <w:r w:rsidRPr="00980AA6">
        <w:t>one and two</w:t>
      </w:r>
      <w:r>
        <w:noBreakHyphen/>
      </w:r>
      <w:r w:rsidRPr="00980AA6">
        <w:t>bedroom apartments close to the Victorian Comprehensive Cancer Centre and other major tertiary hospitals.</w:t>
      </w:r>
    </w:p>
    <w:p w:rsidR="00E25CC6" w:rsidRPr="00980AA6" w:rsidRDefault="00E25CC6" w:rsidP="007C56BA">
      <w:r w:rsidRPr="00980AA6">
        <w:t>This initiative contributes to the Department of Health and Human Services</w:t>
      </w:r>
      <w:r>
        <w:t>’</w:t>
      </w:r>
      <w:r w:rsidRPr="00980AA6">
        <w:t>:</w:t>
      </w:r>
    </w:p>
    <w:p w:rsidR="00E25CC6" w:rsidRPr="00980AA6" w:rsidRDefault="00E25CC6" w:rsidP="007C56BA">
      <w:pPr>
        <w:pStyle w:val="BulletText"/>
      </w:pPr>
      <w:r w:rsidRPr="00980AA6">
        <w:t xml:space="preserve">Admitted Services output; and </w:t>
      </w:r>
    </w:p>
    <w:p w:rsidR="00E25CC6" w:rsidRPr="00980AA6" w:rsidRDefault="00E25CC6" w:rsidP="007C56BA">
      <w:pPr>
        <w:pStyle w:val="BulletText"/>
      </w:pPr>
      <w:r w:rsidRPr="00980AA6">
        <w:t>Non</w:t>
      </w:r>
      <w:r>
        <w:noBreakHyphen/>
      </w:r>
      <w:r w:rsidRPr="00980AA6">
        <w:t>admitted Services output.</w:t>
      </w:r>
    </w:p>
    <w:p w:rsidR="00E25CC6" w:rsidRPr="004F53A8" w:rsidRDefault="00E25CC6" w:rsidP="00140DF7">
      <w:pPr>
        <w:pStyle w:val="Heading5"/>
      </w:pPr>
      <w:r>
        <w:t xml:space="preserve">Meeting hospital services demand </w:t>
      </w:r>
    </w:p>
    <w:p w:rsidR="00E25CC6" w:rsidRDefault="00E25CC6" w:rsidP="00140DF7">
      <w:r>
        <w:t>Additional funding will enable health services to respond to growing patient demand across Victoria. Services targeted include emergency department presentations</w:t>
      </w:r>
      <w:r w:rsidRPr="00495BFC">
        <w:t xml:space="preserve">, intensive care, maternity admissions, specialist clinics, palliative care, chemotherapy, </w:t>
      </w:r>
      <w:r>
        <w:t>radiotherapy and sub</w:t>
      </w:r>
      <w:r>
        <w:noBreakHyphen/>
        <w:t>acute care.</w:t>
      </w:r>
    </w:p>
    <w:p w:rsidR="00E25CC6" w:rsidRDefault="00E25CC6" w:rsidP="00140DF7">
      <w:r>
        <w:t>This initiative contributes to the Department of Health and Human Services’:</w:t>
      </w:r>
    </w:p>
    <w:p w:rsidR="00E25CC6" w:rsidRDefault="00E25CC6" w:rsidP="00140DF7">
      <w:pPr>
        <w:pStyle w:val="BulletText"/>
      </w:pPr>
      <w:r>
        <w:t>Admitted Services output;</w:t>
      </w:r>
    </w:p>
    <w:p w:rsidR="00E25CC6" w:rsidRDefault="00E25CC6" w:rsidP="00140DF7">
      <w:pPr>
        <w:pStyle w:val="BulletText"/>
      </w:pPr>
      <w:r>
        <w:t>Emergency Services output;</w:t>
      </w:r>
    </w:p>
    <w:p w:rsidR="00E25CC6" w:rsidRDefault="00E25CC6" w:rsidP="00140DF7">
      <w:pPr>
        <w:pStyle w:val="BulletText"/>
      </w:pPr>
      <w:r>
        <w:t>Non</w:t>
      </w:r>
      <w:r>
        <w:noBreakHyphen/>
        <w:t xml:space="preserve">Admitted Services output; </w:t>
      </w:r>
    </w:p>
    <w:p w:rsidR="00E25CC6" w:rsidRDefault="00E25CC6" w:rsidP="00141A1B">
      <w:pPr>
        <w:pStyle w:val="BulletText"/>
      </w:pPr>
      <w:r>
        <w:t>Acute Training and Development output; and</w:t>
      </w:r>
    </w:p>
    <w:p w:rsidR="00E25CC6" w:rsidRPr="00E2208C" w:rsidRDefault="00E25CC6" w:rsidP="00140DF7">
      <w:pPr>
        <w:pStyle w:val="BulletText"/>
      </w:pPr>
      <w:r>
        <w:t>Small Rural Services – Acute Health output.</w:t>
      </w:r>
    </w:p>
    <w:p w:rsidR="00E25CC6" w:rsidRPr="00980AA6" w:rsidRDefault="00E25CC6" w:rsidP="003D56AD">
      <w:pPr>
        <w:pStyle w:val="Heading5"/>
      </w:pPr>
      <w:r w:rsidRPr="00980AA6">
        <w:t xml:space="preserve">Parkville Precinct Electronic Medical Records </w:t>
      </w:r>
    </w:p>
    <w:p w:rsidR="00E25CC6" w:rsidRPr="00980AA6" w:rsidRDefault="00E25CC6" w:rsidP="00B62E2C">
      <w:pPr>
        <w:rPr>
          <w:lang w:eastAsia="en-AU"/>
        </w:rPr>
      </w:pPr>
      <w:r w:rsidRPr="00980AA6">
        <w:rPr>
          <w:lang w:eastAsia="en-AU"/>
        </w:rPr>
        <w:t>Planning and development funding</w:t>
      </w:r>
      <w:r>
        <w:rPr>
          <w:lang w:eastAsia="en-AU"/>
        </w:rPr>
        <w:t xml:space="preserve"> is provided</w:t>
      </w:r>
      <w:r w:rsidRPr="00980AA6">
        <w:rPr>
          <w:lang w:eastAsia="en-AU"/>
        </w:rPr>
        <w:t xml:space="preserve"> for an Electronic Medical Records system at Melbourne Health and </w:t>
      </w:r>
      <w:r>
        <w:rPr>
          <w:lang w:eastAsia="en-AU"/>
        </w:rPr>
        <w:t xml:space="preserve">the </w:t>
      </w:r>
      <w:r w:rsidRPr="00980AA6">
        <w:rPr>
          <w:lang w:eastAsia="en-AU"/>
        </w:rPr>
        <w:t>Peter MacCallum Cancer Centre, which will aid research, clinical decision</w:t>
      </w:r>
      <w:r>
        <w:rPr>
          <w:lang w:eastAsia="en-AU"/>
        </w:rPr>
        <w:t xml:space="preserve"> support, medication management and</w:t>
      </w:r>
      <w:r w:rsidRPr="00980AA6">
        <w:rPr>
          <w:lang w:eastAsia="en-AU"/>
        </w:rPr>
        <w:t xml:space="preserve"> patient and clinical workflow functions. </w:t>
      </w:r>
    </w:p>
    <w:p w:rsidR="00E25CC6" w:rsidRPr="00E43E67" w:rsidRDefault="00E25CC6" w:rsidP="00E43E67">
      <w:pPr>
        <w:rPr>
          <w:lang w:eastAsia="en-AU"/>
        </w:rPr>
      </w:pPr>
      <w:r w:rsidRPr="00980AA6">
        <w:rPr>
          <w:lang w:eastAsia="en-AU"/>
        </w:rPr>
        <w:t>This initiative contributes to the Department of Health and Human Serv</w:t>
      </w:r>
      <w:r>
        <w:rPr>
          <w:lang w:eastAsia="en-AU"/>
        </w:rPr>
        <w:t>ices’ Admitted Services output.</w:t>
      </w:r>
    </w:p>
    <w:p w:rsidR="00E25CC6" w:rsidRPr="00980AA6" w:rsidRDefault="00E25CC6" w:rsidP="003D56AD">
      <w:pPr>
        <w:pStyle w:val="Heading5"/>
      </w:pPr>
      <w:r w:rsidRPr="00980AA6">
        <w:t>Strengthening oversight of quality and safety across Victorian health services</w:t>
      </w:r>
    </w:p>
    <w:p w:rsidR="00E25CC6" w:rsidRPr="00980AA6" w:rsidRDefault="00E25CC6" w:rsidP="00980AA6">
      <w:r w:rsidRPr="00980AA6">
        <w:t>Maternity care will be strengthened through expansion of training for around 30 smaller, generally rural, health services that have limited access to specialist training. In addition, a set of statewide maternity indicators will be rolled out with mandatory reporting to health service boards. Incident reporting mechanisms will be strengthened to improve hospital data timeliness and reliability</w:t>
      </w:r>
      <w:r>
        <w:t>,</w:t>
      </w:r>
      <w:r w:rsidRPr="00980AA6">
        <w:t xml:space="preserve"> and ensure early identification of quality and safety issues. </w:t>
      </w:r>
    </w:p>
    <w:p w:rsidR="00E25CC6" w:rsidRPr="00980AA6" w:rsidRDefault="00E25CC6" w:rsidP="00980AA6">
      <w:r w:rsidRPr="00980AA6">
        <w:t>This initiative contributes to the Department of Health and Human Services</w:t>
      </w:r>
      <w:r>
        <w:t>’</w:t>
      </w:r>
      <w:r w:rsidRPr="00980AA6">
        <w:t xml:space="preserve"> Admitted Services output.</w:t>
      </w:r>
    </w:p>
    <w:p w:rsidR="00E25CC6" w:rsidRPr="00980AA6" w:rsidRDefault="00E25CC6" w:rsidP="003D56AD">
      <w:pPr>
        <w:pStyle w:val="Heading5"/>
      </w:pPr>
      <w:r w:rsidRPr="00980AA6">
        <w:t xml:space="preserve">Very Special Kids </w:t>
      </w:r>
    </w:p>
    <w:p w:rsidR="00E25CC6" w:rsidRPr="00980AA6" w:rsidRDefault="00E25CC6" w:rsidP="00980AA6">
      <w:r w:rsidRPr="00980AA6">
        <w:t>Very Special Kids is a not</w:t>
      </w:r>
      <w:r>
        <w:noBreakHyphen/>
      </w:r>
      <w:r w:rsidRPr="00980AA6">
        <w:t>for</w:t>
      </w:r>
      <w:r>
        <w:noBreakHyphen/>
      </w:r>
      <w:r w:rsidRPr="00980AA6">
        <w:t>profit organisation that assists children with life</w:t>
      </w:r>
      <w:r>
        <w:noBreakHyphen/>
        <w:t>threatening</w:t>
      </w:r>
      <w:r w:rsidRPr="00980AA6">
        <w:t xml:space="preserve"> illnesses and th</w:t>
      </w:r>
      <w:r>
        <w:t xml:space="preserve">eir families. A grant will be provided to assist </w:t>
      </w:r>
      <w:r w:rsidRPr="00980AA6">
        <w:t xml:space="preserve">Very Special Kids to purchase </w:t>
      </w:r>
      <w:r>
        <w:t>its</w:t>
      </w:r>
      <w:r w:rsidRPr="00980AA6">
        <w:t xml:space="preserve"> existing leased site. </w:t>
      </w:r>
    </w:p>
    <w:p w:rsidR="00E25CC6" w:rsidRPr="00980AA6" w:rsidRDefault="00E25CC6" w:rsidP="00980AA6">
      <w:r w:rsidRPr="00980AA6">
        <w:t>This initiative contributes to the Department of Health and Human Services</w:t>
      </w:r>
      <w:r>
        <w:t>’</w:t>
      </w:r>
      <w:r w:rsidRPr="00980AA6">
        <w:t xml:space="preserve"> Non</w:t>
      </w:r>
      <w:r>
        <w:noBreakHyphen/>
        <w:t>A</w:t>
      </w:r>
      <w:r w:rsidRPr="00980AA6">
        <w:t>dmitted Services output</w:t>
      </w:r>
      <w:r>
        <w:fldChar w:fldCharType="begin"/>
      </w:r>
      <w:r>
        <w:instrText xml:space="preserve"> XE "</w:instrText>
      </w:r>
      <w:r w:rsidRPr="002C04E3">
        <w:instrText>Department of Health and Human Services:Acute Health Services</w:instrText>
      </w:r>
      <w:r>
        <w:instrText xml:space="preserve">" \r "DHHS_AcuteHlthSvcesCh1" </w:instrText>
      </w:r>
      <w:r>
        <w:fldChar w:fldCharType="end"/>
      </w:r>
      <w:r>
        <w:t xml:space="preserve"> </w:t>
      </w:r>
      <w:r>
        <w:fldChar w:fldCharType="begin"/>
      </w:r>
      <w:r>
        <w:instrText xml:space="preserve"> XE "</w:instrText>
      </w:r>
      <w:r w:rsidRPr="007810D7">
        <w:instrText>Acute Health Services</w:instrText>
      </w:r>
      <w:r>
        <w:instrText xml:space="preserve">" \r "DHHS_AcuteHlthSvcesCh1" </w:instrText>
      </w:r>
      <w:r>
        <w:fldChar w:fldCharType="end"/>
      </w:r>
      <w:r w:rsidRPr="00980AA6">
        <w:t>.</w:t>
      </w:r>
      <w:bookmarkEnd w:id="35"/>
    </w:p>
    <w:p w:rsidR="00E25CC6" w:rsidRPr="00980AA6" w:rsidRDefault="00E25CC6" w:rsidP="00BF1480">
      <w:pPr>
        <w:pStyle w:val="Heading4"/>
      </w:pPr>
      <w:r w:rsidRPr="00980AA6">
        <w:t>Ageing, Aged and Home Care</w:t>
      </w:r>
    </w:p>
    <w:p w:rsidR="00E25CC6" w:rsidRPr="00313A8E" w:rsidRDefault="00E25CC6" w:rsidP="00140DF7">
      <w:pPr>
        <w:pStyle w:val="Heading5"/>
      </w:pPr>
      <w:r w:rsidRPr="003552CF">
        <w:t>Future public sector residential aged care provision</w:t>
      </w:r>
    </w:p>
    <w:p w:rsidR="00E25CC6" w:rsidRPr="003552CF" w:rsidRDefault="00E25CC6" w:rsidP="00140DF7">
      <w:r>
        <w:t>Funding</w:t>
      </w:r>
      <w:r w:rsidRPr="003552CF">
        <w:t xml:space="preserve"> </w:t>
      </w:r>
      <w:r>
        <w:t>for</w:t>
      </w:r>
      <w:r w:rsidRPr="003552CF">
        <w:t xml:space="preserve"> </w:t>
      </w:r>
      <w:r>
        <w:t>p</w:t>
      </w:r>
      <w:r w:rsidRPr="003552CF">
        <w:t xml:space="preserve">ublic </w:t>
      </w:r>
      <w:r>
        <w:t>s</w:t>
      </w:r>
      <w:r w:rsidRPr="003552CF">
        <w:t xml:space="preserve">ector </w:t>
      </w:r>
      <w:r>
        <w:t>r</w:t>
      </w:r>
      <w:r w:rsidRPr="003552CF">
        <w:t xml:space="preserve">esidential </w:t>
      </w:r>
      <w:r>
        <w:t>a</w:t>
      </w:r>
      <w:r w:rsidRPr="003552CF">
        <w:t xml:space="preserve">ged </w:t>
      </w:r>
      <w:r>
        <w:t>c</w:t>
      </w:r>
      <w:r w:rsidRPr="003552CF">
        <w:t xml:space="preserve">are </w:t>
      </w:r>
      <w:r>
        <w:t>s</w:t>
      </w:r>
      <w:r w:rsidRPr="003552CF">
        <w:t xml:space="preserve">ervices will </w:t>
      </w:r>
      <w:r>
        <w:t>be continued in 2016</w:t>
      </w:r>
      <w:r>
        <w:noBreakHyphen/>
        <w:t xml:space="preserve">17 to ensure high quality care of vulnerable aged persons, including those with mental health issues. </w:t>
      </w:r>
    </w:p>
    <w:p w:rsidR="00E25CC6" w:rsidRDefault="00E25CC6" w:rsidP="00140DF7">
      <w:r w:rsidRPr="003552CF">
        <w:t>This initiative contributes to the Department of Health and Human Services</w:t>
      </w:r>
      <w:r>
        <w:t>’:</w:t>
      </w:r>
    </w:p>
    <w:p w:rsidR="00E25CC6" w:rsidRDefault="00E25CC6" w:rsidP="00140DF7">
      <w:pPr>
        <w:pStyle w:val="BulletText"/>
      </w:pPr>
      <w:r>
        <w:t xml:space="preserve">Clinical Care </w:t>
      </w:r>
      <w:r w:rsidRPr="003552CF">
        <w:t>output</w:t>
      </w:r>
      <w:r>
        <w:t>; and</w:t>
      </w:r>
    </w:p>
    <w:p w:rsidR="00E25CC6" w:rsidRPr="003552CF" w:rsidRDefault="00E25CC6" w:rsidP="00140DF7">
      <w:pPr>
        <w:pStyle w:val="BulletText"/>
      </w:pPr>
      <w:r w:rsidRPr="003552CF">
        <w:t>Residential Aged Care</w:t>
      </w:r>
      <w:r>
        <w:t xml:space="preserve"> output.</w:t>
      </w:r>
      <w:r w:rsidRPr="003552CF">
        <w:t xml:space="preserve"> </w:t>
      </w:r>
      <w:r>
        <w:fldChar w:fldCharType="begin"/>
      </w:r>
      <w:r>
        <w:instrText xml:space="preserve"> XE "</w:instrText>
      </w:r>
      <w:r w:rsidRPr="00211A8D">
        <w:instrText>Department of Health and Human Services:Ageing, Aged and Home Care</w:instrText>
      </w:r>
      <w:r>
        <w:instrText xml:space="preserve">" </w:instrText>
      </w:r>
      <w:r>
        <w:fldChar w:fldCharType="end"/>
      </w:r>
      <w:r>
        <w:t xml:space="preserve"> </w:t>
      </w:r>
      <w:r>
        <w:fldChar w:fldCharType="begin"/>
      </w:r>
      <w:r>
        <w:instrText xml:space="preserve"> XE "</w:instrText>
      </w:r>
      <w:r w:rsidRPr="007810D7">
        <w:instrText>Ageing, Aged and Home Care</w:instrText>
      </w:r>
      <w:r>
        <w:instrText xml:space="preserve">" </w:instrText>
      </w:r>
      <w:r>
        <w:fldChar w:fldCharType="end"/>
      </w:r>
    </w:p>
    <w:p w:rsidR="00E25CC6" w:rsidRPr="00980AA6" w:rsidRDefault="00E25CC6" w:rsidP="003D56AD">
      <w:pPr>
        <w:pStyle w:val="Heading5"/>
      </w:pPr>
      <w:r w:rsidRPr="00980AA6">
        <w:t>Home and Community Care services indexation</w:t>
      </w:r>
    </w:p>
    <w:p w:rsidR="00E25CC6" w:rsidRPr="00980AA6" w:rsidRDefault="00E25CC6" w:rsidP="00980AA6">
      <w:r w:rsidRPr="00980AA6">
        <w:t xml:space="preserve">Funding will </w:t>
      </w:r>
      <w:r>
        <w:t>be provided to continue</w:t>
      </w:r>
      <w:r w:rsidRPr="00980AA6">
        <w:t xml:space="preserve"> community care services such as domestic assistance, personal care, home nursing and allied health services </w:t>
      </w:r>
      <w:r>
        <w:t>for</w:t>
      </w:r>
      <w:r w:rsidRPr="00980AA6">
        <w:t xml:space="preserve"> younger people with disabilities who are not supported by the National Disability Insurance Scheme (NDIS), or who need temporary support.</w:t>
      </w:r>
    </w:p>
    <w:p w:rsidR="00E25CC6" w:rsidRPr="00980AA6" w:rsidRDefault="00E25CC6" w:rsidP="00980AA6">
      <w:r w:rsidRPr="00980AA6">
        <w:t>This initiative contributes to the Department of Health and Human Services</w:t>
      </w:r>
      <w:r>
        <w:t>’</w:t>
      </w:r>
      <w:r w:rsidRPr="00980AA6">
        <w:t xml:space="preserve"> HACC Primary Health, Community Care and Support output.</w:t>
      </w:r>
    </w:p>
    <w:p w:rsidR="00E25CC6" w:rsidRPr="00140DF7" w:rsidRDefault="00E25CC6" w:rsidP="00140DF7">
      <w:pPr>
        <w:pStyle w:val="Heading4"/>
      </w:pPr>
      <w:r w:rsidRPr="00140DF7">
        <w:t>Ambulance Services</w:t>
      </w:r>
    </w:p>
    <w:p w:rsidR="00E25CC6" w:rsidRPr="00140DF7" w:rsidRDefault="00E25CC6" w:rsidP="00B62E2C">
      <w:pPr>
        <w:pStyle w:val="Heading5"/>
      </w:pPr>
      <w:r w:rsidRPr="00140DF7">
        <w:t xml:space="preserve">Expanding ambulance </w:t>
      </w:r>
      <w:r w:rsidRPr="00B62E2C">
        <w:t>services</w:t>
      </w:r>
      <w:r w:rsidRPr="00140DF7">
        <w:t xml:space="preserve"> and availability </w:t>
      </w:r>
    </w:p>
    <w:p w:rsidR="00E25CC6" w:rsidRDefault="00E25CC6" w:rsidP="00140DF7">
      <w:r w:rsidRPr="001E05BA">
        <w:t>This funding will provide additional ambulance services (emergency transports, non</w:t>
      </w:r>
      <w:r>
        <w:noBreakHyphen/>
      </w:r>
      <w:r w:rsidRPr="001E05BA">
        <w:t>emergency transports and treatments not requiring transport) for eligible concession card holders. This</w:t>
      </w:r>
      <w:r>
        <w:t xml:space="preserve"> initiative</w:t>
      </w:r>
      <w:r w:rsidRPr="001E05BA">
        <w:t xml:space="preserve"> will </w:t>
      </w:r>
      <w:r>
        <w:t>support improved</w:t>
      </w:r>
      <w:r w:rsidRPr="001E05BA">
        <w:t xml:space="preserve"> ambu</w:t>
      </w:r>
      <w:r>
        <w:t>lance response time performance.</w:t>
      </w:r>
    </w:p>
    <w:p w:rsidR="00E25CC6" w:rsidRPr="00140DF7" w:rsidRDefault="00E25CC6" w:rsidP="00140DF7">
      <w:r w:rsidRPr="00140DF7">
        <w:t>Funding will also support the Government</w:t>
      </w:r>
      <w:r>
        <w:t>’</w:t>
      </w:r>
      <w:r w:rsidRPr="00140DF7">
        <w:t xml:space="preserve">s share of increased costs for </w:t>
      </w:r>
      <w:r>
        <w:t>emergency helicopter</w:t>
      </w:r>
      <w:r w:rsidRPr="00140DF7">
        <w:t xml:space="preserve"> services.</w:t>
      </w:r>
    </w:p>
    <w:p w:rsidR="00E25CC6" w:rsidRPr="00140DF7" w:rsidRDefault="00E25CC6" w:rsidP="00140DF7">
      <w:r w:rsidRPr="00140DF7">
        <w:t>This initiative contributes to the Department of Health and Human Services</w:t>
      </w:r>
      <w:r>
        <w:t>’</w:t>
      </w:r>
      <w:r w:rsidRPr="00140DF7">
        <w:t>:</w:t>
      </w:r>
    </w:p>
    <w:p w:rsidR="00E25CC6" w:rsidRPr="00140DF7" w:rsidRDefault="00E25CC6" w:rsidP="00140DF7">
      <w:pPr>
        <w:pStyle w:val="BulletText"/>
      </w:pPr>
      <w:r w:rsidRPr="00140DF7">
        <w:t xml:space="preserve">Ambulance Emergency Services output; and </w:t>
      </w:r>
    </w:p>
    <w:p w:rsidR="00E25CC6" w:rsidRPr="00140DF7" w:rsidRDefault="00E25CC6" w:rsidP="00140DF7">
      <w:pPr>
        <w:pStyle w:val="BulletText"/>
      </w:pPr>
      <w:r w:rsidRPr="00140DF7">
        <w:t>Ambulance Non</w:t>
      </w:r>
      <w:r>
        <w:noBreakHyphen/>
      </w:r>
      <w:r w:rsidRPr="00140DF7">
        <w:t>Emergency Services output.</w:t>
      </w:r>
      <w:r>
        <w:t xml:space="preserve"> </w:t>
      </w:r>
      <w:r>
        <w:fldChar w:fldCharType="begin"/>
      </w:r>
      <w:r>
        <w:instrText xml:space="preserve"> XE "</w:instrText>
      </w:r>
      <w:r w:rsidRPr="00052C54">
        <w:instrText>Department of Health and Human Services:Ambul</w:instrText>
      </w:r>
      <w:r>
        <w:instrText>a</w:instrText>
      </w:r>
      <w:r w:rsidRPr="00052C54">
        <w:instrText>nce Services</w:instrText>
      </w:r>
      <w:r>
        <w:instrText xml:space="preserve">" </w:instrText>
      </w:r>
      <w:r>
        <w:fldChar w:fldCharType="end"/>
      </w:r>
      <w:r>
        <w:t xml:space="preserve"> </w:t>
      </w:r>
      <w:r>
        <w:fldChar w:fldCharType="begin"/>
      </w:r>
      <w:r>
        <w:instrText xml:space="preserve"> XE "</w:instrText>
      </w:r>
      <w:r w:rsidRPr="007810D7">
        <w:instrText>Ambulance Services</w:instrText>
      </w:r>
      <w:r>
        <w:instrText xml:space="preserve">" </w:instrText>
      </w:r>
      <w:r>
        <w:fldChar w:fldCharType="end"/>
      </w:r>
    </w:p>
    <w:p w:rsidR="00E25CC6" w:rsidRPr="00140DF7" w:rsidRDefault="00E25CC6" w:rsidP="00140DF7">
      <w:pPr>
        <w:pStyle w:val="Heading5"/>
      </w:pPr>
      <w:r>
        <w:t>Response Time Rescue Fund</w:t>
      </w:r>
      <w:r w:rsidRPr="00140DF7">
        <w:t xml:space="preserve"> </w:t>
      </w:r>
    </w:p>
    <w:p w:rsidR="00E25CC6" w:rsidRDefault="00E25CC6" w:rsidP="00474E73">
      <w:r w:rsidRPr="00474E73">
        <w:t xml:space="preserve">This initiative will improve ambulance response times and paramedic health and wellbeing by implementing the recommendations and measures outlined in the final report of the Ambulance Performance and Policy Consultative Committee </w:t>
      </w:r>
      <w:r>
        <w:t>‘</w:t>
      </w:r>
      <w:r w:rsidRPr="00474E73">
        <w:t>Improving Services, Saving Lives</w:t>
      </w:r>
      <w:r>
        <w:t>’.</w:t>
      </w:r>
    </w:p>
    <w:p w:rsidR="00E25CC6" w:rsidRPr="00140DF7" w:rsidRDefault="00E25CC6" w:rsidP="00140DF7">
      <w:r w:rsidRPr="00140DF7">
        <w:t>This initiative delivers on the Government</w:t>
      </w:r>
      <w:r>
        <w:t>’</w:t>
      </w:r>
      <w:r w:rsidRPr="00140DF7">
        <w:t xml:space="preserve">s election commitment as published in </w:t>
      </w:r>
      <w:r w:rsidRPr="00553994">
        <w:t>Labor</w:t>
      </w:r>
      <w:r>
        <w:t>’</w:t>
      </w:r>
      <w:r w:rsidRPr="00553994">
        <w:t>s Financial Statement 2014</w:t>
      </w:r>
      <w:r w:rsidRPr="00140DF7">
        <w:t>.</w:t>
      </w:r>
    </w:p>
    <w:p w:rsidR="00E25CC6" w:rsidRDefault="00E25CC6" w:rsidP="00140DF7">
      <w:r w:rsidRPr="00140DF7">
        <w:t>This initiative contributes to the Department of Health and Human Services</w:t>
      </w:r>
      <w:r>
        <w:t>’</w:t>
      </w:r>
      <w:r w:rsidRPr="00140DF7">
        <w:t xml:space="preserve"> Ambulance Emergency Services output.</w:t>
      </w:r>
    </w:p>
    <w:p w:rsidR="00E25CC6" w:rsidRPr="00980AA6" w:rsidRDefault="00E25CC6" w:rsidP="00BF1480">
      <w:pPr>
        <w:pStyle w:val="Heading4"/>
      </w:pPr>
      <w:r w:rsidRPr="00980AA6">
        <w:t>Child Protection and Family Services</w:t>
      </w:r>
    </w:p>
    <w:p w:rsidR="00E25CC6" w:rsidRPr="00980AA6" w:rsidRDefault="00E25CC6" w:rsidP="003D56AD">
      <w:pPr>
        <w:pStyle w:val="Heading5"/>
      </w:pPr>
      <w:r w:rsidRPr="00980AA6">
        <w:t>Improving the sexual health of children in out</w:t>
      </w:r>
      <w:r>
        <w:noBreakHyphen/>
      </w:r>
      <w:r w:rsidRPr="00980AA6">
        <w:t>of</w:t>
      </w:r>
      <w:r>
        <w:noBreakHyphen/>
      </w:r>
      <w:r w:rsidRPr="00980AA6">
        <w:t>home care</w:t>
      </w:r>
      <w:r>
        <w:t xml:space="preserve"> </w:t>
      </w:r>
    </w:p>
    <w:p w:rsidR="00E25CC6" w:rsidRPr="00980AA6" w:rsidRDefault="00E25CC6" w:rsidP="00980AA6">
      <w:r w:rsidRPr="00980AA6">
        <w:t>A social media and online safety policy, sexual health policy and engagement strategy will promote the safety and wellbeing of children in out</w:t>
      </w:r>
      <w:r>
        <w:noBreakHyphen/>
      </w:r>
      <w:r w:rsidRPr="00980AA6">
        <w:t>of</w:t>
      </w:r>
      <w:r>
        <w:noBreakHyphen/>
        <w:t>home care. A</w:t>
      </w:r>
      <w:r w:rsidRPr="00980AA6">
        <w:t xml:space="preserve"> policy framework and sector</w:t>
      </w:r>
      <w:r>
        <w:noBreakHyphen/>
      </w:r>
      <w:r w:rsidRPr="00980AA6">
        <w:t>wide training will improve sexual health and address the sexual exploitation of children in out</w:t>
      </w:r>
      <w:r>
        <w:noBreakHyphen/>
      </w:r>
      <w:r w:rsidRPr="00980AA6">
        <w:t>of</w:t>
      </w:r>
      <w:r>
        <w:noBreakHyphen/>
      </w:r>
      <w:r w:rsidRPr="00980AA6">
        <w:t>home care.</w:t>
      </w:r>
    </w:p>
    <w:p w:rsidR="00E25CC6" w:rsidRDefault="00E25CC6" w:rsidP="00980AA6">
      <w:r w:rsidRPr="00980AA6">
        <w:t>This initiative contributes to the Department of Health and Human Services</w:t>
      </w:r>
      <w:r>
        <w:t>’</w:t>
      </w:r>
      <w:r w:rsidRPr="00980AA6">
        <w:t xml:space="preserve"> Child Protection and Family Services output.</w:t>
      </w:r>
      <w:r>
        <w:fldChar w:fldCharType="begin"/>
      </w:r>
      <w:r>
        <w:instrText xml:space="preserve"> XE "</w:instrText>
      </w:r>
      <w:r w:rsidRPr="009730E2">
        <w:instrText>Department of Health and Human Services:Child Protection and Family Services</w:instrText>
      </w:r>
      <w:r>
        <w:instrText xml:space="preserve">" </w:instrText>
      </w:r>
      <w:r>
        <w:fldChar w:fldCharType="end"/>
      </w:r>
      <w:r>
        <w:t xml:space="preserve"> </w:t>
      </w:r>
      <w:r>
        <w:fldChar w:fldCharType="begin"/>
      </w:r>
      <w:r>
        <w:instrText xml:space="preserve"> XE "</w:instrText>
      </w:r>
      <w:r w:rsidRPr="00261331">
        <w:instrText>Children:Child Protection and Family Services</w:instrText>
      </w:r>
      <w:r>
        <w:instrText xml:space="preserve">" </w:instrText>
      </w:r>
      <w:r>
        <w:fldChar w:fldCharType="end"/>
      </w:r>
    </w:p>
    <w:p w:rsidR="00E25CC6" w:rsidRPr="00140DF7" w:rsidRDefault="00E25CC6" w:rsidP="00140DF7">
      <w:pPr>
        <w:pStyle w:val="Heading5"/>
      </w:pPr>
      <w:r w:rsidRPr="00140DF7">
        <w:t>Sustaining the out</w:t>
      </w:r>
      <w:r>
        <w:noBreakHyphen/>
      </w:r>
      <w:r w:rsidRPr="00140DF7">
        <w:t>of</w:t>
      </w:r>
      <w:r>
        <w:noBreakHyphen/>
      </w:r>
      <w:r w:rsidRPr="00140DF7">
        <w:t>home care system – meeting unavoidable placement demand</w:t>
      </w:r>
      <w:r>
        <w:t xml:space="preserve"> </w:t>
      </w:r>
    </w:p>
    <w:p w:rsidR="00E25CC6" w:rsidRPr="00140DF7" w:rsidRDefault="00E25CC6" w:rsidP="00140DF7">
      <w:r w:rsidRPr="00140DF7">
        <w:t xml:space="preserve">An additional 857 kinship, foster and permanent care placements will be available to support children who are unable to live safely with their families. </w:t>
      </w:r>
    </w:p>
    <w:p w:rsidR="00E25CC6" w:rsidRPr="00140DF7" w:rsidRDefault="00E25CC6" w:rsidP="00140DF7">
      <w:r w:rsidRPr="00140DF7">
        <w:t>This initiative contributes to the Department of Health and Human Services</w:t>
      </w:r>
      <w:r>
        <w:t>’</w:t>
      </w:r>
      <w:r w:rsidRPr="00140DF7">
        <w:t xml:space="preserve"> Child Protection and Family Services output.</w:t>
      </w:r>
    </w:p>
    <w:p w:rsidR="00E25CC6" w:rsidRDefault="00E25CC6">
      <w:pPr>
        <w:spacing w:after="0"/>
        <w:rPr>
          <w:rFonts w:ascii="Calibri" w:hAnsi="Calibri"/>
          <w:b/>
        </w:rPr>
      </w:pPr>
      <w:r>
        <w:br w:type="page"/>
      </w:r>
    </w:p>
    <w:p w:rsidR="00E25CC6" w:rsidRPr="00140DF7" w:rsidRDefault="00E25CC6" w:rsidP="00140DF7">
      <w:pPr>
        <w:pStyle w:val="Heading5"/>
      </w:pPr>
      <w:r w:rsidRPr="00140DF7">
        <w:t>Urgent and essential residential care maintenance</w:t>
      </w:r>
      <w:r>
        <w:t xml:space="preserve"> </w:t>
      </w:r>
    </w:p>
    <w:p w:rsidR="00E25CC6" w:rsidRPr="00140DF7" w:rsidRDefault="00E25CC6" w:rsidP="00140DF7">
      <w:r w:rsidRPr="00140DF7">
        <w:t>Urgent and essential repairs will be made to Victoria</w:t>
      </w:r>
      <w:r>
        <w:t>’</w:t>
      </w:r>
      <w:r w:rsidRPr="00140DF7">
        <w:t>s out</w:t>
      </w:r>
      <w:r>
        <w:noBreakHyphen/>
      </w:r>
      <w:r w:rsidRPr="00140DF7">
        <w:t>of</w:t>
      </w:r>
      <w:r>
        <w:noBreakHyphen/>
      </w:r>
      <w:r w:rsidRPr="00140DF7">
        <w:t>home residential care facilities to ensure accommodation is safe and conducive to the effective care of children and young people living there.</w:t>
      </w:r>
    </w:p>
    <w:p w:rsidR="00E25CC6" w:rsidRPr="00E43E67" w:rsidRDefault="00E25CC6" w:rsidP="00E43E67">
      <w:r w:rsidRPr="00140DF7">
        <w:t>This initiative contributes to the Department of Health and Human Services</w:t>
      </w:r>
      <w:r>
        <w:t>’</w:t>
      </w:r>
      <w:r w:rsidRPr="00140DF7">
        <w:t xml:space="preserve"> Child Protect</w:t>
      </w:r>
      <w:r>
        <w:t>ion and Family Services output.</w:t>
      </w:r>
    </w:p>
    <w:p w:rsidR="00E25CC6" w:rsidRPr="00980AA6" w:rsidRDefault="00E25CC6" w:rsidP="00BF1480">
      <w:pPr>
        <w:pStyle w:val="Heading4"/>
      </w:pPr>
      <w:r w:rsidRPr="00980AA6">
        <w:t>Disability Services</w:t>
      </w:r>
    </w:p>
    <w:p w:rsidR="00E25CC6" w:rsidRPr="00980AA6" w:rsidRDefault="00E25CC6" w:rsidP="003D56AD">
      <w:pPr>
        <w:pStyle w:val="Heading5"/>
      </w:pPr>
      <w:r>
        <w:t>Getting Ready for the National Disability Insurance Scheme</w:t>
      </w:r>
    </w:p>
    <w:p w:rsidR="00E25CC6" w:rsidRDefault="00E25CC6" w:rsidP="00980AA6">
      <w:r w:rsidRPr="00350B90">
        <w:t>The National Disability Insurance Scheme</w:t>
      </w:r>
      <w:r>
        <w:fldChar w:fldCharType="begin"/>
      </w:r>
      <w:r>
        <w:instrText xml:space="preserve"> XE "</w:instrText>
      </w:r>
      <w:r w:rsidRPr="007810D7">
        <w:instrText>National Disability Insurance Scheme</w:instrText>
      </w:r>
      <w:r>
        <w:instrText xml:space="preserve">" </w:instrText>
      </w:r>
      <w:r>
        <w:fldChar w:fldCharType="end"/>
      </w:r>
      <w:r w:rsidRPr="00350B90">
        <w:t xml:space="preserve"> is the biggest social reform since Medicare. The Government is committed to the successful rollout of the Scheme for people with disability and their families. This funding will prepare for and facilit</w:t>
      </w:r>
      <w:r>
        <w:t>ate the first stage of the roll</w:t>
      </w:r>
      <w:r w:rsidRPr="00350B90">
        <w:t xml:space="preserve">out. This initiative </w:t>
      </w:r>
      <w:r>
        <w:t xml:space="preserve">also </w:t>
      </w:r>
      <w:r w:rsidRPr="00350B90">
        <w:t xml:space="preserve">provides funding to support the closure of Colanda Residential Services and additional investment </w:t>
      </w:r>
      <w:r>
        <w:t>for</w:t>
      </w:r>
      <w:r w:rsidRPr="00350B90">
        <w:t xml:space="preserve"> maintaining supported accommodation facilities around Victoria to meet the requirements of people with disability.</w:t>
      </w:r>
    </w:p>
    <w:p w:rsidR="00E25CC6" w:rsidRPr="00980AA6" w:rsidRDefault="00E25CC6" w:rsidP="00980AA6">
      <w:r w:rsidRPr="00980AA6">
        <w:t>This initiative contributes to the Department of Health and Human Services</w:t>
      </w:r>
      <w:r>
        <w:t>’</w:t>
      </w:r>
      <w:r w:rsidRPr="00980AA6">
        <w:t xml:space="preserve"> Disability Services output.</w:t>
      </w:r>
      <w:r>
        <w:t xml:space="preserve"> </w:t>
      </w:r>
      <w:r>
        <w:fldChar w:fldCharType="begin"/>
      </w:r>
      <w:r>
        <w:instrText xml:space="preserve"> XE "</w:instrText>
      </w:r>
      <w:r w:rsidRPr="00AB7268">
        <w:instrText>Department of Health and Human Services:Disability Services</w:instrText>
      </w:r>
      <w:r>
        <w:instrText xml:space="preserve">" </w:instrText>
      </w:r>
      <w:r>
        <w:fldChar w:fldCharType="end"/>
      </w:r>
      <w:r>
        <w:t xml:space="preserve"> </w:t>
      </w:r>
      <w:r>
        <w:fldChar w:fldCharType="begin"/>
      </w:r>
      <w:r>
        <w:instrText xml:space="preserve"> XE "</w:instrText>
      </w:r>
      <w:r w:rsidRPr="007810D7">
        <w:instrText>Disability Services</w:instrText>
      </w:r>
      <w:r>
        <w:instrText xml:space="preserve">" </w:instrText>
      </w:r>
      <w:r>
        <w:fldChar w:fldCharType="end"/>
      </w:r>
      <w:r>
        <w:t xml:space="preserve"> </w:t>
      </w:r>
      <w:r>
        <w:fldChar w:fldCharType="begin"/>
      </w:r>
      <w:r>
        <w:instrText xml:space="preserve"> XE "</w:instrText>
      </w:r>
      <w:r w:rsidRPr="007810D7">
        <w:instrText>National Disability Insurance Scheme</w:instrText>
      </w:r>
      <w:r>
        <w:instrText xml:space="preserve">" </w:instrText>
      </w:r>
      <w:r>
        <w:fldChar w:fldCharType="end"/>
      </w:r>
    </w:p>
    <w:p w:rsidR="00E25CC6" w:rsidRPr="00980AA6" w:rsidRDefault="00E25CC6" w:rsidP="003D56AD">
      <w:pPr>
        <w:pStyle w:val="Heading5"/>
      </w:pPr>
      <w:r w:rsidRPr="00980AA6">
        <w:t xml:space="preserve">More support for </w:t>
      </w:r>
      <w:r>
        <w:t xml:space="preserve">young </w:t>
      </w:r>
      <w:r w:rsidRPr="00980AA6">
        <w:t>people with a disability before full transition to the National Disability Insurance Scheme</w:t>
      </w:r>
    </w:p>
    <w:p w:rsidR="00E25CC6" w:rsidRPr="00980AA6" w:rsidRDefault="00E25CC6" w:rsidP="00980AA6">
      <w:r w:rsidRPr="00980AA6">
        <w:t xml:space="preserve">Additional individual support packages will </w:t>
      </w:r>
      <w:r>
        <w:t xml:space="preserve">be </w:t>
      </w:r>
      <w:r w:rsidRPr="00980AA6">
        <w:t>provide</w:t>
      </w:r>
      <w:r>
        <w:t xml:space="preserve">d for the </w:t>
      </w:r>
      <w:r w:rsidRPr="00980AA6">
        <w:t xml:space="preserve">care and support </w:t>
      </w:r>
      <w:r>
        <w:t>of</w:t>
      </w:r>
      <w:r w:rsidRPr="00980AA6">
        <w:t xml:space="preserve"> young people with a disability, their families and carers prior to their transition into the National Disability Insurance Scheme. This will provide for up to 400 young people needing disability support during the day, skill development, and support to access the community after they leave school or complete the Futures for Young Adults program. </w:t>
      </w:r>
    </w:p>
    <w:p w:rsidR="00E25CC6" w:rsidRPr="00980AA6" w:rsidRDefault="00E25CC6" w:rsidP="00980AA6">
      <w:r w:rsidRPr="00980AA6">
        <w:t>This initiative contributes to the Department of Health and Human Services</w:t>
      </w:r>
      <w:r>
        <w:t>’</w:t>
      </w:r>
      <w:r w:rsidRPr="00980AA6">
        <w:t xml:space="preserve"> Disability Services output.</w:t>
      </w:r>
    </w:p>
    <w:p w:rsidR="00E25CC6" w:rsidRPr="00980AA6" w:rsidRDefault="00E25CC6" w:rsidP="001C5232">
      <w:pPr>
        <w:pStyle w:val="Heading5"/>
      </w:pPr>
      <w:r>
        <w:t xml:space="preserve">Vision Australia </w:t>
      </w:r>
      <w:r w:rsidRPr="00980AA6">
        <w:t>Mobility and Training Centre</w:t>
      </w:r>
    </w:p>
    <w:p w:rsidR="00E25CC6" w:rsidRPr="00980AA6" w:rsidRDefault="00E25CC6" w:rsidP="001C5232">
      <w:r w:rsidRPr="00980AA6">
        <w:t xml:space="preserve">A grant to Vision Australia </w:t>
      </w:r>
      <w:r>
        <w:t>will</w:t>
      </w:r>
      <w:r w:rsidRPr="00980AA6">
        <w:t xml:space="preserve"> establish an Indoor Mobility and Training Centre for vision</w:t>
      </w:r>
      <w:r>
        <w:noBreakHyphen/>
      </w:r>
      <w:r w:rsidRPr="00980AA6">
        <w:t xml:space="preserve">impaired clients to learn to use canes, mobility devices and </w:t>
      </w:r>
      <w:r w:rsidRPr="00252B17">
        <w:t>seeing eye dogs.</w:t>
      </w:r>
      <w:r w:rsidRPr="00980AA6">
        <w:t xml:space="preserve"> Modelled on an outdoor environment, the facility will support vision</w:t>
      </w:r>
      <w:r>
        <w:noBreakHyphen/>
      </w:r>
      <w:r w:rsidRPr="00980AA6">
        <w:t xml:space="preserve">impaired clients to develop orientation and mobility skills in a safe, controlled and realistic environment. </w:t>
      </w:r>
    </w:p>
    <w:p w:rsidR="00E25CC6" w:rsidRPr="00980AA6" w:rsidRDefault="00E25CC6" w:rsidP="001C5232">
      <w:r w:rsidRPr="00980AA6">
        <w:t>This initiative contributes to the Department of Health and Human Services</w:t>
      </w:r>
      <w:r>
        <w:t>’</w:t>
      </w:r>
      <w:r w:rsidRPr="00980AA6">
        <w:t xml:space="preserve"> Disability Services output.</w:t>
      </w:r>
    </w:p>
    <w:p w:rsidR="00E25CC6" w:rsidRDefault="00E25CC6">
      <w:pPr>
        <w:spacing w:after="0"/>
        <w:rPr>
          <w:rFonts w:ascii="Calibri" w:hAnsi="Calibri"/>
          <w:i/>
          <w:sz w:val="24"/>
          <w:szCs w:val="22"/>
        </w:rPr>
      </w:pPr>
      <w:r>
        <w:br w:type="page"/>
      </w:r>
    </w:p>
    <w:p w:rsidR="00E25CC6" w:rsidRPr="00980AA6" w:rsidRDefault="00E25CC6" w:rsidP="00BF1480">
      <w:pPr>
        <w:pStyle w:val="Heading4"/>
      </w:pPr>
      <w:r>
        <w:t>Drug</w:t>
      </w:r>
      <w:r w:rsidRPr="00980AA6">
        <w:t xml:space="preserve"> Services</w:t>
      </w:r>
    </w:p>
    <w:p w:rsidR="00E25CC6" w:rsidRPr="00980AA6" w:rsidRDefault="00E25CC6" w:rsidP="003D56AD">
      <w:pPr>
        <w:pStyle w:val="Heading5"/>
      </w:pPr>
      <w:r w:rsidRPr="00980AA6">
        <w:t>Real</w:t>
      </w:r>
      <w:r>
        <w:noBreakHyphen/>
      </w:r>
      <w:r w:rsidRPr="00980AA6">
        <w:t>time prescription monitoring</w:t>
      </w:r>
    </w:p>
    <w:p w:rsidR="00E25CC6" w:rsidRPr="00980AA6" w:rsidRDefault="00E25CC6" w:rsidP="00980AA6">
      <w:r w:rsidRPr="00980AA6">
        <w:t>Pharmacy prescription records for Schedule 8 medicines will be connected in real</w:t>
      </w:r>
      <w:r>
        <w:noBreakHyphen/>
      </w:r>
      <w:r w:rsidRPr="00980AA6">
        <w:t>time to a centralised system, also accessible to doctors. This will prevent drug misuse and enable pharmacists and doctors to make more informed decisions when prescribing and dispensing medication.</w:t>
      </w:r>
    </w:p>
    <w:p w:rsidR="00E25CC6" w:rsidRPr="00980AA6" w:rsidRDefault="00E25CC6" w:rsidP="00980AA6">
      <w:r w:rsidRPr="00980AA6">
        <w:t>This initiative contributes to the Department of Health and Human Services</w:t>
      </w:r>
      <w:r>
        <w:t>’</w:t>
      </w:r>
      <w:r w:rsidRPr="00980AA6">
        <w:t>:</w:t>
      </w:r>
    </w:p>
    <w:p w:rsidR="00E25CC6" w:rsidRPr="00980AA6" w:rsidRDefault="00E25CC6" w:rsidP="007C56BA">
      <w:pPr>
        <w:pStyle w:val="BulletText"/>
      </w:pPr>
      <w:r w:rsidRPr="00980AA6">
        <w:t>Admitted Services output;</w:t>
      </w:r>
    </w:p>
    <w:p w:rsidR="00E25CC6" w:rsidRPr="00980AA6" w:rsidRDefault="00E25CC6" w:rsidP="007C56BA">
      <w:pPr>
        <w:pStyle w:val="BulletText"/>
      </w:pPr>
      <w:r w:rsidRPr="00980AA6">
        <w:t>Emergency Services output; and</w:t>
      </w:r>
    </w:p>
    <w:p w:rsidR="00E25CC6" w:rsidRPr="00980AA6" w:rsidRDefault="00E25CC6" w:rsidP="007C56BA">
      <w:pPr>
        <w:pStyle w:val="BulletText"/>
      </w:pPr>
      <w:r w:rsidRPr="00980AA6">
        <w:t>Drug Treatment and Rehabilitation output.</w:t>
      </w:r>
      <w:r>
        <w:fldChar w:fldCharType="begin"/>
      </w:r>
      <w:r>
        <w:instrText xml:space="preserve"> XE "</w:instrText>
      </w:r>
      <w:r w:rsidRPr="00231861">
        <w:instrText>Department of Health and Human Services:Drug Services</w:instrText>
      </w:r>
      <w:r>
        <w:instrText xml:space="preserve">" </w:instrText>
      </w:r>
      <w:r>
        <w:fldChar w:fldCharType="end"/>
      </w:r>
      <w:r>
        <w:t xml:space="preserve"> </w:t>
      </w:r>
      <w:r>
        <w:fldChar w:fldCharType="begin"/>
      </w:r>
      <w:r>
        <w:instrText xml:space="preserve"> XE "</w:instrText>
      </w:r>
      <w:r w:rsidRPr="007810D7">
        <w:instrText>Drug Services</w:instrText>
      </w:r>
      <w:r>
        <w:instrText xml:space="preserve">" </w:instrText>
      </w:r>
      <w:r>
        <w:fldChar w:fldCharType="end"/>
      </w:r>
    </w:p>
    <w:p w:rsidR="00E25CC6" w:rsidRPr="00980AA6" w:rsidRDefault="00E25CC6" w:rsidP="00BF1480">
      <w:pPr>
        <w:pStyle w:val="Heading4"/>
      </w:pPr>
      <w:r w:rsidRPr="00980AA6">
        <w:t>Empowering Individuals and Communities</w:t>
      </w:r>
    </w:p>
    <w:p w:rsidR="00E25CC6" w:rsidRPr="00980AA6" w:rsidRDefault="00E25CC6" w:rsidP="003D56AD">
      <w:pPr>
        <w:pStyle w:val="Heading5"/>
      </w:pPr>
      <w:r w:rsidRPr="00980AA6">
        <w:t>Pathways to Exit</w:t>
      </w:r>
    </w:p>
    <w:p w:rsidR="00E25CC6" w:rsidRPr="00980AA6" w:rsidRDefault="00E25CC6" w:rsidP="00980AA6">
      <w:r w:rsidRPr="00291E62">
        <w:t>Continued support</w:t>
      </w:r>
      <w:r w:rsidRPr="00980AA6">
        <w:t xml:space="preserve"> will be provided to workers wishing to leave the sex industry, through a program offering tailored case management and pathways to education, training and job placement opportunities. The program will be delivered by the Inner South Community Health Service in St Kilda.</w:t>
      </w:r>
    </w:p>
    <w:p w:rsidR="00E25CC6" w:rsidRPr="00BC370A" w:rsidRDefault="00E25CC6" w:rsidP="00BC370A">
      <w:r w:rsidRPr="00980AA6">
        <w:t>This initiative contributes to the Department of Health and Human Services</w:t>
      </w:r>
      <w:r>
        <w:t>’</w:t>
      </w:r>
      <w:r w:rsidRPr="00980AA6">
        <w:t xml:space="preserve"> Community Participation output.</w:t>
      </w:r>
      <w:r>
        <w:t xml:space="preserve"> </w:t>
      </w:r>
      <w:r>
        <w:fldChar w:fldCharType="begin"/>
      </w:r>
      <w:r>
        <w:instrText xml:space="preserve"> XE "</w:instrText>
      </w:r>
      <w:r w:rsidRPr="00CF23D6">
        <w:instrText>Communities:Empowering Individuals and Communities</w:instrText>
      </w:r>
      <w:r>
        <w:instrText xml:space="preserve">" </w:instrText>
      </w:r>
      <w:r>
        <w:fldChar w:fldCharType="end"/>
      </w:r>
    </w:p>
    <w:p w:rsidR="00E25CC6" w:rsidRPr="00980AA6" w:rsidRDefault="00E25CC6" w:rsidP="003D56AD">
      <w:pPr>
        <w:pStyle w:val="Heading5"/>
      </w:pPr>
      <w:r w:rsidRPr="00980AA6">
        <w:t>State Disability Plan 2017</w:t>
      </w:r>
      <w:r>
        <w:noBreakHyphen/>
      </w:r>
      <w:r w:rsidRPr="00980AA6">
        <w:t>2020</w:t>
      </w:r>
    </w:p>
    <w:p w:rsidR="00E25CC6" w:rsidRPr="00980AA6" w:rsidRDefault="00E25CC6" w:rsidP="00980AA6">
      <w:r w:rsidRPr="00980AA6">
        <w:t xml:space="preserve">The next four year State Disability Plan will be developed, coinciding with the transition to the National Disability Insurance Scheme. Implementation of the </w:t>
      </w:r>
      <w:r>
        <w:t xml:space="preserve">plan will support people with </w:t>
      </w:r>
      <w:r w:rsidRPr="00980AA6">
        <w:t>disability through:</w:t>
      </w:r>
      <w:r>
        <w:t xml:space="preserve"> </w:t>
      </w:r>
      <w:r>
        <w:fldChar w:fldCharType="begin"/>
      </w:r>
      <w:r>
        <w:instrText xml:space="preserve"> XE "</w:instrText>
      </w:r>
      <w:r w:rsidRPr="00F85285">
        <w:instrText>Disability Services</w:instrText>
      </w:r>
      <w:r>
        <w:instrText xml:space="preserve">" </w:instrText>
      </w:r>
      <w:r>
        <w:fldChar w:fldCharType="end"/>
      </w:r>
    </w:p>
    <w:p w:rsidR="00E25CC6" w:rsidRPr="007C56BA" w:rsidRDefault="00E25CC6" w:rsidP="007C56BA">
      <w:pPr>
        <w:pStyle w:val="BulletText"/>
      </w:pPr>
      <w:r w:rsidRPr="007C56BA">
        <w:t xml:space="preserve">scholarships </w:t>
      </w:r>
      <w:r>
        <w:t>for</w:t>
      </w:r>
      <w:r w:rsidRPr="007C56BA">
        <w:t xml:space="preserve"> people with disability to participate in leadership courses; </w:t>
      </w:r>
    </w:p>
    <w:p w:rsidR="00E25CC6" w:rsidRPr="007C56BA" w:rsidRDefault="00E25CC6" w:rsidP="007C56BA">
      <w:pPr>
        <w:pStyle w:val="BulletText"/>
      </w:pPr>
      <w:r w:rsidRPr="007C56BA">
        <w:t xml:space="preserve">support for Changing Places, a project to ensure public toilets are suitable for </w:t>
      </w:r>
      <w:r>
        <w:t>people</w:t>
      </w:r>
      <w:r w:rsidRPr="007C56BA">
        <w:t xml:space="preserve"> with disability; and</w:t>
      </w:r>
    </w:p>
    <w:p w:rsidR="00E25CC6" w:rsidRPr="007C56BA" w:rsidRDefault="00E25CC6" w:rsidP="007C56BA">
      <w:pPr>
        <w:pStyle w:val="BulletText"/>
      </w:pPr>
      <w:r w:rsidRPr="007C56BA">
        <w:t xml:space="preserve">an economic participation strategy, which will ensure Victorian businesses, including the Victorian Public Service, improve attraction and retention rates of people with disability in the workforce. </w:t>
      </w:r>
    </w:p>
    <w:p w:rsidR="00E25CC6" w:rsidRPr="00980AA6" w:rsidRDefault="00E25CC6" w:rsidP="00980AA6">
      <w:r w:rsidRPr="00980AA6">
        <w:t>This initiative contributes to the Department of Health and Human Services</w:t>
      </w:r>
      <w:r>
        <w:t>’</w:t>
      </w:r>
      <w:r w:rsidRPr="00980AA6">
        <w:t xml:space="preserve"> Office for Disability output.</w:t>
      </w:r>
    </w:p>
    <w:p w:rsidR="00E25CC6" w:rsidRDefault="00E25CC6">
      <w:pPr>
        <w:spacing w:after="0"/>
        <w:rPr>
          <w:rFonts w:ascii="Calibri" w:hAnsi="Calibri"/>
          <w:i/>
          <w:sz w:val="24"/>
          <w:szCs w:val="22"/>
        </w:rPr>
      </w:pPr>
      <w:r>
        <w:br w:type="page"/>
      </w:r>
    </w:p>
    <w:p w:rsidR="00E25CC6" w:rsidRPr="00980AA6" w:rsidRDefault="00E25CC6" w:rsidP="00BF1480">
      <w:pPr>
        <w:pStyle w:val="Heading4"/>
      </w:pPr>
      <w:r w:rsidRPr="00980AA6">
        <w:t>Housing Assistance</w:t>
      </w:r>
    </w:p>
    <w:p w:rsidR="00E25CC6" w:rsidRPr="00980AA6" w:rsidRDefault="00E25CC6" w:rsidP="003D56AD">
      <w:pPr>
        <w:pStyle w:val="Heading5"/>
      </w:pPr>
      <w:r w:rsidRPr="00980AA6">
        <w:t xml:space="preserve">Homes for Homes </w:t>
      </w:r>
    </w:p>
    <w:p w:rsidR="00E25CC6" w:rsidRPr="00980AA6" w:rsidRDefault="00E25CC6" w:rsidP="00B62E2C">
      <w:r w:rsidRPr="00980AA6">
        <w:t>A contribution to The Big Issue will support the establishment of the Homes for Homes headquarters in Melbourne. The Homes for Homes scheme will provide a long</w:t>
      </w:r>
      <w:r>
        <w:noBreakHyphen/>
      </w:r>
      <w:r w:rsidRPr="00980AA6">
        <w:t>term and sustainable source of funds to deliver affordable housing for disadvantaged individuals.</w:t>
      </w:r>
    </w:p>
    <w:p w:rsidR="00E25CC6" w:rsidRPr="00980AA6" w:rsidRDefault="00E25CC6" w:rsidP="00B62E2C">
      <w:pPr>
        <w:rPr>
          <w:i/>
        </w:rPr>
      </w:pPr>
      <w:r w:rsidRPr="00980AA6">
        <w:t>This initiative delivers on the Government</w:t>
      </w:r>
      <w:r>
        <w:t>’</w:t>
      </w:r>
      <w:r w:rsidRPr="00980AA6">
        <w:t xml:space="preserve">s election commitment as published in </w:t>
      </w:r>
      <w:r w:rsidRPr="00553994">
        <w:t>Labor</w:t>
      </w:r>
      <w:r>
        <w:t>’</w:t>
      </w:r>
      <w:r w:rsidRPr="00553994">
        <w:t>s Financial Statement 2014</w:t>
      </w:r>
      <w:r w:rsidRPr="00980AA6">
        <w:rPr>
          <w:i/>
        </w:rPr>
        <w:t>.</w:t>
      </w:r>
    </w:p>
    <w:p w:rsidR="00E25CC6" w:rsidRPr="00980AA6" w:rsidRDefault="00E25CC6" w:rsidP="00B62E2C">
      <w:r w:rsidRPr="00980AA6">
        <w:t>This initiative contributes to the Department of Health and Human Services</w:t>
      </w:r>
      <w:r>
        <w:t>’</w:t>
      </w:r>
      <w:r w:rsidRPr="00980AA6">
        <w:t xml:space="preserve"> Housing Assistance output.</w:t>
      </w:r>
    </w:p>
    <w:p w:rsidR="00E25CC6" w:rsidRPr="00980AA6" w:rsidRDefault="00E25CC6" w:rsidP="003D56AD">
      <w:pPr>
        <w:pStyle w:val="Heading5"/>
      </w:pPr>
      <w:r w:rsidRPr="00980AA6">
        <w:t>Kangan Education First Youth Foyer</w:t>
      </w:r>
    </w:p>
    <w:p w:rsidR="00E25CC6" w:rsidRPr="00980AA6" w:rsidRDefault="00E25CC6" w:rsidP="00B62E2C">
      <w:r w:rsidRPr="00980AA6">
        <w:t>The Education First Youth Foyer provides integrated accommodation and support for young people at risk of, or experiencing, homelessness. It provides assistance with securing educational, employment and training opportunities. This initiative provides operational funding for the 40</w:t>
      </w:r>
      <w:r>
        <w:t xml:space="preserve"> </w:t>
      </w:r>
      <w:r w:rsidRPr="00980AA6">
        <w:t>bed Education First Youth Foyer at Kangan Institute (Broadmeadows campus).</w:t>
      </w:r>
    </w:p>
    <w:p w:rsidR="00E25CC6" w:rsidRPr="00980AA6" w:rsidRDefault="00E25CC6" w:rsidP="00B62E2C">
      <w:pPr>
        <w:rPr>
          <w:rFonts w:asciiTheme="minorHAnsi" w:hAnsiTheme="minorHAnsi"/>
          <w:b/>
          <w:i/>
        </w:rPr>
      </w:pPr>
      <w:r w:rsidRPr="00980AA6">
        <w:t>This initiative contributes to the Department of Health and Human Services</w:t>
      </w:r>
      <w:r>
        <w:t>’</w:t>
      </w:r>
      <w:r w:rsidRPr="00980AA6">
        <w:t xml:space="preserve"> Housing Assistance output.</w:t>
      </w:r>
      <w:r>
        <w:fldChar w:fldCharType="begin"/>
      </w:r>
      <w:r>
        <w:instrText xml:space="preserve"> XE "</w:instrText>
      </w:r>
      <w:r w:rsidRPr="00473812">
        <w:instrText>Department of Health and Human Services:Housing Assistance</w:instrText>
      </w:r>
      <w:r>
        <w:instrText xml:space="preserve">" </w:instrText>
      </w:r>
      <w:r>
        <w:fldChar w:fldCharType="end"/>
      </w:r>
      <w:r>
        <w:fldChar w:fldCharType="begin"/>
      </w:r>
      <w:r>
        <w:instrText xml:space="preserve"> XE "</w:instrText>
      </w:r>
      <w:r w:rsidRPr="007810D7">
        <w:instrText>Housing Assistance</w:instrText>
      </w:r>
      <w:r>
        <w:instrText xml:space="preserve">" </w:instrText>
      </w:r>
      <w:r>
        <w:fldChar w:fldCharType="end"/>
      </w:r>
    </w:p>
    <w:p w:rsidR="00E25CC6" w:rsidRPr="00980AA6" w:rsidRDefault="00E25CC6" w:rsidP="00BF1480">
      <w:pPr>
        <w:pStyle w:val="Heading4"/>
      </w:pPr>
      <w:r w:rsidRPr="00980AA6">
        <w:t>Mental Health</w:t>
      </w:r>
    </w:p>
    <w:p w:rsidR="00E25CC6" w:rsidRPr="00980AA6" w:rsidRDefault="00E25CC6" w:rsidP="003D56AD">
      <w:pPr>
        <w:pStyle w:val="Heading5"/>
      </w:pPr>
      <w:r w:rsidRPr="00980AA6">
        <w:t xml:space="preserve">Community safety strategy – </w:t>
      </w:r>
      <w:r>
        <w:t>m</w:t>
      </w:r>
      <w:r w:rsidRPr="00980AA6">
        <w:t>anagement of serious sex offenders</w:t>
      </w:r>
    </w:p>
    <w:p w:rsidR="00E25CC6" w:rsidRPr="00980AA6" w:rsidRDefault="00E25CC6" w:rsidP="00980AA6">
      <w:r w:rsidRPr="00980AA6">
        <w:t>Specialist adult mental health workforce capabilit</w:t>
      </w:r>
      <w:r>
        <w:t>ies</w:t>
      </w:r>
      <w:r w:rsidRPr="00980AA6">
        <w:t xml:space="preserve"> will be </w:t>
      </w:r>
      <w:r>
        <w:t>strengthened</w:t>
      </w:r>
      <w:r w:rsidRPr="00980AA6">
        <w:t xml:space="preserve"> to more effectively treat and manage serious sex offenders. A new consulting forensic psychiatrist position will be established within Forensicare, and additional clinical services will be provided in Forensicare</w:t>
      </w:r>
      <w:r>
        <w:t>’</w:t>
      </w:r>
      <w:r w:rsidRPr="00980AA6">
        <w:t>s Problem Behaviour Program. This will improve the availability and quality of mental health support for high</w:t>
      </w:r>
      <w:r>
        <w:noBreakHyphen/>
      </w:r>
      <w:r w:rsidRPr="00980AA6">
        <w:t>risk forensic patients in both transitional and post</w:t>
      </w:r>
      <w:r>
        <w:noBreakHyphen/>
      </w:r>
      <w:r w:rsidRPr="00980AA6">
        <w:t>release environments.</w:t>
      </w:r>
    </w:p>
    <w:p w:rsidR="00E25CC6" w:rsidRPr="00980AA6" w:rsidRDefault="00E25CC6" w:rsidP="00980AA6">
      <w:r w:rsidRPr="00980AA6">
        <w:t>This initiative contributes to the Department of Health and Human Services</w:t>
      </w:r>
      <w:r>
        <w:t>’</w:t>
      </w:r>
      <w:r w:rsidRPr="00980AA6">
        <w:t xml:space="preserve"> Clinical Care output.</w:t>
      </w:r>
    </w:p>
    <w:p w:rsidR="00E25CC6" w:rsidRDefault="00E25CC6" w:rsidP="00140DF7">
      <w:pPr>
        <w:pStyle w:val="Heading5"/>
      </w:pPr>
      <w:bookmarkStart w:id="36" w:name="DHHS_MentalHlthCh1"/>
      <w:r>
        <w:t xml:space="preserve">Meeting clinical services demand </w:t>
      </w:r>
    </w:p>
    <w:p w:rsidR="00E25CC6" w:rsidRPr="00980AA6" w:rsidRDefault="00E25CC6" w:rsidP="00980AA6">
      <w:r w:rsidRPr="00980AA6">
        <w:t>Additional funding</w:t>
      </w:r>
      <w:r>
        <w:t xml:space="preserve"> will be provided</w:t>
      </w:r>
      <w:r w:rsidRPr="00980AA6">
        <w:t xml:space="preserve"> </w:t>
      </w:r>
      <w:r>
        <w:t>for</w:t>
      </w:r>
      <w:r w:rsidRPr="00980AA6">
        <w:t xml:space="preserve"> clinical mental health services to respond to growing patient demand across Victoria with a focus on new acute mental health beds, an expansion of conduct disorder services for children and an expansion of the Gender Dysphoria program</w:t>
      </w:r>
      <w:r>
        <w:t xml:space="preserve"> at Monash Health</w:t>
      </w:r>
      <w:r w:rsidRPr="00980AA6">
        <w:t>.</w:t>
      </w:r>
    </w:p>
    <w:p w:rsidR="00E25CC6" w:rsidRPr="00980AA6" w:rsidRDefault="00E25CC6" w:rsidP="00980AA6">
      <w:r w:rsidRPr="00980AA6">
        <w:t>This initiative contributes to the Department of Health and Human Services</w:t>
      </w:r>
      <w:r>
        <w:t>’</w:t>
      </w:r>
      <w:r w:rsidRPr="00980AA6">
        <w:t>:</w:t>
      </w:r>
    </w:p>
    <w:p w:rsidR="00E25CC6" w:rsidRPr="00D94ED5" w:rsidRDefault="00E25CC6" w:rsidP="00D94ED5">
      <w:pPr>
        <w:pStyle w:val="BulletText"/>
      </w:pPr>
      <w:r w:rsidRPr="00D94ED5">
        <w:t>Clinical Care output; and</w:t>
      </w:r>
    </w:p>
    <w:p w:rsidR="00E25CC6" w:rsidRPr="00D94ED5" w:rsidRDefault="00E25CC6" w:rsidP="00D94ED5">
      <w:pPr>
        <w:pStyle w:val="BulletText"/>
      </w:pPr>
      <w:r w:rsidRPr="00D94ED5">
        <w:t>Drug Treatment and Rehabilitation output.</w:t>
      </w:r>
    </w:p>
    <w:p w:rsidR="00E25CC6" w:rsidRPr="00980AA6" w:rsidRDefault="00E25CC6" w:rsidP="008B5E0A">
      <w:pPr>
        <w:pStyle w:val="Heading5"/>
      </w:pPr>
      <w:r w:rsidRPr="00980AA6">
        <w:t xml:space="preserve">Perinatal depression funding </w:t>
      </w:r>
    </w:p>
    <w:p w:rsidR="00E25CC6" w:rsidRPr="00980AA6" w:rsidRDefault="00E25CC6" w:rsidP="00980AA6">
      <w:pPr>
        <w:autoSpaceDE w:val="0"/>
        <w:autoSpaceDN w:val="0"/>
        <w:adjustRightInd w:val="0"/>
        <w:spacing w:after="240"/>
        <w:rPr>
          <w:rFonts w:ascii="Helv" w:hAnsi="Helv" w:cs="Helv"/>
          <w:color w:val="000000"/>
          <w:szCs w:val="22"/>
          <w:lang w:eastAsia="en-AU"/>
        </w:rPr>
      </w:pPr>
      <w:r w:rsidRPr="00980AA6">
        <w:t xml:space="preserve">Continued prevention and early detection of perinatal depression will support new mothers experiencing depression. </w:t>
      </w:r>
      <w:r w:rsidRPr="00A07847">
        <w:t xml:space="preserve">This replaces </w:t>
      </w:r>
      <w:r>
        <w:t xml:space="preserve">funding from the </w:t>
      </w:r>
      <w:r w:rsidRPr="00A07847">
        <w:t>Commonwealth which ceased</w:t>
      </w:r>
      <w:r>
        <w:t xml:space="preserve"> for this program</w:t>
      </w:r>
      <w:r w:rsidRPr="00A07847">
        <w:t xml:space="preserve"> in 2014</w:t>
      </w:r>
      <w:r>
        <w:noBreakHyphen/>
      </w:r>
      <w:r w:rsidRPr="00A07847">
        <w:t>15.</w:t>
      </w:r>
    </w:p>
    <w:p w:rsidR="00E25CC6" w:rsidRPr="00884C18" w:rsidRDefault="00E25CC6" w:rsidP="00884C18">
      <w:r w:rsidRPr="00980AA6">
        <w:t xml:space="preserve">This initiative contributes to the Department of Health and Human </w:t>
      </w:r>
      <w:r>
        <w:t>Services’ Clinical Care output.</w:t>
      </w:r>
    </w:p>
    <w:p w:rsidR="00E25CC6" w:rsidRPr="00980AA6" w:rsidRDefault="00E25CC6" w:rsidP="003D56AD">
      <w:pPr>
        <w:pStyle w:val="Heading5"/>
      </w:pPr>
      <w:r w:rsidRPr="00980AA6">
        <w:t>Responding to vulnerable children, families and trauma</w:t>
      </w:r>
    </w:p>
    <w:p w:rsidR="00E25CC6" w:rsidRPr="00980AA6" w:rsidRDefault="00E25CC6" w:rsidP="00980AA6">
      <w:r>
        <w:t>More than</w:t>
      </w:r>
      <w:r w:rsidRPr="00980AA6">
        <w:t xml:space="preserve"> 1</w:t>
      </w:r>
      <w:r>
        <w:t> </w:t>
      </w:r>
      <w:r w:rsidRPr="00980AA6">
        <w:t>000 children aged up to 12 years with significant behavioural problems, their carers and families will be assisted through the expansion of specialist clinical child mental health services. This assistance aims to intervene earlier to reduce the impact of violence, abuse and parental neglect on the mental health and psychological wellbeing of children.</w:t>
      </w:r>
    </w:p>
    <w:p w:rsidR="00E25CC6" w:rsidRPr="00980AA6" w:rsidRDefault="00E25CC6" w:rsidP="00980AA6">
      <w:r w:rsidRPr="00980AA6">
        <w:t>The Families where a Parent has a Mental Illness program will</w:t>
      </w:r>
      <w:r>
        <w:t xml:space="preserve"> be expanded to an additional ten</w:t>
      </w:r>
      <w:r w:rsidRPr="00980AA6">
        <w:t xml:space="preserve"> area mental health services, providing statewide coverage. This program will address the impact of parental mental illness on dependent children.</w:t>
      </w:r>
    </w:p>
    <w:p w:rsidR="00E25CC6" w:rsidRDefault="00E25CC6" w:rsidP="00E43E67">
      <w:r w:rsidRPr="00291E62">
        <w:t>Continued support</w:t>
      </w:r>
      <w:r w:rsidRPr="00980AA6">
        <w:t xml:space="preserve"> will be provided to access accommodation through the Improved Housing Access program, and through The Haven and Traralgon supported accommodation services. These services will reduce the prevalence of homelessness amongst Victorian</w:t>
      </w:r>
      <w:r>
        <w:t>s with a severe mental illness.</w:t>
      </w:r>
    </w:p>
    <w:p w:rsidR="00E25CC6" w:rsidRPr="00980AA6" w:rsidRDefault="00E25CC6" w:rsidP="00980AA6">
      <w:r w:rsidRPr="00980AA6">
        <w:t>This initiative contributes to the Department of Health and Human Services</w:t>
      </w:r>
      <w:r>
        <w:t>’</w:t>
      </w:r>
      <w:r w:rsidRPr="00980AA6">
        <w:t>:</w:t>
      </w:r>
    </w:p>
    <w:p w:rsidR="00E25CC6" w:rsidRPr="00980AA6" w:rsidRDefault="00E25CC6" w:rsidP="00D94ED5">
      <w:pPr>
        <w:pStyle w:val="BulletText"/>
      </w:pPr>
      <w:r w:rsidRPr="00980AA6">
        <w:t>Clinical Care output; and</w:t>
      </w:r>
    </w:p>
    <w:p w:rsidR="00E25CC6" w:rsidRPr="00980AA6" w:rsidRDefault="00E25CC6" w:rsidP="00D94ED5">
      <w:pPr>
        <w:pStyle w:val="BulletText"/>
      </w:pPr>
      <w:r w:rsidRPr="00980AA6">
        <w:t>Mental Health Community Support Services output.</w:t>
      </w:r>
    </w:p>
    <w:p w:rsidR="00E25CC6" w:rsidRPr="00980AA6" w:rsidRDefault="00E25CC6" w:rsidP="003D56AD">
      <w:pPr>
        <w:pStyle w:val="Heading5"/>
      </w:pPr>
      <w:r w:rsidRPr="00980AA6">
        <w:t>Strengthening mental health support for marginalised Victorians</w:t>
      </w:r>
    </w:p>
    <w:p w:rsidR="00E25CC6" w:rsidRPr="00980AA6" w:rsidRDefault="00E25CC6" w:rsidP="00980AA6">
      <w:pPr>
        <w:rPr>
          <w:lang w:eastAsia="en-AU"/>
        </w:rPr>
      </w:pPr>
      <w:r w:rsidRPr="00980AA6">
        <w:t xml:space="preserve">New treatment models will be trialled to develop targeted support for Victorians with a mental illness, focusing on disadvantaged people with moderate severity mental illness, </w:t>
      </w:r>
      <w:r>
        <w:t xml:space="preserve">including </w:t>
      </w:r>
      <w:r w:rsidRPr="00980AA6">
        <w:t xml:space="preserve">Aboriginal, transgender and gender diverse people. </w:t>
      </w:r>
      <w:r w:rsidRPr="00980AA6">
        <w:rPr>
          <w:lang w:eastAsia="en-AU"/>
        </w:rPr>
        <w:t>The trials, supporting individuals between primary care and clinical mental health services, will inform ongoing mental health services to ensure people with diverse needs are well supported.</w:t>
      </w:r>
    </w:p>
    <w:p w:rsidR="00E25CC6" w:rsidRPr="00980AA6" w:rsidRDefault="00E25CC6" w:rsidP="00980AA6">
      <w:r w:rsidRPr="00980AA6">
        <w:t>This initiative contributes to the Department of Health and Human Services</w:t>
      </w:r>
      <w:r>
        <w:t>’</w:t>
      </w:r>
      <w:r w:rsidRPr="00980AA6">
        <w:t xml:space="preserve"> Mental Health Community Support Services output. </w:t>
      </w:r>
    </w:p>
    <w:p w:rsidR="00E25CC6" w:rsidRDefault="00E25CC6" w:rsidP="00140DF7">
      <w:pPr>
        <w:pStyle w:val="Heading5"/>
      </w:pPr>
      <w:r>
        <w:t xml:space="preserve">Suicide prevention </w:t>
      </w:r>
    </w:p>
    <w:p w:rsidR="00E25CC6" w:rsidRPr="00140DF7" w:rsidRDefault="00E25CC6" w:rsidP="00140DF7">
      <w:r>
        <w:t xml:space="preserve">Trials of personal support services for survivors of suicide attempts will be conducted at six </w:t>
      </w:r>
      <w:r w:rsidRPr="00140DF7">
        <w:t>sites across Victoria. Follow</w:t>
      </w:r>
      <w:r>
        <w:noBreakHyphen/>
      </w:r>
      <w:r w:rsidRPr="00140DF7">
        <w:t xml:space="preserve">up assistance will be provided for up to three months following hospital presentation immediately after a suicide attempt. </w:t>
      </w:r>
    </w:p>
    <w:p w:rsidR="00E25CC6" w:rsidRPr="00140DF7" w:rsidRDefault="00E25CC6" w:rsidP="00140DF7">
      <w:r w:rsidRPr="00140DF7">
        <w:t>Additional approaches to suicide prevention, modelled on the Black Dog Institute trial, will be trialled across six local government areas. This approach will involve the concurrent implementation of key strategies including workforce training, school</w:t>
      </w:r>
      <w:r>
        <w:noBreakHyphen/>
      </w:r>
      <w:r w:rsidRPr="00140DF7">
        <w:t>based support and literacy programs, community awareness, responsible media reporting, continuing care, and facilitating high quality treatment.</w:t>
      </w:r>
    </w:p>
    <w:p w:rsidR="00E25CC6" w:rsidRPr="0056260C" w:rsidRDefault="00E25CC6" w:rsidP="00140DF7">
      <w:r w:rsidRPr="00140DF7">
        <w:t>A grant to the Young and Well Cooperative Research Centre will support the design and testing of a Victoria</w:t>
      </w:r>
      <w:r>
        <w:noBreakHyphen/>
      </w:r>
      <w:r w:rsidRPr="00140DF7">
        <w:t xml:space="preserve">specific youth suicide prevention app. The app will link </w:t>
      </w:r>
      <w:r>
        <w:t>at risk young people</w:t>
      </w:r>
      <w:r w:rsidRPr="00140DF7">
        <w:t xml:space="preserve"> to </w:t>
      </w:r>
      <w:r>
        <w:t xml:space="preserve">relevant </w:t>
      </w:r>
      <w:r w:rsidRPr="00140DF7">
        <w:t>support and assist them to develop a safety plan.</w:t>
      </w:r>
    </w:p>
    <w:p w:rsidR="00E25CC6" w:rsidRPr="00400A4E" w:rsidRDefault="00E25CC6" w:rsidP="00140DF7">
      <w:r>
        <w:t>This initiative contributes to the Department of Health and Human Services’ Clinical Care output.</w:t>
      </w:r>
      <w:bookmarkEnd w:id="36"/>
      <w:r>
        <w:t xml:space="preserve"> </w:t>
      </w:r>
      <w:r>
        <w:fldChar w:fldCharType="begin"/>
      </w:r>
      <w:r>
        <w:instrText xml:space="preserve"> XE "</w:instrText>
      </w:r>
      <w:r w:rsidRPr="008755F7">
        <w:instrText>Department of Health and Human Services:Mental Health</w:instrText>
      </w:r>
      <w:r>
        <w:instrText xml:space="preserve">" \r "DHHS_MentalHlthCh1" </w:instrText>
      </w:r>
      <w:r>
        <w:fldChar w:fldCharType="end"/>
      </w:r>
      <w:r>
        <w:t xml:space="preserve"> </w:t>
      </w:r>
      <w:r>
        <w:fldChar w:fldCharType="begin"/>
      </w:r>
      <w:r>
        <w:instrText xml:space="preserve"> XE "</w:instrText>
      </w:r>
      <w:r w:rsidRPr="007810D7">
        <w:instrText>Mental Health</w:instrText>
      </w:r>
      <w:r>
        <w:instrText xml:space="preserve">" \r "DHHS_MentalHlthCh1" </w:instrText>
      </w:r>
      <w:r>
        <w:fldChar w:fldCharType="end"/>
      </w:r>
    </w:p>
    <w:p w:rsidR="00E25CC6" w:rsidRPr="00980AA6" w:rsidRDefault="00E25CC6" w:rsidP="00BF1480">
      <w:pPr>
        <w:pStyle w:val="Heading4"/>
      </w:pPr>
      <w:r w:rsidRPr="00980AA6">
        <w:t>Primary, Community and Dental Health</w:t>
      </w:r>
    </w:p>
    <w:p w:rsidR="00E25CC6" w:rsidRPr="00980AA6" w:rsidRDefault="00E25CC6" w:rsidP="003D56AD">
      <w:pPr>
        <w:pStyle w:val="Heading5"/>
      </w:pPr>
      <w:r w:rsidRPr="00980AA6">
        <w:t>Increased refugee and asylum seeker arrivals</w:t>
      </w:r>
    </w:p>
    <w:p w:rsidR="00E25CC6" w:rsidRPr="00980AA6" w:rsidRDefault="00E25CC6" w:rsidP="00980AA6">
      <w:pPr>
        <w:tabs>
          <w:tab w:val="left" w:pos="4820"/>
        </w:tabs>
      </w:pPr>
      <w:r w:rsidRPr="00980AA6">
        <w:t>Additional on</w:t>
      </w:r>
      <w:r>
        <w:noBreakHyphen/>
      </w:r>
      <w:r w:rsidRPr="00980AA6">
        <w:t xml:space="preserve">arrival health services will respond to the needs of 4 000 Syrian and Iraqi refugees expected to arrive in Victoria </w:t>
      </w:r>
      <w:r>
        <w:t>from this year</w:t>
      </w:r>
      <w:r w:rsidRPr="00980AA6">
        <w:t xml:space="preserve"> as part of the Commonwealth Humanitarian Program intake. Funding will support Refugee Health Nurses, health screening, immunisation and language translation services. </w:t>
      </w:r>
      <w:r>
        <w:fldChar w:fldCharType="begin"/>
      </w:r>
      <w:r>
        <w:instrText xml:space="preserve"> XE "</w:instrText>
      </w:r>
      <w:r w:rsidRPr="00E6554D">
        <w:instrText>Department of Health and Human Services:Primary, Community and Dental Health</w:instrText>
      </w:r>
      <w:r>
        <w:instrText xml:space="preserve">" </w:instrText>
      </w:r>
      <w:r>
        <w:fldChar w:fldCharType="end"/>
      </w:r>
    </w:p>
    <w:p w:rsidR="00E25CC6" w:rsidRPr="00980AA6" w:rsidRDefault="00E25CC6" w:rsidP="00980AA6">
      <w:r w:rsidRPr="00980AA6">
        <w:t>This initiative contributes to the Department of Health and Human Services</w:t>
      </w:r>
      <w:r>
        <w:t>’</w:t>
      </w:r>
      <w:r w:rsidRPr="00980AA6">
        <w:t>:</w:t>
      </w:r>
    </w:p>
    <w:p w:rsidR="00E25CC6" w:rsidRPr="00980AA6" w:rsidRDefault="00E25CC6" w:rsidP="007C56BA">
      <w:pPr>
        <w:pStyle w:val="BulletText"/>
      </w:pPr>
      <w:r w:rsidRPr="00980AA6">
        <w:t>Community Health Care output; and</w:t>
      </w:r>
    </w:p>
    <w:p w:rsidR="00E25CC6" w:rsidRPr="00E43E67" w:rsidRDefault="00E25CC6" w:rsidP="00E43E67">
      <w:pPr>
        <w:pStyle w:val="BulletText"/>
      </w:pPr>
      <w:r>
        <w:t>Health Protection output.</w:t>
      </w:r>
    </w:p>
    <w:p w:rsidR="00E25CC6" w:rsidRPr="00980AA6" w:rsidRDefault="00E25CC6" w:rsidP="00BF1480">
      <w:pPr>
        <w:pStyle w:val="Heading4"/>
      </w:pPr>
      <w:r w:rsidRPr="00980AA6">
        <w:t>Public Health</w:t>
      </w:r>
    </w:p>
    <w:p w:rsidR="00E25CC6" w:rsidRPr="00980AA6" w:rsidRDefault="00E25CC6" w:rsidP="003D56AD">
      <w:pPr>
        <w:pStyle w:val="Heading5"/>
      </w:pPr>
      <w:bookmarkStart w:id="37" w:name="DHHS_PubHlthCh1"/>
      <w:r w:rsidRPr="00980AA6">
        <w:t xml:space="preserve">Access to medicinal cannabis </w:t>
      </w:r>
    </w:p>
    <w:p w:rsidR="00E25CC6" w:rsidRPr="00062639" w:rsidRDefault="00E25CC6" w:rsidP="00980AA6">
      <w:r w:rsidRPr="00980AA6">
        <w:t xml:space="preserve">Safe and secure access to medicinal cannabis will be provided to eligible Victorians. Patients will contribute to the cost of </w:t>
      </w:r>
      <w:r>
        <w:t>the manufacture and distribution of</w:t>
      </w:r>
      <w:r w:rsidRPr="00980AA6">
        <w:t xml:space="preserve"> medicinal cannabis. The initiative will be delivered in two phases. In phase one, eligibility will be limited to </w:t>
      </w:r>
      <w:r>
        <w:t>children</w:t>
      </w:r>
      <w:r w:rsidRPr="00980AA6">
        <w:t xml:space="preserve"> with severe epilepsy. Phase t</w:t>
      </w:r>
      <w:r>
        <w:t>wo will expand access to cover</w:t>
      </w:r>
      <w:r w:rsidRPr="00980AA6">
        <w:t xml:space="preserve"> broader patient group</w:t>
      </w:r>
      <w:r>
        <w:t>s</w:t>
      </w:r>
      <w:r w:rsidRPr="00980AA6">
        <w:t xml:space="preserve"> with eligibility to be determined </w:t>
      </w:r>
      <w:r>
        <w:t>following advice from the</w:t>
      </w:r>
      <w:r w:rsidRPr="00980AA6">
        <w:t xml:space="preserve"> </w:t>
      </w:r>
      <w:r>
        <w:t>I</w:t>
      </w:r>
      <w:r w:rsidRPr="00980AA6">
        <w:t xml:space="preserve">ndependent </w:t>
      </w:r>
      <w:r>
        <w:t>Medical A</w:t>
      </w:r>
      <w:r w:rsidRPr="00980AA6">
        <w:t xml:space="preserve">dvisory </w:t>
      </w:r>
      <w:r>
        <w:t>C</w:t>
      </w:r>
      <w:r w:rsidRPr="00062639">
        <w:t xml:space="preserve">ommittee. </w:t>
      </w:r>
    </w:p>
    <w:p w:rsidR="00E25CC6" w:rsidRPr="00980AA6" w:rsidRDefault="00E25CC6" w:rsidP="00980AA6">
      <w:r w:rsidRPr="00062639">
        <w:t>Funding is also provided for the related Department of Economic Development, Jobs, Transport and Resources</w:t>
      </w:r>
      <w:r>
        <w:t>’</w:t>
      </w:r>
      <w:r w:rsidRPr="00062639">
        <w:rPr>
          <w:i/>
        </w:rPr>
        <w:t xml:space="preserve"> </w:t>
      </w:r>
      <w:r w:rsidRPr="00C85CE1">
        <w:t>access to medicinal cannabis</w:t>
      </w:r>
      <w:r w:rsidRPr="00062639">
        <w:rPr>
          <w:i/>
        </w:rPr>
        <w:t xml:space="preserve"> </w:t>
      </w:r>
      <w:r w:rsidRPr="00062639">
        <w:t>initiative.</w:t>
      </w:r>
    </w:p>
    <w:p w:rsidR="00E25CC6" w:rsidRPr="00980AA6" w:rsidRDefault="00E25CC6" w:rsidP="00980AA6">
      <w:r w:rsidRPr="00980AA6">
        <w:t>This initiative contributes to the Department of Health and Human Services</w:t>
      </w:r>
      <w:r>
        <w:t>’</w:t>
      </w:r>
      <w:r w:rsidRPr="00980AA6">
        <w:t xml:space="preserve"> Public Health Development, Research and Support output.</w:t>
      </w:r>
    </w:p>
    <w:p w:rsidR="00E25CC6" w:rsidRPr="00980AA6" w:rsidRDefault="00E25CC6" w:rsidP="003D56AD">
      <w:pPr>
        <w:pStyle w:val="Heading5"/>
      </w:pPr>
      <w:r>
        <w:t>C</w:t>
      </w:r>
      <w:r w:rsidRPr="00980AA6">
        <w:t>ritical cancer control services</w:t>
      </w:r>
    </w:p>
    <w:p w:rsidR="00E25CC6" w:rsidRPr="00345DB7" w:rsidRDefault="00E25CC6" w:rsidP="00140DF7">
      <w:r>
        <w:t xml:space="preserve">A range of measures will help improve cancer survival rates by reducing preventable cancers and increasing early detection. </w:t>
      </w:r>
      <w:r w:rsidRPr="00345DB7">
        <w:t>Continued support for the Victorian Comprehensive Cancer Centre Partnership will deliver expanded cancer research and clinical trial capacity.</w:t>
      </w:r>
    </w:p>
    <w:p w:rsidR="00E25CC6" w:rsidRPr="00980AA6" w:rsidRDefault="00E25CC6" w:rsidP="00980AA6">
      <w:r w:rsidRPr="00980AA6">
        <w:t>This initiative contributes to the Department of Health and Human Services</w:t>
      </w:r>
      <w:r>
        <w:t>’</w:t>
      </w:r>
      <w:r w:rsidRPr="00980AA6">
        <w:t>:</w:t>
      </w:r>
    </w:p>
    <w:p w:rsidR="00E25CC6" w:rsidRPr="007C56BA" w:rsidRDefault="00E25CC6" w:rsidP="007C56BA">
      <w:pPr>
        <w:pStyle w:val="BulletText"/>
      </w:pPr>
      <w:r w:rsidRPr="007C56BA">
        <w:t xml:space="preserve">Health Protection output; and </w:t>
      </w:r>
    </w:p>
    <w:p w:rsidR="00E25CC6" w:rsidRPr="007C56BA" w:rsidRDefault="00E25CC6" w:rsidP="007C56BA">
      <w:pPr>
        <w:pStyle w:val="BulletText"/>
      </w:pPr>
      <w:r w:rsidRPr="007C56BA">
        <w:t>Public Health Development, Research and Support output.</w:t>
      </w:r>
    </w:p>
    <w:p w:rsidR="00E25CC6" w:rsidRDefault="00E25CC6">
      <w:pPr>
        <w:spacing w:after="0"/>
        <w:rPr>
          <w:rFonts w:ascii="Calibri" w:hAnsi="Calibri"/>
          <w:b/>
        </w:rPr>
      </w:pPr>
      <w:r>
        <w:br w:type="page"/>
      </w:r>
    </w:p>
    <w:p w:rsidR="00E25CC6" w:rsidRPr="00980AA6" w:rsidRDefault="00E25CC6" w:rsidP="00275FE9">
      <w:pPr>
        <w:pStyle w:val="Heading5"/>
      </w:pPr>
      <w:r w:rsidRPr="00980AA6">
        <w:t xml:space="preserve">Improving reproductive health for Victorians </w:t>
      </w:r>
    </w:p>
    <w:p w:rsidR="00E25CC6" w:rsidRPr="00980AA6" w:rsidRDefault="00E25CC6" w:rsidP="00275FE9">
      <w:r w:rsidRPr="00980AA6">
        <w:t>Victorian women will have enhanced access to a range of reproductive health services. This includes termination services, support for early treatment and management of endometriosis to avoid long</w:t>
      </w:r>
      <w:r>
        <w:noBreakHyphen/>
      </w:r>
      <w:r w:rsidRPr="00980AA6">
        <w:t>term negative effects.</w:t>
      </w:r>
    </w:p>
    <w:p w:rsidR="00E25CC6" w:rsidRPr="00980AA6" w:rsidRDefault="00E25CC6" w:rsidP="00275FE9">
      <w:r w:rsidRPr="00980AA6">
        <w:t>This initiative contributes to the Department of Health and Human Services</w:t>
      </w:r>
      <w:r>
        <w:t>’</w:t>
      </w:r>
      <w:r w:rsidRPr="00980AA6">
        <w:t xml:space="preserve"> Health Protection output.</w:t>
      </w:r>
      <w:r>
        <w:fldChar w:fldCharType="begin"/>
      </w:r>
      <w:r>
        <w:instrText xml:space="preserve"> XE "</w:instrText>
      </w:r>
      <w:r w:rsidRPr="00261E81">
        <w:instrText>Department of Health and Human Services:Public Health</w:instrText>
      </w:r>
      <w:r>
        <w:instrText xml:space="preserve">" \r "DHHS_PubHlthCh1" </w:instrText>
      </w:r>
      <w:r>
        <w:fldChar w:fldCharType="end"/>
      </w:r>
      <w:r>
        <w:t xml:space="preserve"> </w:t>
      </w:r>
      <w:r>
        <w:fldChar w:fldCharType="begin"/>
      </w:r>
      <w:r>
        <w:instrText xml:space="preserve"> XE "</w:instrText>
      </w:r>
      <w:r w:rsidRPr="007810D7">
        <w:instrText>Public Health</w:instrText>
      </w:r>
      <w:r>
        <w:instrText xml:space="preserve">" \r "DHHS_PubHlthCh1" </w:instrText>
      </w:r>
      <w:r>
        <w:fldChar w:fldCharType="end"/>
      </w:r>
    </w:p>
    <w:bookmarkEnd w:id="37"/>
    <w:p w:rsidR="00E25CC6" w:rsidRPr="00275FE9" w:rsidRDefault="00E25CC6" w:rsidP="00275FE9">
      <w:pPr>
        <w:pStyle w:val="Heading4"/>
      </w:pPr>
      <w:r w:rsidRPr="00275FE9">
        <w:rPr>
          <w:rStyle w:val="Heading4Char"/>
          <w:i/>
        </w:rPr>
        <w:t>Sport and Recreation</w:t>
      </w:r>
      <w:r w:rsidRPr="00275FE9">
        <w:t xml:space="preserve"> </w:t>
      </w:r>
    </w:p>
    <w:p w:rsidR="00E25CC6" w:rsidRPr="00980AA6" w:rsidRDefault="00E25CC6" w:rsidP="00275FE9">
      <w:pPr>
        <w:pStyle w:val="Heading5"/>
      </w:pPr>
      <w:r w:rsidRPr="00980AA6">
        <w:t xml:space="preserve">Community Sports and Events </w:t>
      </w:r>
    </w:p>
    <w:p w:rsidR="00E25CC6" w:rsidRPr="00980AA6" w:rsidRDefault="00E25CC6" w:rsidP="00884C18">
      <w:r>
        <w:t>Funding</w:t>
      </w:r>
      <w:r w:rsidRPr="00980AA6">
        <w:t xml:space="preserve"> will support the development of sporting facilities</w:t>
      </w:r>
      <w:r>
        <w:t>, celebrate community sporting achievements</w:t>
      </w:r>
      <w:r w:rsidRPr="00980AA6">
        <w:t xml:space="preserve"> and increase opportunities for local </w:t>
      </w:r>
      <w:r>
        <w:t>grassroots sporting clubs to improve participation opportunities</w:t>
      </w:r>
      <w:r w:rsidRPr="00980AA6">
        <w:t>.</w:t>
      </w:r>
      <w:r>
        <w:t xml:space="preserve"> </w:t>
      </w:r>
      <w:r>
        <w:fldChar w:fldCharType="begin"/>
      </w:r>
      <w:r>
        <w:instrText xml:space="preserve"> XE "</w:instrText>
      </w:r>
      <w:r w:rsidRPr="0008380B">
        <w:instrText>Department of Health and Human Services:Sport and Recreation</w:instrText>
      </w:r>
      <w:r>
        <w:instrText xml:space="preserve">" </w:instrText>
      </w:r>
      <w:r>
        <w:fldChar w:fldCharType="end"/>
      </w:r>
      <w:r>
        <w:t xml:space="preserve"> </w:t>
      </w:r>
      <w:r>
        <w:fldChar w:fldCharType="begin"/>
      </w:r>
      <w:r>
        <w:instrText xml:space="preserve"> XE "</w:instrText>
      </w:r>
      <w:r w:rsidRPr="007810D7">
        <w:instrText xml:space="preserve">Sport and </w:instrText>
      </w:r>
      <w:r>
        <w:instrText>R</w:instrText>
      </w:r>
      <w:r w:rsidRPr="007810D7">
        <w:instrText>ecreation</w:instrText>
      </w:r>
      <w:r>
        <w:instrText xml:space="preserve">" </w:instrText>
      </w:r>
      <w:r>
        <w:fldChar w:fldCharType="end"/>
      </w:r>
      <w:r>
        <w:t xml:space="preserve"> </w:t>
      </w:r>
      <w:r>
        <w:fldChar w:fldCharType="begin"/>
      </w:r>
      <w:r>
        <w:instrText xml:space="preserve"> XE "</w:instrText>
      </w:r>
      <w:r w:rsidRPr="00DE7CA8">
        <w:instrText>Communities:Sport and Recreation</w:instrText>
      </w:r>
      <w:r>
        <w:instrText xml:space="preserve">" </w:instrText>
      </w:r>
      <w:r>
        <w:fldChar w:fldCharType="end"/>
      </w:r>
    </w:p>
    <w:p w:rsidR="00E25CC6" w:rsidRDefault="00E25CC6" w:rsidP="00884C18">
      <w:r w:rsidRPr="00980AA6">
        <w:t>The Better Indoor Stadiums Fund will support the development of multi</w:t>
      </w:r>
      <w:r>
        <w:noBreakHyphen/>
      </w:r>
      <w:r w:rsidRPr="00980AA6">
        <w:t xml:space="preserve">use indoor sports stadiums across Melbourne and regional Victoria. The Country Football and Netball Program will continue to assist clubs </w:t>
      </w:r>
      <w:r>
        <w:t xml:space="preserve">and local government </w:t>
      </w:r>
      <w:r w:rsidRPr="00980AA6">
        <w:t xml:space="preserve">to develop facilities in rural, regional and outer metropolitan locations. The Significant Sporting Events Program will maintain support for significant sporting events that do not meet major events criteria. </w:t>
      </w:r>
    </w:p>
    <w:p w:rsidR="00E25CC6" w:rsidRPr="00980AA6" w:rsidRDefault="00E25CC6" w:rsidP="00884C18">
      <w:r w:rsidRPr="00980AA6">
        <w:t xml:space="preserve">Other measures include a contribution to the redevelopment of the Moorabbin Reserve, and relocation of the </w:t>
      </w:r>
      <w:r>
        <w:t>Elsternwick Park</w:t>
      </w:r>
      <w:r w:rsidRPr="00980AA6">
        <w:t xml:space="preserve"> and the Carrum Downs Recreation Reserve Pavilion.</w:t>
      </w:r>
    </w:p>
    <w:p w:rsidR="00E25CC6" w:rsidRPr="00980AA6" w:rsidRDefault="00E25CC6" w:rsidP="00884C18">
      <w:r w:rsidRPr="00980AA6">
        <w:t>This initiative contributes to the Department of Health and Human Services</w:t>
      </w:r>
      <w:r>
        <w:t>’</w:t>
      </w:r>
      <w:r w:rsidRPr="00980AA6">
        <w:t xml:space="preserve"> Sport and Recreation output.</w:t>
      </w:r>
    </w:p>
    <w:p w:rsidR="00E25CC6" w:rsidRPr="00980AA6" w:rsidRDefault="00E25CC6" w:rsidP="003D56AD">
      <w:pPr>
        <w:pStyle w:val="Heading5"/>
      </w:pPr>
      <w:r w:rsidRPr="00980AA6">
        <w:t>Kardinia Park Stadium Trust (Simonds Stadium)</w:t>
      </w:r>
    </w:p>
    <w:p w:rsidR="00E25CC6" w:rsidRPr="00980AA6" w:rsidRDefault="00E25CC6" w:rsidP="00980AA6">
      <w:r w:rsidRPr="00980AA6">
        <w:t xml:space="preserve">The Kardinia Park Stadium Trust </w:t>
      </w:r>
      <w:r>
        <w:t>has been</w:t>
      </w:r>
      <w:r w:rsidRPr="00980AA6">
        <w:t xml:space="preserve"> established to oversee the development and use of Simonds Stadium located within Kardinia Park. </w:t>
      </w:r>
    </w:p>
    <w:p w:rsidR="00E25CC6" w:rsidRDefault="00E25CC6" w:rsidP="00884C18">
      <w:r w:rsidRPr="00980AA6">
        <w:t>This initiative contributes to the Department of Health and Human Services</w:t>
      </w:r>
      <w:r>
        <w:t>’</w:t>
      </w:r>
      <w:r w:rsidRPr="00980AA6">
        <w:t xml:space="preserve"> Sport and Recreation output.</w:t>
      </w:r>
    </w:p>
    <w:p w:rsidR="00E25CC6" w:rsidRDefault="00E25CC6">
      <w:pPr>
        <w:spacing w:after="0"/>
        <w:rPr>
          <w:rFonts w:ascii="Calibri" w:hAnsi="Calibri"/>
          <w:b/>
          <w:i/>
          <w:kern w:val="28"/>
          <w:sz w:val="24"/>
          <w:szCs w:val="22"/>
        </w:rPr>
      </w:pPr>
      <w:r>
        <w:br w:type="page"/>
      </w:r>
    </w:p>
    <w:p w:rsidR="00E25CC6" w:rsidRDefault="00E25CC6" w:rsidP="00BF1480">
      <w:pPr>
        <w:pStyle w:val="Heading3"/>
      </w:pPr>
      <w:r w:rsidRPr="00980AA6">
        <w:t xml:space="preserve">Asset </w:t>
      </w:r>
      <w:r>
        <w:t>initiatives</w:t>
      </w:r>
      <w:r w:rsidRPr="00980AA6">
        <w:t xml:space="preserve"> </w:t>
      </w:r>
    </w:p>
    <w:p w:rsidR="00E25CC6" w:rsidRDefault="00E25CC6" w:rsidP="00341B58">
      <w:pPr>
        <w:pStyle w:val="Tableheading"/>
      </w:pPr>
      <w:bookmarkStart w:id="38" w:name="DHHS_AssetInit"/>
      <w:r>
        <w:t>Table 1.19:</w:t>
      </w:r>
      <w:r>
        <w:tab/>
        <w:t>Asset initiatives – Department of Health and Human Services</w:t>
      </w:r>
    </w:p>
    <w:p w:rsidR="00E25CC6" w:rsidRDefault="00E25CC6" w:rsidP="005255BF">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96"/>
        <w:gridCol w:w="846"/>
        <w:gridCol w:w="847"/>
        <w:gridCol w:w="847"/>
        <w:gridCol w:w="846"/>
        <w:gridCol w:w="847"/>
        <w:gridCol w:w="847"/>
      </w:tblGrid>
      <w:tr w:rsidR="00E25CC6" w:rsidRPr="005255BF" w:rsidTr="002407C6">
        <w:trPr>
          <w:cantSplit/>
          <w:tblHeader/>
        </w:trPr>
        <w:tc>
          <w:tcPr>
            <w:tcW w:w="2696" w:type="dxa"/>
            <w:tcBorders>
              <w:top w:val="single" w:sz="4" w:space="0" w:color="auto"/>
              <w:left w:val="single" w:sz="4" w:space="0" w:color="auto"/>
              <w:bottom w:val="single" w:sz="4" w:space="0" w:color="auto"/>
              <w:right w:val="nil"/>
            </w:tcBorders>
            <w:shd w:val="clear" w:color="auto" w:fill="000000"/>
          </w:tcPr>
          <w:p w:rsidR="00E25CC6" w:rsidRPr="005255BF" w:rsidRDefault="00E25CC6" w:rsidP="005255BF">
            <w:pPr>
              <w:pStyle w:val="Tabletext"/>
              <w:rPr>
                <w:rFonts w:eastAsiaTheme="minorEastAsia"/>
                <w:lang w:eastAsia="en-AU"/>
              </w:rPr>
            </w:pPr>
            <w:r>
              <w:rPr>
                <w:rFonts w:eastAsiaTheme="minorEastAsia"/>
                <w:lang w:eastAsia="en-AU"/>
              </w:rPr>
              <w:t xml:space="preserve"> </w:t>
            </w:r>
          </w:p>
        </w:tc>
        <w:tc>
          <w:tcPr>
            <w:tcW w:w="846"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2015</w:t>
            </w:r>
            <w:r>
              <w:rPr>
                <w:rFonts w:eastAsiaTheme="minorEastAsia"/>
                <w:lang w:eastAsia="en-AU"/>
              </w:rPr>
              <w:noBreakHyphen/>
            </w:r>
            <w:r w:rsidRPr="005255BF">
              <w:rPr>
                <w:rFonts w:eastAsiaTheme="minorEastAsia"/>
                <w:lang w:eastAsia="en-AU"/>
              </w:rPr>
              <w:t>16</w:t>
            </w:r>
          </w:p>
        </w:tc>
        <w:tc>
          <w:tcPr>
            <w:tcW w:w="847"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2016</w:t>
            </w:r>
            <w:r>
              <w:rPr>
                <w:rFonts w:eastAsiaTheme="minorEastAsia"/>
                <w:lang w:eastAsia="en-AU"/>
              </w:rPr>
              <w:noBreakHyphen/>
            </w:r>
            <w:r w:rsidRPr="005255BF">
              <w:rPr>
                <w:rFonts w:eastAsiaTheme="minorEastAsia"/>
                <w:lang w:eastAsia="en-AU"/>
              </w:rPr>
              <w:t>17</w:t>
            </w:r>
          </w:p>
        </w:tc>
        <w:tc>
          <w:tcPr>
            <w:tcW w:w="847"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2017</w:t>
            </w:r>
            <w:r>
              <w:rPr>
                <w:rFonts w:eastAsiaTheme="minorEastAsia"/>
                <w:lang w:eastAsia="en-AU"/>
              </w:rPr>
              <w:noBreakHyphen/>
            </w:r>
            <w:r w:rsidRPr="005255BF">
              <w:rPr>
                <w:rFonts w:eastAsiaTheme="minorEastAsia"/>
                <w:lang w:eastAsia="en-AU"/>
              </w:rPr>
              <w:t>18</w:t>
            </w:r>
          </w:p>
        </w:tc>
        <w:tc>
          <w:tcPr>
            <w:tcW w:w="846"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2018</w:t>
            </w:r>
            <w:r>
              <w:rPr>
                <w:rFonts w:eastAsiaTheme="minorEastAsia"/>
                <w:lang w:eastAsia="en-AU"/>
              </w:rPr>
              <w:noBreakHyphen/>
            </w:r>
            <w:r w:rsidRPr="005255BF">
              <w:rPr>
                <w:rFonts w:eastAsiaTheme="minorEastAsia"/>
                <w:lang w:eastAsia="en-AU"/>
              </w:rPr>
              <w:t>19</w:t>
            </w:r>
          </w:p>
        </w:tc>
        <w:tc>
          <w:tcPr>
            <w:tcW w:w="847"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2019</w:t>
            </w:r>
            <w:r>
              <w:rPr>
                <w:rFonts w:eastAsiaTheme="minorEastAsia"/>
                <w:lang w:eastAsia="en-AU"/>
              </w:rPr>
              <w:noBreakHyphen/>
            </w:r>
            <w:r w:rsidRPr="005255BF">
              <w:rPr>
                <w:rFonts w:eastAsiaTheme="minorEastAsia"/>
                <w:lang w:eastAsia="en-AU"/>
              </w:rPr>
              <w:t>20</w:t>
            </w:r>
          </w:p>
        </w:tc>
        <w:tc>
          <w:tcPr>
            <w:tcW w:w="847" w:type="dxa"/>
            <w:tcBorders>
              <w:top w:val="single" w:sz="4" w:space="0" w:color="auto"/>
              <w:left w:val="nil"/>
              <w:bottom w:val="single" w:sz="4" w:space="0" w:color="auto"/>
              <w:right w:val="single" w:sz="4" w:space="0" w:color="auto"/>
            </w:tcBorders>
            <w:shd w:val="clear" w:color="auto" w:fill="000000"/>
          </w:tcPr>
          <w:p w:rsidR="00E25CC6" w:rsidRPr="005255BF" w:rsidRDefault="00E25CC6" w:rsidP="005255BF">
            <w:pPr>
              <w:pStyle w:val="Tabletextheading"/>
              <w:rPr>
                <w:rFonts w:eastAsiaTheme="minorEastAsia" w:cs="Calibri"/>
                <w:iCs/>
                <w:lang w:eastAsia="en-AU"/>
              </w:rPr>
            </w:pPr>
            <w:r w:rsidRPr="005255BF">
              <w:rPr>
                <w:rFonts w:eastAsiaTheme="minorEastAsia" w:cs="Calibri"/>
                <w:iCs/>
                <w:lang w:eastAsia="en-AU"/>
              </w:rPr>
              <w:t>TEI</w:t>
            </w:r>
          </w:p>
        </w:tc>
      </w:tr>
      <w:tr w:rsidR="00E25CC6" w:rsidRPr="005255BF" w:rsidTr="002407C6">
        <w:trPr>
          <w:cantSplit/>
        </w:trPr>
        <w:tc>
          <w:tcPr>
            <w:tcW w:w="2696" w:type="dxa"/>
            <w:tcBorders>
              <w:top w:val="single" w:sz="4" w:space="0" w:color="auto"/>
              <w:left w:val="nil"/>
              <w:bottom w:val="nil"/>
              <w:right w:val="nil"/>
            </w:tcBorders>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Acute Health Services</w:t>
            </w:r>
          </w:p>
        </w:tc>
        <w:tc>
          <w:tcPr>
            <w:tcW w:w="846" w:type="dxa"/>
            <w:tcBorders>
              <w:top w:val="single" w:sz="4" w:space="0" w:color="auto"/>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single" w:sz="4" w:space="0" w:color="auto"/>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single" w:sz="4" w:space="0" w:color="auto"/>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6" w:type="dxa"/>
            <w:tcBorders>
              <w:top w:val="single" w:sz="4" w:space="0" w:color="auto"/>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single" w:sz="4" w:space="0" w:color="auto"/>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single" w:sz="4" w:space="0" w:color="auto"/>
              <w:left w:val="nil"/>
              <w:bottom w:val="nil"/>
              <w:right w:val="nil"/>
            </w:tcBorders>
            <w:shd w:val="solid" w:color="FFFFFF" w:fill="auto"/>
          </w:tcPr>
          <w:p w:rsidR="00E25CC6" w:rsidRPr="005255BF" w:rsidRDefault="00E25CC6" w:rsidP="005255BF">
            <w:pPr>
              <w:autoSpaceDE w:val="0"/>
              <w:autoSpaceDN w:val="0"/>
              <w:adjustRightInd w:val="0"/>
              <w:spacing w:after="0"/>
              <w:rPr>
                <w:rFonts w:ascii="Calibri" w:eastAsiaTheme="minorEastAsia" w:hAnsi="Calibri" w:cs="Calibri"/>
                <w:sz w:val="20"/>
                <w:lang w:eastAsia="en-AU"/>
              </w:rPr>
            </w:pPr>
            <w:r w:rsidRPr="005255BF">
              <w:rPr>
                <w:rFonts w:ascii="Calibri" w:eastAsiaTheme="minorEastAsia" w:hAnsi="Calibri" w:cs="Calibri"/>
                <w:sz w:val="20"/>
                <w:lang w:eastAsia="en-AU"/>
              </w:rPr>
              <w:t xml:space="preserve"> </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Austin Hospital Critical Infrastructure Works</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21.9</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18.9</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40.8</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Broadmeadows Surgery Centre</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1.2</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8.3</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7.3</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0.5</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17.3</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Clinical Services Technology Refresh Program</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10.0</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Engineering infrastructure replacement program</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25.0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25.0</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Goulburn Valley Health (Shepparton) redevelopment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28.0</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55.0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45.0</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168.5</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Increasing critical care capacity</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2.2</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2.2</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Maroondah Breast Cancer Centre</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7.0</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10.0</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Medical equipment replacement program</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35.0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35.0</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National Proton Beam Therapy Centre</w:t>
            </w:r>
            <w:r>
              <w:rPr>
                <w:rFonts w:eastAsiaTheme="minorEastAsia"/>
                <w:color w:val="000000"/>
                <w:lang w:eastAsia="en-AU"/>
              </w:rPr>
              <w:t xml:space="preserve"> </w:t>
            </w:r>
            <w:r w:rsidRPr="00F46096">
              <w:rPr>
                <w:rFonts w:eastAsiaTheme="minorEastAsia"/>
                <w:color w:val="000000"/>
                <w:vertAlign w:val="superscript"/>
                <w:lang w:eastAsia="en-AU"/>
              </w:rPr>
              <w:t>(a)</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50.0</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Parkville Biomedical Precinct</w:t>
            </w:r>
            <w:r>
              <w:rPr>
                <w:rFonts w:eastAsiaTheme="minorEastAsia"/>
                <w:color w:val="000000"/>
                <w:lang w:eastAsia="en-AU"/>
              </w:rPr>
              <w:t xml:space="preserve"> – </w:t>
            </w:r>
            <w:r w:rsidRPr="005255BF">
              <w:rPr>
                <w:rFonts w:eastAsiaTheme="minorEastAsia"/>
                <w:color w:val="000000"/>
                <w:lang w:eastAsia="en-AU"/>
              </w:rPr>
              <w:t>planning and development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0.5</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1.5</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3.0</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Royal Victorian Eye and Ear Hospital redevelopment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8.0</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18.4</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31.4</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F46096">
            <w:pPr>
              <w:pStyle w:val="Tabletext"/>
              <w:rPr>
                <w:rFonts w:eastAsiaTheme="minorEastAsia"/>
                <w:color w:val="000000"/>
                <w:vertAlign w:val="superscript"/>
                <w:lang w:eastAsia="en-AU"/>
              </w:rPr>
            </w:pPr>
            <w:r w:rsidRPr="005255BF">
              <w:rPr>
                <w:rFonts w:eastAsiaTheme="minorEastAsia"/>
                <w:color w:val="000000"/>
                <w:lang w:eastAsia="en-AU"/>
              </w:rPr>
              <w:t xml:space="preserve">Regional Health Infrastructure Fund </w:t>
            </w:r>
            <w:r w:rsidRPr="005255BF">
              <w:rPr>
                <w:rFonts w:eastAsiaTheme="minorEastAsia"/>
                <w:color w:val="000000"/>
                <w:vertAlign w:val="superscript"/>
                <w:lang w:eastAsia="en-AU"/>
              </w:rPr>
              <w:t>(</w:t>
            </w:r>
            <w:r>
              <w:rPr>
                <w:rFonts w:eastAsiaTheme="minorEastAsia"/>
                <w:color w:val="000000"/>
                <w:vertAlign w:val="superscript"/>
                <w:lang w:eastAsia="en-AU"/>
              </w:rPr>
              <w:t>b</w:t>
            </w:r>
            <w:r w:rsidRPr="005255BF">
              <w:rPr>
                <w:rFonts w:eastAsiaTheme="minorEastAsia"/>
                <w:color w:val="000000"/>
                <w:vertAlign w:val="superscript"/>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50.0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50.0</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50.0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50.0</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200.0</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Victorian Heart Hospital</w:t>
            </w:r>
            <w:r>
              <w:rPr>
                <w:rFonts w:eastAsiaTheme="minorEastAsia"/>
                <w:color w:val="000000"/>
                <w:lang w:eastAsia="en-AU"/>
              </w:rPr>
              <w:t xml:space="preserve"> </w:t>
            </w:r>
            <w:r w:rsidRPr="00F46096">
              <w:rPr>
                <w:rFonts w:eastAsiaTheme="minorEastAsia"/>
                <w:color w:val="000000"/>
                <w:vertAlign w:val="superscript"/>
                <w:lang w:eastAsia="en-AU"/>
              </w:rPr>
              <w:t>(a)</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135.0</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Western Health urgent infrastructure works (Footscray and Sunshine)</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11.5</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17.6</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17.4</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11.2</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61.3</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2407C6">
            <w:pPr>
              <w:pStyle w:val="Tabletext"/>
              <w:keepNext/>
              <w:rPr>
                <w:rFonts w:eastAsiaTheme="minorEastAsia"/>
                <w:b/>
                <w:bCs/>
                <w:color w:val="000000"/>
                <w:lang w:eastAsia="en-AU"/>
              </w:rPr>
            </w:pPr>
            <w:r w:rsidRPr="005255BF">
              <w:rPr>
                <w:rFonts w:eastAsiaTheme="minorEastAsia"/>
                <w:b/>
                <w:bCs/>
                <w:color w:val="000000"/>
                <w:lang w:eastAsia="en-AU"/>
              </w:rPr>
              <w:t>Ageing, Aged and Home Care</w:t>
            </w:r>
          </w:p>
        </w:tc>
        <w:tc>
          <w:tcPr>
            <w:tcW w:w="846" w:type="dxa"/>
            <w:tcBorders>
              <w:top w:val="nil"/>
              <w:left w:val="nil"/>
              <w:bottom w:val="nil"/>
              <w:right w:val="nil"/>
            </w:tcBorders>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 xml:space="preserve"> </w:t>
            </w:r>
          </w:p>
        </w:tc>
        <w:tc>
          <w:tcPr>
            <w:tcW w:w="846" w:type="dxa"/>
            <w:tcBorders>
              <w:top w:val="nil"/>
              <w:left w:val="nil"/>
              <w:bottom w:val="nil"/>
              <w:right w:val="nil"/>
            </w:tcBorders>
            <w:shd w:val="solid" w:color="FFFFFF" w:fill="auto"/>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2407C6">
            <w:pPr>
              <w:keepNext/>
              <w:autoSpaceDE w:val="0"/>
              <w:autoSpaceDN w:val="0"/>
              <w:adjustRightInd w:val="0"/>
              <w:spacing w:after="0"/>
              <w:rPr>
                <w:rFonts w:ascii="Calibri" w:eastAsiaTheme="minorEastAsia" w:hAnsi="Calibri" w:cs="Calibri"/>
                <w:b/>
                <w:bCs/>
                <w:sz w:val="20"/>
                <w:lang w:eastAsia="en-AU"/>
              </w:rPr>
            </w:pPr>
            <w:r w:rsidRPr="005255BF">
              <w:rPr>
                <w:rFonts w:ascii="Calibri" w:eastAsiaTheme="minorEastAsia" w:hAnsi="Calibri" w:cs="Calibri"/>
                <w:b/>
                <w:bCs/>
                <w:sz w:val="20"/>
                <w:lang w:eastAsia="en-AU"/>
              </w:rPr>
              <w:t xml:space="preserve"> </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2407C6">
            <w:pPr>
              <w:pStyle w:val="Tabletext"/>
              <w:keepNext/>
              <w:rPr>
                <w:rFonts w:eastAsiaTheme="minorEastAsia"/>
                <w:color w:val="000000"/>
                <w:lang w:eastAsia="en-AU"/>
              </w:rPr>
            </w:pPr>
            <w:r w:rsidRPr="005255BF">
              <w:rPr>
                <w:rFonts w:eastAsiaTheme="minorEastAsia"/>
                <w:color w:val="000000"/>
                <w:lang w:eastAsia="en-AU"/>
              </w:rPr>
              <w:t>Chinese aged care land bank</w:t>
            </w:r>
          </w:p>
        </w:tc>
        <w:tc>
          <w:tcPr>
            <w:tcW w:w="846" w:type="dxa"/>
            <w:tcBorders>
              <w:top w:val="nil"/>
              <w:left w:val="nil"/>
              <w:bottom w:val="nil"/>
              <w:right w:val="nil"/>
            </w:tcBorders>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 xml:space="preserve"> 2.5</w:t>
            </w:r>
          </w:p>
        </w:tc>
        <w:tc>
          <w:tcPr>
            <w:tcW w:w="847" w:type="dxa"/>
            <w:tcBorders>
              <w:top w:val="nil"/>
              <w:left w:val="nil"/>
              <w:bottom w:val="nil"/>
              <w:right w:val="nil"/>
            </w:tcBorders>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2407C6">
            <w:pPr>
              <w:pStyle w:val="TableofFigures"/>
              <w:keepNext/>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2407C6">
            <w:pPr>
              <w:keepNext/>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2.5</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Modernisation of metropolitan Melbourne public sector residential aged care</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3.6</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25.9</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28.1</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57.6</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Ambulance Services</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autoSpaceDE w:val="0"/>
              <w:autoSpaceDN w:val="0"/>
              <w:adjustRightInd w:val="0"/>
              <w:spacing w:after="0"/>
              <w:rPr>
                <w:rFonts w:ascii="Calibri" w:eastAsiaTheme="minorEastAsia" w:hAnsi="Calibri" w:cs="Calibri"/>
                <w:b/>
                <w:bCs/>
                <w:sz w:val="20"/>
                <w:lang w:eastAsia="en-AU"/>
              </w:rPr>
            </w:pPr>
            <w:r w:rsidRPr="005255BF">
              <w:rPr>
                <w:rFonts w:ascii="Calibri" w:eastAsiaTheme="minorEastAsia" w:hAnsi="Calibri" w:cs="Calibri"/>
                <w:b/>
                <w:bCs/>
                <w:sz w:val="20"/>
                <w:lang w:eastAsia="en-AU"/>
              </w:rPr>
              <w:t xml:space="preserve"> </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Ambulance Victoria Station upgrades</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8.0</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8.0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2.0</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20.0</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Response Time Rescue Fund</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0.4</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6.9</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7.3</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Disability Services</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autoSpaceDE w:val="0"/>
              <w:autoSpaceDN w:val="0"/>
              <w:adjustRightInd w:val="0"/>
              <w:spacing w:after="0"/>
              <w:rPr>
                <w:rFonts w:ascii="Calibri" w:eastAsiaTheme="minorEastAsia" w:hAnsi="Calibri" w:cs="Calibri"/>
                <w:b/>
                <w:bCs/>
                <w:sz w:val="20"/>
                <w:lang w:eastAsia="en-AU"/>
              </w:rPr>
            </w:pPr>
            <w:r w:rsidRPr="005255BF">
              <w:rPr>
                <w:rFonts w:ascii="Calibri" w:eastAsiaTheme="minorEastAsia" w:hAnsi="Calibri" w:cs="Calibri"/>
                <w:b/>
                <w:bCs/>
                <w:sz w:val="20"/>
                <w:lang w:eastAsia="en-AU"/>
              </w:rPr>
              <w:t xml:space="preserve"> </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Getting Ready for the National Disability Insurance Scheme</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4.6</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12.4</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4.4</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4.0</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25.4</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Housing Assistance</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autoSpaceDE w:val="0"/>
              <w:autoSpaceDN w:val="0"/>
              <w:adjustRightInd w:val="0"/>
              <w:spacing w:after="0"/>
              <w:rPr>
                <w:rFonts w:ascii="Calibri" w:eastAsiaTheme="minorEastAsia" w:hAnsi="Calibri" w:cs="Calibri"/>
                <w:b/>
                <w:bCs/>
                <w:sz w:val="20"/>
                <w:lang w:eastAsia="en-AU"/>
              </w:rPr>
            </w:pPr>
            <w:r w:rsidRPr="005255BF">
              <w:rPr>
                <w:rFonts w:ascii="Calibri" w:eastAsiaTheme="minorEastAsia" w:hAnsi="Calibri" w:cs="Calibri"/>
                <w:b/>
                <w:bCs/>
                <w:sz w:val="20"/>
                <w:lang w:eastAsia="en-AU"/>
              </w:rPr>
              <w:t xml:space="preserve"> </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Rooming House Upgrade Program</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1.5</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4.0</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4.5</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10.0</w:t>
            </w:r>
          </w:p>
        </w:tc>
      </w:tr>
    </w:tbl>
    <w:p w:rsidR="00E25CC6" w:rsidRDefault="00E25CC6" w:rsidP="00E43E67">
      <w:pPr>
        <w:pStyle w:val="Tableheading"/>
      </w:pPr>
      <w:r>
        <w:t>Table 1.19:</w:t>
      </w:r>
      <w:r>
        <w:tab/>
        <w:t xml:space="preserve">Asset initiatives – Department of Health and Human Services </w:t>
      </w:r>
      <w:r w:rsidRPr="00E43E67">
        <w:rPr>
          <w:i/>
        </w:rPr>
        <w:t>(continued)</w:t>
      </w:r>
    </w:p>
    <w:p w:rsidR="00E25CC6" w:rsidRDefault="00E25CC6" w:rsidP="00E43E67">
      <w:pPr>
        <w:pStyle w:val="million"/>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96"/>
        <w:gridCol w:w="846"/>
        <w:gridCol w:w="847"/>
        <w:gridCol w:w="847"/>
        <w:gridCol w:w="830"/>
        <w:gridCol w:w="16"/>
        <w:gridCol w:w="267"/>
        <w:gridCol w:w="283"/>
        <w:gridCol w:w="283"/>
        <w:gridCol w:w="14"/>
        <w:gridCol w:w="269"/>
        <w:gridCol w:w="283"/>
        <w:gridCol w:w="283"/>
        <w:gridCol w:w="12"/>
      </w:tblGrid>
      <w:tr w:rsidR="00E25CC6" w:rsidRPr="005255BF" w:rsidTr="00237767">
        <w:trPr>
          <w:cantSplit/>
          <w:tblHeader/>
        </w:trPr>
        <w:tc>
          <w:tcPr>
            <w:tcW w:w="2696" w:type="dxa"/>
            <w:tcBorders>
              <w:top w:val="single" w:sz="4" w:space="0" w:color="auto"/>
              <w:left w:val="single" w:sz="4" w:space="0" w:color="auto"/>
              <w:bottom w:val="single" w:sz="4" w:space="0" w:color="auto"/>
              <w:right w:val="nil"/>
            </w:tcBorders>
            <w:shd w:val="clear" w:color="auto" w:fill="000000"/>
          </w:tcPr>
          <w:p w:rsidR="00E25CC6" w:rsidRPr="005255BF" w:rsidRDefault="00E25CC6" w:rsidP="00237767">
            <w:pPr>
              <w:pStyle w:val="Tabletext"/>
              <w:rPr>
                <w:rFonts w:eastAsiaTheme="minorEastAsia"/>
                <w:lang w:eastAsia="en-AU"/>
              </w:rPr>
            </w:pPr>
            <w:r>
              <w:rPr>
                <w:rFonts w:eastAsiaTheme="minorEastAsia"/>
                <w:lang w:eastAsia="en-AU"/>
              </w:rPr>
              <w:t xml:space="preserve"> </w:t>
            </w:r>
          </w:p>
        </w:tc>
        <w:tc>
          <w:tcPr>
            <w:tcW w:w="846" w:type="dxa"/>
            <w:tcBorders>
              <w:top w:val="single" w:sz="4" w:space="0" w:color="auto"/>
              <w:left w:val="nil"/>
              <w:bottom w:val="single" w:sz="4" w:space="0" w:color="auto"/>
              <w:right w:val="nil"/>
            </w:tcBorders>
            <w:shd w:val="clear" w:color="auto" w:fill="000000"/>
          </w:tcPr>
          <w:p w:rsidR="00E25CC6" w:rsidRPr="005255BF" w:rsidRDefault="00E25CC6" w:rsidP="00237767">
            <w:pPr>
              <w:pStyle w:val="Tabletextheading"/>
              <w:rPr>
                <w:rFonts w:eastAsiaTheme="minorEastAsia"/>
                <w:lang w:eastAsia="en-AU"/>
              </w:rPr>
            </w:pPr>
            <w:r w:rsidRPr="005255BF">
              <w:rPr>
                <w:rFonts w:eastAsiaTheme="minorEastAsia"/>
                <w:lang w:eastAsia="en-AU"/>
              </w:rPr>
              <w:t>2015</w:t>
            </w:r>
            <w:r>
              <w:rPr>
                <w:rFonts w:eastAsiaTheme="minorEastAsia"/>
                <w:lang w:eastAsia="en-AU"/>
              </w:rPr>
              <w:noBreakHyphen/>
            </w:r>
            <w:r w:rsidRPr="005255BF">
              <w:rPr>
                <w:rFonts w:eastAsiaTheme="minorEastAsia"/>
                <w:lang w:eastAsia="en-AU"/>
              </w:rPr>
              <w:t>16</w:t>
            </w:r>
          </w:p>
        </w:tc>
        <w:tc>
          <w:tcPr>
            <w:tcW w:w="847" w:type="dxa"/>
            <w:tcBorders>
              <w:top w:val="single" w:sz="4" w:space="0" w:color="auto"/>
              <w:left w:val="nil"/>
              <w:bottom w:val="single" w:sz="4" w:space="0" w:color="auto"/>
              <w:right w:val="nil"/>
            </w:tcBorders>
            <w:shd w:val="clear" w:color="auto" w:fill="000000"/>
          </w:tcPr>
          <w:p w:rsidR="00E25CC6" w:rsidRPr="005255BF" w:rsidRDefault="00E25CC6" w:rsidP="00237767">
            <w:pPr>
              <w:pStyle w:val="Tabletextheading"/>
              <w:rPr>
                <w:rFonts w:eastAsiaTheme="minorEastAsia"/>
                <w:lang w:eastAsia="en-AU"/>
              </w:rPr>
            </w:pPr>
            <w:r w:rsidRPr="005255BF">
              <w:rPr>
                <w:rFonts w:eastAsiaTheme="minorEastAsia"/>
                <w:lang w:eastAsia="en-AU"/>
              </w:rPr>
              <w:t>2016</w:t>
            </w:r>
            <w:r>
              <w:rPr>
                <w:rFonts w:eastAsiaTheme="minorEastAsia"/>
                <w:lang w:eastAsia="en-AU"/>
              </w:rPr>
              <w:noBreakHyphen/>
            </w:r>
            <w:r w:rsidRPr="005255BF">
              <w:rPr>
                <w:rFonts w:eastAsiaTheme="minorEastAsia"/>
                <w:lang w:eastAsia="en-AU"/>
              </w:rPr>
              <w:t>17</w:t>
            </w:r>
          </w:p>
        </w:tc>
        <w:tc>
          <w:tcPr>
            <w:tcW w:w="847" w:type="dxa"/>
            <w:tcBorders>
              <w:top w:val="single" w:sz="4" w:space="0" w:color="auto"/>
              <w:left w:val="nil"/>
              <w:bottom w:val="single" w:sz="4" w:space="0" w:color="auto"/>
              <w:right w:val="nil"/>
            </w:tcBorders>
            <w:shd w:val="clear" w:color="auto" w:fill="000000"/>
          </w:tcPr>
          <w:p w:rsidR="00E25CC6" w:rsidRPr="005255BF" w:rsidRDefault="00E25CC6" w:rsidP="00237767">
            <w:pPr>
              <w:pStyle w:val="Tabletextheading"/>
              <w:rPr>
                <w:rFonts w:eastAsiaTheme="minorEastAsia"/>
                <w:lang w:eastAsia="en-AU"/>
              </w:rPr>
            </w:pPr>
            <w:r w:rsidRPr="005255BF">
              <w:rPr>
                <w:rFonts w:eastAsiaTheme="minorEastAsia"/>
                <w:lang w:eastAsia="en-AU"/>
              </w:rPr>
              <w:t>2017</w:t>
            </w:r>
            <w:r>
              <w:rPr>
                <w:rFonts w:eastAsiaTheme="minorEastAsia"/>
                <w:lang w:eastAsia="en-AU"/>
              </w:rPr>
              <w:noBreakHyphen/>
            </w:r>
            <w:r w:rsidRPr="005255BF">
              <w:rPr>
                <w:rFonts w:eastAsiaTheme="minorEastAsia"/>
                <w:lang w:eastAsia="en-AU"/>
              </w:rPr>
              <w:t>18</w:t>
            </w:r>
          </w:p>
        </w:tc>
        <w:tc>
          <w:tcPr>
            <w:tcW w:w="846" w:type="dxa"/>
            <w:gridSpan w:val="2"/>
            <w:tcBorders>
              <w:top w:val="single" w:sz="4" w:space="0" w:color="auto"/>
              <w:left w:val="nil"/>
              <w:bottom w:val="single" w:sz="4" w:space="0" w:color="auto"/>
              <w:right w:val="nil"/>
            </w:tcBorders>
            <w:shd w:val="clear" w:color="auto" w:fill="000000"/>
          </w:tcPr>
          <w:p w:rsidR="00E25CC6" w:rsidRPr="005255BF" w:rsidRDefault="00E25CC6" w:rsidP="00237767">
            <w:pPr>
              <w:pStyle w:val="Tabletextheading"/>
              <w:rPr>
                <w:rFonts w:eastAsiaTheme="minorEastAsia"/>
                <w:lang w:eastAsia="en-AU"/>
              </w:rPr>
            </w:pPr>
            <w:r w:rsidRPr="005255BF">
              <w:rPr>
                <w:rFonts w:eastAsiaTheme="minorEastAsia"/>
                <w:lang w:eastAsia="en-AU"/>
              </w:rPr>
              <w:t>2018</w:t>
            </w:r>
            <w:r>
              <w:rPr>
                <w:rFonts w:eastAsiaTheme="minorEastAsia"/>
                <w:lang w:eastAsia="en-AU"/>
              </w:rPr>
              <w:noBreakHyphen/>
            </w:r>
            <w:r w:rsidRPr="005255BF">
              <w:rPr>
                <w:rFonts w:eastAsiaTheme="minorEastAsia"/>
                <w:lang w:eastAsia="en-AU"/>
              </w:rPr>
              <w:t>19</w:t>
            </w:r>
          </w:p>
        </w:tc>
        <w:tc>
          <w:tcPr>
            <w:tcW w:w="847" w:type="dxa"/>
            <w:gridSpan w:val="4"/>
            <w:tcBorders>
              <w:top w:val="single" w:sz="4" w:space="0" w:color="auto"/>
              <w:left w:val="nil"/>
              <w:bottom w:val="single" w:sz="4" w:space="0" w:color="auto"/>
              <w:right w:val="nil"/>
            </w:tcBorders>
            <w:shd w:val="clear" w:color="auto" w:fill="000000"/>
          </w:tcPr>
          <w:p w:rsidR="00E25CC6" w:rsidRPr="005255BF" w:rsidRDefault="00E25CC6" w:rsidP="00237767">
            <w:pPr>
              <w:pStyle w:val="Tabletextheading"/>
              <w:rPr>
                <w:rFonts w:eastAsiaTheme="minorEastAsia"/>
                <w:lang w:eastAsia="en-AU"/>
              </w:rPr>
            </w:pPr>
            <w:r w:rsidRPr="005255BF">
              <w:rPr>
                <w:rFonts w:eastAsiaTheme="minorEastAsia"/>
                <w:lang w:eastAsia="en-AU"/>
              </w:rPr>
              <w:t>2019</w:t>
            </w:r>
            <w:r>
              <w:rPr>
                <w:rFonts w:eastAsiaTheme="minorEastAsia"/>
                <w:lang w:eastAsia="en-AU"/>
              </w:rPr>
              <w:noBreakHyphen/>
            </w:r>
            <w:r w:rsidRPr="005255BF">
              <w:rPr>
                <w:rFonts w:eastAsiaTheme="minorEastAsia"/>
                <w:lang w:eastAsia="en-AU"/>
              </w:rPr>
              <w:t>20</w:t>
            </w:r>
          </w:p>
        </w:tc>
        <w:tc>
          <w:tcPr>
            <w:tcW w:w="847" w:type="dxa"/>
            <w:gridSpan w:val="4"/>
            <w:tcBorders>
              <w:top w:val="single" w:sz="4" w:space="0" w:color="auto"/>
              <w:left w:val="nil"/>
              <w:bottom w:val="single" w:sz="4" w:space="0" w:color="auto"/>
              <w:right w:val="single" w:sz="4" w:space="0" w:color="auto"/>
            </w:tcBorders>
            <w:shd w:val="clear" w:color="auto" w:fill="000000"/>
          </w:tcPr>
          <w:p w:rsidR="00E25CC6" w:rsidRPr="005255BF" w:rsidRDefault="00E25CC6" w:rsidP="00237767">
            <w:pPr>
              <w:pStyle w:val="Tabletextheading"/>
              <w:rPr>
                <w:rFonts w:eastAsiaTheme="minorEastAsia" w:cs="Calibri"/>
                <w:iCs/>
                <w:lang w:eastAsia="en-AU"/>
              </w:rPr>
            </w:pPr>
            <w:r w:rsidRPr="005255BF">
              <w:rPr>
                <w:rFonts w:eastAsiaTheme="minorEastAsia" w:cs="Calibri"/>
                <w:iCs/>
                <w:lang w:eastAsia="en-AU"/>
              </w:rPr>
              <w:t>TEI</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Mental Health</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6" w:type="dxa"/>
            <w:gridSpan w:val="2"/>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gridSpan w:val="4"/>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47" w:type="dxa"/>
            <w:gridSpan w:val="4"/>
            <w:tcBorders>
              <w:top w:val="nil"/>
              <w:left w:val="nil"/>
              <w:bottom w:val="nil"/>
              <w:right w:val="nil"/>
            </w:tcBorders>
            <w:shd w:val="solid" w:color="FFFFFF" w:fill="auto"/>
          </w:tcPr>
          <w:p w:rsidR="00E25CC6" w:rsidRPr="005255BF" w:rsidRDefault="00E25CC6" w:rsidP="005255BF">
            <w:pPr>
              <w:autoSpaceDE w:val="0"/>
              <w:autoSpaceDN w:val="0"/>
              <w:adjustRightInd w:val="0"/>
              <w:spacing w:after="0"/>
              <w:rPr>
                <w:rFonts w:ascii="Calibri" w:eastAsiaTheme="minorEastAsia" w:hAnsi="Calibri" w:cs="Calibri"/>
                <w:sz w:val="20"/>
                <w:lang w:eastAsia="en-AU"/>
              </w:rPr>
            </w:pPr>
            <w:r w:rsidRPr="005255BF">
              <w:rPr>
                <w:rFonts w:ascii="Calibri" w:eastAsiaTheme="minorEastAsia" w:hAnsi="Calibri" w:cs="Calibri"/>
                <w:sz w:val="20"/>
                <w:lang w:eastAsia="en-AU"/>
              </w:rPr>
              <w:t xml:space="preserve"> </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Monash Medical Centre (Clayton)</w:t>
            </w:r>
            <w:r>
              <w:rPr>
                <w:rFonts w:eastAsiaTheme="minorEastAsia"/>
                <w:color w:val="000000"/>
                <w:lang w:eastAsia="en-AU"/>
              </w:rPr>
              <w:t xml:space="preserve"> – </w:t>
            </w:r>
            <w:r w:rsidRPr="005255BF">
              <w:rPr>
                <w:rFonts w:eastAsiaTheme="minorEastAsia"/>
                <w:color w:val="000000"/>
                <w:lang w:eastAsia="en-AU"/>
              </w:rPr>
              <w:t>Early in Life Mental Health Service</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11.9</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2.6</w:t>
            </w:r>
          </w:p>
        </w:tc>
        <w:tc>
          <w:tcPr>
            <w:tcW w:w="846"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gridSpan w:val="4"/>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14.6</w:t>
            </w:r>
          </w:p>
        </w:tc>
      </w:tr>
      <w:tr w:rsidR="00E25CC6" w:rsidRPr="005255BF" w:rsidTr="002407C6">
        <w:trPr>
          <w:cantSplit/>
        </w:trPr>
        <w:tc>
          <w:tcPr>
            <w:tcW w:w="2696"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Orygen Youth Mental Health</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7.0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25.0</w:t>
            </w:r>
          </w:p>
        </w:tc>
        <w:tc>
          <w:tcPr>
            <w:tcW w:w="846"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27.0</w:t>
            </w:r>
          </w:p>
        </w:tc>
        <w:tc>
          <w:tcPr>
            <w:tcW w:w="847" w:type="dxa"/>
            <w:gridSpan w:val="4"/>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59.0</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Statewide Child and Family Mental Health Intensive Treatment Centre</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46"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3.9</w:t>
            </w:r>
          </w:p>
        </w:tc>
        <w:tc>
          <w:tcPr>
            <w:tcW w:w="847" w:type="dxa"/>
            <w:gridSpan w:val="4"/>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0.4</w:t>
            </w:r>
          </w:p>
        </w:tc>
        <w:tc>
          <w:tcPr>
            <w:tcW w:w="84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7.3</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Women</w:t>
            </w:r>
            <w:r>
              <w:rPr>
                <w:rFonts w:eastAsiaTheme="minorEastAsia"/>
                <w:color w:val="000000"/>
                <w:lang w:eastAsia="en-AU"/>
              </w:rPr>
              <w:t>’</w:t>
            </w:r>
            <w:r w:rsidRPr="005255BF">
              <w:rPr>
                <w:rFonts w:eastAsiaTheme="minorEastAsia"/>
                <w:color w:val="000000"/>
                <w:lang w:eastAsia="en-AU"/>
              </w:rPr>
              <w:t>s Prevention and Recovery Care (PARC) Service</w:t>
            </w:r>
          </w:p>
        </w:tc>
        <w:tc>
          <w:tcPr>
            <w:tcW w:w="846"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2.0</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1.6</w:t>
            </w:r>
          </w:p>
        </w:tc>
        <w:tc>
          <w:tcPr>
            <w:tcW w:w="846"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4.3</w:t>
            </w:r>
          </w:p>
        </w:tc>
        <w:tc>
          <w:tcPr>
            <w:tcW w:w="847" w:type="dxa"/>
            <w:gridSpan w:val="4"/>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0.5</w:t>
            </w:r>
          </w:p>
        </w:tc>
        <w:tc>
          <w:tcPr>
            <w:tcW w:w="84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8.4</w:t>
            </w:r>
          </w:p>
        </w:tc>
      </w:tr>
      <w:tr w:rsidR="00E25CC6" w:rsidRPr="005255BF" w:rsidTr="002407C6">
        <w:trPr>
          <w:gridAfter w:val="1"/>
          <w:wAfter w:w="12" w:type="dxa"/>
          <w:cantSplit/>
        </w:trPr>
        <w:tc>
          <w:tcPr>
            <w:tcW w:w="6066" w:type="dxa"/>
            <w:gridSpan w:val="5"/>
            <w:tcBorders>
              <w:top w:val="nil"/>
              <w:left w:val="nil"/>
              <w:bottom w:val="nil"/>
              <w:right w:val="nil"/>
            </w:tcBorders>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 xml:space="preserve">Youth Services and Youth Justice </w:t>
            </w:r>
          </w:p>
        </w:tc>
        <w:tc>
          <w:tcPr>
            <w:tcW w:w="283"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autoSpaceDE w:val="0"/>
              <w:autoSpaceDN w:val="0"/>
              <w:adjustRightInd w:val="0"/>
              <w:spacing w:after="0"/>
              <w:rPr>
                <w:rFonts w:ascii="Calibri" w:eastAsiaTheme="minorEastAsia" w:hAnsi="Calibri" w:cs="Calibri"/>
                <w:sz w:val="20"/>
                <w:lang w:eastAsia="en-AU"/>
              </w:rPr>
            </w:pPr>
            <w:r>
              <w:rPr>
                <w:rFonts w:ascii="Calibri" w:eastAsiaTheme="minorEastAsia" w:hAnsi="Calibri" w:cs="Calibri"/>
                <w:sz w:val="20"/>
                <w:lang w:eastAsia="en-AU"/>
              </w:rPr>
              <w:t xml:space="preserve"> </w:t>
            </w:r>
          </w:p>
        </w:tc>
      </w:tr>
      <w:tr w:rsidR="00E25CC6" w:rsidRPr="005255BF" w:rsidTr="002407C6">
        <w:trPr>
          <w:cantSplit/>
        </w:trPr>
        <w:tc>
          <w:tcPr>
            <w:tcW w:w="2696"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Strengthening Security and Safety Compliance in Secure Services</w:t>
            </w:r>
          </w:p>
        </w:tc>
        <w:tc>
          <w:tcPr>
            <w:tcW w:w="846"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3.3</w:t>
            </w:r>
          </w:p>
        </w:tc>
        <w:tc>
          <w:tcPr>
            <w:tcW w:w="847"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6"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gridSpan w:val="4"/>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4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3.3</w:t>
            </w:r>
          </w:p>
        </w:tc>
      </w:tr>
      <w:tr w:rsidR="00E25CC6" w:rsidRPr="005255BF" w:rsidTr="002407C6">
        <w:trPr>
          <w:cantSplit/>
        </w:trPr>
        <w:tc>
          <w:tcPr>
            <w:tcW w:w="2696" w:type="dxa"/>
            <w:tcBorders>
              <w:top w:val="single" w:sz="6" w:space="0" w:color="auto"/>
              <w:left w:val="nil"/>
              <w:bottom w:val="single" w:sz="12" w:space="0" w:color="auto"/>
              <w:right w:val="nil"/>
            </w:tcBorders>
            <w:shd w:val="solid" w:color="FFFFFF" w:fill="auto"/>
          </w:tcPr>
          <w:p w:rsidR="00E25CC6" w:rsidRPr="005255BF" w:rsidRDefault="00E25CC6" w:rsidP="00F46096">
            <w:pPr>
              <w:pStyle w:val="Tabletext"/>
              <w:rPr>
                <w:rFonts w:eastAsiaTheme="minorEastAsia"/>
                <w:b/>
                <w:bCs/>
                <w:color w:val="000000"/>
                <w:vertAlign w:val="superscript"/>
                <w:lang w:eastAsia="en-AU"/>
              </w:rPr>
            </w:pPr>
            <w:r w:rsidRPr="005255BF">
              <w:rPr>
                <w:rFonts w:eastAsiaTheme="minorEastAsia"/>
                <w:b/>
                <w:bCs/>
                <w:color w:val="000000"/>
                <w:lang w:eastAsia="en-AU"/>
              </w:rPr>
              <w:t xml:space="preserve">Total asset initiatives </w:t>
            </w:r>
            <w:r w:rsidRPr="005255BF">
              <w:rPr>
                <w:rFonts w:eastAsiaTheme="minorEastAsia"/>
                <w:b/>
                <w:bCs/>
                <w:color w:val="000000"/>
                <w:vertAlign w:val="superscript"/>
                <w:lang w:eastAsia="en-AU"/>
              </w:rPr>
              <w:t>(</w:t>
            </w:r>
            <w:r>
              <w:rPr>
                <w:rFonts w:eastAsiaTheme="minorEastAsia"/>
                <w:b/>
                <w:bCs/>
                <w:color w:val="000000"/>
                <w:vertAlign w:val="superscript"/>
                <w:lang w:eastAsia="en-AU"/>
              </w:rPr>
              <w:t>c</w:t>
            </w:r>
            <w:r w:rsidRPr="005255BF">
              <w:rPr>
                <w:rFonts w:eastAsiaTheme="minorEastAsia"/>
                <w:b/>
                <w:bCs/>
                <w:color w:val="000000"/>
                <w:vertAlign w:val="superscript"/>
                <w:lang w:eastAsia="en-AU"/>
              </w:rPr>
              <w:t>)</w:t>
            </w:r>
          </w:p>
        </w:tc>
        <w:tc>
          <w:tcPr>
            <w:tcW w:w="846"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0.4</w:t>
            </w:r>
          </w:p>
        </w:tc>
        <w:tc>
          <w:tcPr>
            <w:tcW w:w="847"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215.6</w:t>
            </w:r>
          </w:p>
        </w:tc>
        <w:tc>
          <w:tcPr>
            <w:tcW w:w="847"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219.7</w:t>
            </w:r>
          </w:p>
        </w:tc>
        <w:tc>
          <w:tcPr>
            <w:tcW w:w="846" w:type="dxa"/>
            <w:gridSpan w:val="2"/>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231.3</w:t>
            </w:r>
          </w:p>
        </w:tc>
        <w:tc>
          <w:tcPr>
            <w:tcW w:w="847" w:type="dxa"/>
            <w:gridSpan w:val="4"/>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113.6</w:t>
            </w:r>
          </w:p>
        </w:tc>
        <w:tc>
          <w:tcPr>
            <w:tcW w:w="847" w:type="dxa"/>
            <w:gridSpan w:val="4"/>
            <w:tcBorders>
              <w:top w:val="single" w:sz="6" w:space="0" w:color="auto"/>
              <w:left w:val="nil"/>
              <w:bottom w:val="single" w:sz="12" w:space="0" w:color="auto"/>
              <w:right w:val="nil"/>
            </w:tcBorders>
            <w:shd w:val="solid" w:color="FFFFFF" w:fill="auto"/>
          </w:tcPr>
          <w:p w:rsidR="00E25CC6" w:rsidRPr="005255BF" w:rsidRDefault="00E25CC6" w:rsidP="005255BF">
            <w:pPr>
              <w:autoSpaceDE w:val="0"/>
              <w:autoSpaceDN w:val="0"/>
              <w:adjustRightInd w:val="0"/>
              <w:spacing w:after="0"/>
              <w:jc w:val="right"/>
              <w:rPr>
                <w:rFonts w:ascii="Calibri" w:eastAsiaTheme="minorEastAsia" w:hAnsi="Calibri" w:cs="Calibri"/>
                <w:b/>
                <w:bCs/>
                <w:sz w:val="20"/>
                <w:lang w:eastAsia="en-AU"/>
              </w:rPr>
            </w:pPr>
            <w:r w:rsidRPr="005255BF">
              <w:rPr>
                <w:rFonts w:ascii="Calibri" w:eastAsiaTheme="minorEastAsia" w:hAnsi="Calibri" w:cs="Calibri"/>
                <w:b/>
                <w:bCs/>
                <w:sz w:val="20"/>
                <w:lang w:eastAsia="en-AU"/>
              </w:rPr>
              <w:t>1 004.8</w:t>
            </w:r>
          </w:p>
        </w:tc>
      </w:tr>
    </w:tbl>
    <w:p w:rsidR="00E25CC6" w:rsidRDefault="00E25CC6" w:rsidP="00D94ED5">
      <w:pPr>
        <w:pStyle w:val="Source"/>
      </w:pPr>
      <w:r>
        <w:t>Source: Department of Treasury and Finance</w:t>
      </w:r>
      <w:bookmarkEnd w:id="38"/>
      <w:r>
        <w:fldChar w:fldCharType="begin"/>
      </w:r>
      <w:r>
        <w:instrText xml:space="preserve"> XE "</w:instrText>
      </w:r>
      <w:r w:rsidRPr="00AB2BEE">
        <w:instrText>Department of Health and Human Services:Asset initiatives</w:instrText>
      </w:r>
      <w:r>
        <w:instrText xml:space="preserve">" \r "DHHS_AssetInit" </w:instrText>
      </w:r>
      <w:r>
        <w:fldChar w:fldCharType="end"/>
      </w:r>
    </w:p>
    <w:p w:rsidR="00E25CC6" w:rsidRDefault="00E25CC6" w:rsidP="00566998">
      <w:pPr>
        <w:pStyle w:val="Notes"/>
      </w:pPr>
      <w:r>
        <w:t>Notes:</w:t>
      </w:r>
    </w:p>
    <w:p w:rsidR="00E25CC6" w:rsidRDefault="00E25CC6" w:rsidP="00566998">
      <w:pPr>
        <w:pStyle w:val="Notes"/>
      </w:pPr>
      <w:r>
        <w:t>(a)</w:t>
      </w:r>
      <w:r>
        <w:tab/>
        <w:t>Final project TEI and cash flow will be determined following completion of business planning and development.</w:t>
      </w:r>
    </w:p>
    <w:p w:rsidR="00E25CC6" w:rsidRDefault="00E25CC6" w:rsidP="00566998">
      <w:pPr>
        <w:pStyle w:val="Notes"/>
      </w:pPr>
      <w:r>
        <w:t>(b)</w:t>
      </w:r>
      <w:r>
        <w:tab/>
        <w:t>This initiative includes $2.1 million of funding for Moyne Clinical Upgrades, $1.0 million planning for the West Gippsland Healthcare Group (Warragul) redevelopment and $1.0 million contribution to fund the Wimmera Cancer Centre, which has a gross TEI of $3.5 million with $2.5 million to be co</w:t>
      </w:r>
      <w:r>
        <w:noBreakHyphen/>
        <w:t>funded by the Commonwealth and other sources.</w:t>
      </w:r>
    </w:p>
    <w:p w:rsidR="00E25CC6" w:rsidRDefault="00E25CC6" w:rsidP="00566998">
      <w:pPr>
        <w:pStyle w:val="Notes"/>
      </w:pPr>
      <w:r>
        <w:t>(c)</w:t>
      </w:r>
      <w:r>
        <w:tab/>
        <w:t>Tables may not add due to rounding.</w:t>
      </w:r>
    </w:p>
    <w:p w:rsidR="00E25CC6" w:rsidRPr="00CD63A7" w:rsidRDefault="00E25CC6" w:rsidP="00566998">
      <w:pPr>
        <w:pStyle w:val="Notes"/>
      </w:pPr>
    </w:p>
    <w:p w:rsidR="00E25CC6" w:rsidRPr="00980AA6" w:rsidRDefault="00E25CC6" w:rsidP="00BF1480">
      <w:pPr>
        <w:pStyle w:val="Heading4"/>
      </w:pPr>
      <w:r w:rsidRPr="00980AA6">
        <w:t>Acute Health Services</w:t>
      </w:r>
    </w:p>
    <w:p w:rsidR="00E25CC6" w:rsidRPr="00980AA6" w:rsidRDefault="00E25CC6" w:rsidP="003D56AD">
      <w:pPr>
        <w:pStyle w:val="Heading5"/>
      </w:pPr>
      <w:bookmarkStart w:id="39" w:name="DHHS_AcuteHlthSvcesCh1b"/>
      <w:r w:rsidRPr="00980AA6">
        <w:t>Austin Hospital Critical Infrastructure Works</w:t>
      </w:r>
    </w:p>
    <w:p w:rsidR="00E25CC6" w:rsidRPr="00980AA6" w:rsidRDefault="00E25CC6" w:rsidP="00980AA6">
      <w:r>
        <w:t>I</w:t>
      </w:r>
      <w:r w:rsidRPr="00980AA6">
        <w:t xml:space="preserve">nfrastructure </w:t>
      </w:r>
      <w:r>
        <w:t>will be upgraded</w:t>
      </w:r>
      <w:r w:rsidRPr="00980AA6">
        <w:t xml:space="preserve"> </w:t>
      </w:r>
      <w:r>
        <w:t xml:space="preserve">across the Austin Hospital campus in Heidelberg </w:t>
      </w:r>
      <w:r w:rsidRPr="00980AA6">
        <w:t xml:space="preserve">to improve service reliability and minimise risks to patients and staff. </w:t>
      </w:r>
    </w:p>
    <w:p w:rsidR="00E25CC6" w:rsidRPr="00E43E67" w:rsidRDefault="00E25CC6" w:rsidP="00E43E67">
      <w:r w:rsidRPr="00980AA6">
        <w:t>This initiative contributes to the Department of Health and Human Serv</w:t>
      </w:r>
      <w:r>
        <w:t>ices’ Admitted Services output.</w:t>
      </w:r>
    </w:p>
    <w:p w:rsidR="00E25CC6" w:rsidRPr="00980AA6" w:rsidRDefault="00E25CC6" w:rsidP="003D56AD">
      <w:pPr>
        <w:pStyle w:val="Heading5"/>
      </w:pPr>
      <w:r w:rsidRPr="00980AA6">
        <w:t>Broadmeadows Surgery Centre</w:t>
      </w:r>
    </w:p>
    <w:p w:rsidR="00E25CC6" w:rsidRPr="00980AA6" w:rsidRDefault="00E25CC6" w:rsidP="007C56BA">
      <w:r>
        <w:t>Works at t</w:t>
      </w:r>
      <w:r w:rsidRPr="00980AA6">
        <w:t xml:space="preserve">he Broadmeadows Surgery Centre will </w:t>
      </w:r>
      <w:r>
        <w:t xml:space="preserve">be undertaken to </w:t>
      </w:r>
      <w:r w:rsidRPr="00980AA6">
        <w:t>expand surgery capacity at Northern Health by providing two additional operating theatres, expanding the Central Sterile Services Department and enhancing patient reception and recovery facilities. This will increase the range and complexity of surgical procedures performed at Broadmeadows and enable better management of the current demand on operating theatre and multi</w:t>
      </w:r>
      <w:r>
        <w:noBreakHyphen/>
      </w:r>
      <w:r w:rsidRPr="00980AA6">
        <w:t>day bed capacity.</w:t>
      </w:r>
      <w:r w:rsidRPr="00980AA6">
        <w:rPr>
          <w:rFonts w:ascii="Arial" w:hAnsi="Arial" w:cs="Arial"/>
          <w:sz w:val="20"/>
          <w:lang w:eastAsia="en-AU"/>
        </w:rPr>
        <w:t xml:space="preserve"> </w:t>
      </w:r>
    </w:p>
    <w:p w:rsidR="00E25CC6" w:rsidRDefault="00E25CC6" w:rsidP="007C56BA">
      <w:r w:rsidRPr="00980AA6">
        <w:t>This initiative contributes to the Department of Health and Human Services</w:t>
      </w:r>
      <w:r>
        <w:t>’</w:t>
      </w:r>
      <w:r w:rsidRPr="00980AA6">
        <w:t xml:space="preserve"> Admitted Services output.</w:t>
      </w:r>
    </w:p>
    <w:p w:rsidR="00E25CC6" w:rsidRDefault="00E25CC6" w:rsidP="001F1AF8">
      <w:pPr>
        <w:pStyle w:val="Heading5"/>
        <w:rPr>
          <w:lang w:eastAsia="en-AU"/>
        </w:rPr>
      </w:pPr>
      <w:r>
        <w:rPr>
          <w:lang w:eastAsia="en-AU"/>
        </w:rPr>
        <w:t>Clinical Services Technology Refresh Program</w:t>
      </w:r>
    </w:p>
    <w:p w:rsidR="00E25CC6" w:rsidRDefault="00E25CC6" w:rsidP="001F1AF8">
      <w:pPr>
        <w:rPr>
          <w:lang w:eastAsia="en-AU"/>
        </w:rPr>
      </w:pPr>
      <w:r>
        <w:rPr>
          <w:lang w:eastAsia="en-AU"/>
        </w:rPr>
        <w:t>Critical, patient related clinical services hardware and integrated software in Victorian public health services will be replaced. This will deliver more effective acute patient diagnostic and other clinical information to the point of care.</w:t>
      </w:r>
    </w:p>
    <w:p w:rsidR="00E25CC6" w:rsidRPr="00980AA6" w:rsidRDefault="00E25CC6" w:rsidP="001F1AF8">
      <w:pPr>
        <w:rPr>
          <w:b/>
        </w:rPr>
      </w:pPr>
      <w:r>
        <w:rPr>
          <w:rFonts w:cs="Garamond"/>
          <w:szCs w:val="22"/>
          <w:lang w:eastAsia="en-AU"/>
        </w:rPr>
        <w:t>This initiative contributes to the Department of Health and Human Services’ Admitted Services output.</w:t>
      </w:r>
    </w:p>
    <w:p w:rsidR="00E25CC6" w:rsidRPr="00980AA6" w:rsidRDefault="00E25CC6" w:rsidP="003D56AD">
      <w:pPr>
        <w:pStyle w:val="Heading5"/>
      </w:pPr>
      <w:r w:rsidRPr="00980AA6">
        <w:t>Engineering infrastructure replacement program</w:t>
      </w:r>
    </w:p>
    <w:p w:rsidR="00E25CC6" w:rsidRPr="00980AA6" w:rsidRDefault="00E25CC6" w:rsidP="00980AA6">
      <w:r w:rsidRPr="00980AA6">
        <w:t xml:space="preserve">Critical </w:t>
      </w:r>
      <w:r>
        <w:t>at</w:t>
      </w:r>
      <w:r>
        <w:noBreakHyphen/>
        <w:t xml:space="preserve">risk </w:t>
      </w:r>
      <w:r w:rsidRPr="00980AA6">
        <w:t>engineering infrastructure in hospitals will be replaced. This includes lifts, boilers and electrical upgrades. This will enable continuity of health service</w:t>
      </w:r>
      <w:r>
        <w:t xml:space="preserve"> delivery</w:t>
      </w:r>
      <w:r w:rsidRPr="00980AA6">
        <w:t xml:space="preserve"> and compliance with regulatory requirements. </w:t>
      </w:r>
    </w:p>
    <w:p w:rsidR="00E25CC6" w:rsidRPr="000D1648" w:rsidRDefault="00E25CC6" w:rsidP="000D1648">
      <w:r w:rsidRPr="00980AA6">
        <w:t>This initiative contributes to the Department of Health and Human Services</w:t>
      </w:r>
      <w:r>
        <w:t>’</w:t>
      </w:r>
      <w:r w:rsidRPr="00980AA6">
        <w:t xml:space="preserve"> Admitted Services output.</w:t>
      </w:r>
    </w:p>
    <w:p w:rsidR="00E25CC6" w:rsidRPr="00980AA6" w:rsidRDefault="00E25CC6" w:rsidP="003D56AD">
      <w:pPr>
        <w:pStyle w:val="Heading5"/>
      </w:pPr>
      <w:r w:rsidRPr="00980AA6">
        <w:t>Goulburn Valley Health (Shepparton) redevelopment</w:t>
      </w:r>
    </w:p>
    <w:p w:rsidR="00E25CC6" w:rsidRPr="00980AA6" w:rsidRDefault="00E25CC6" w:rsidP="00980AA6">
      <w:pPr>
        <w:autoSpaceDE w:val="0"/>
        <w:autoSpaceDN w:val="0"/>
        <w:adjustRightInd w:val="0"/>
        <w:rPr>
          <w:rFonts w:eastAsiaTheme="minorHAnsi" w:cs="Garamond"/>
          <w:color w:val="000000"/>
          <w:szCs w:val="22"/>
        </w:rPr>
      </w:pPr>
      <w:r w:rsidRPr="00980AA6">
        <w:rPr>
          <w:rFonts w:eastAsiaTheme="minorHAnsi" w:cs="Garamond"/>
          <w:color w:val="000000"/>
          <w:szCs w:val="22"/>
        </w:rPr>
        <w:t xml:space="preserve">Goulburn Valley </w:t>
      </w:r>
      <w:r>
        <w:rPr>
          <w:rFonts w:eastAsiaTheme="minorHAnsi" w:cs="Garamond"/>
          <w:color w:val="000000"/>
          <w:szCs w:val="22"/>
        </w:rPr>
        <w:t>Health’s</w:t>
      </w:r>
      <w:r w:rsidRPr="00980AA6">
        <w:rPr>
          <w:rFonts w:eastAsiaTheme="minorHAnsi" w:cs="Garamond"/>
          <w:color w:val="000000"/>
          <w:szCs w:val="22"/>
        </w:rPr>
        <w:t xml:space="preserve"> Shepparton</w:t>
      </w:r>
      <w:r>
        <w:rPr>
          <w:rFonts w:eastAsiaTheme="minorHAnsi" w:cs="Garamond"/>
          <w:color w:val="000000"/>
          <w:szCs w:val="22"/>
        </w:rPr>
        <w:t xml:space="preserve"> campus</w:t>
      </w:r>
      <w:r w:rsidRPr="00980AA6">
        <w:rPr>
          <w:rFonts w:eastAsiaTheme="minorHAnsi" w:cs="Garamond"/>
          <w:color w:val="000000"/>
          <w:szCs w:val="22"/>
        </w:rPr>
        <w:t xml:space="preserve"> will be redeveloped to address increasing demand from a growing local population as well as access, configuration and compliance issues.</w:t>
      </w:r>
      <w:r>
        <w:rPr>
          <w:rFonts w:eastAsiaTheme="minorHAnsi" w:cs="Garamond"/>
          <w:color w:val="000000"/>
          <w:szCs w:val="22"/>
        </w:rPr>
        <w:t xml:space="preserve"> </w:t>
      </w:r>
      <w:r w:rsidRPr="00980AA6">
        <w:rPr>
          <w:rFonts w:eastAsiaTheme="minorHAnsi" w:cs="Garamond"/>
          <w:color w:val="000000"/>
          <w:szCs w:val="22"/>
        </w:rPr>
        <w:t>Th</w:t>
      </w:r>
      <w:r>
        <w:rPr>
          <w:rFonts w:eastAsiaTheme="minorHAnsi" w:cs="Garamond"/>
          <w:color w:val="000000"/>
          <w:szCs w:val="22"/>
        </w:rPr>
        <w:t>e redevelopment includes a new four</w:t>
      </w:r>
      <w:r w:rsidRPr="00980AA6">
        <w:rPr>
          <w:rFonts w:eastAsiaTheme="minorHAnsi" w:cs="Garamond"/>
          <w:color w:val="000000"/>
          <w:szCs w:val="22"/>
        </w:rPr>
        <w:t xml:space="preserve"> stor</w:t>
      </w:r>
      <w:r>
        <w:rPr>
          <w:rFonts w:eastAsiaTheme="minorHAnsi" w:cs="Garamond"/>
          <w:color w:val="000000"/>
          <w:szCs w:val="22"/>
        </w:rPr>
        <w:t>e</w:t>
      </w:r>
      <w:r w:rsidRPr="00980AA6">
        <w:rPr>
          <w:rFonts w:eastAsiaTheme="minorHAnsi" w:cs="Garamond"/>
          <w:color w:val="000000"/>
          <w:szCs w:val="22"/>
        </w:rPr>
        <w:t xml:space="preserve">y tower delivering theatres and new wards, refurbishment of the existing theatres, expansion of the Emergency Department including the addition of treatment bays and a new short stay unit, expansion of medical imaging, and the refurbishment of the maternity ward including a new Special Care Nursery. </w:t>
      </w:r>
    </w:p>
    <w:p w:rsidR="00E25CC6" w:rsidRDefault="00E25CC6" w:rsidP="00980AA6">
      <w:pPr>
        <w:autoSpaceDE w:val="0"/>
        <w:autoSpaceDN w:val="0"/>
        <w:adjustRightInd w:val="0"/>
        <w:rPr>
          <w:rFonts w:eastAsiaTheme="minorHAnsi" w:cs="Garamond"/>
          <w:color w:val="000000"/>
          <w:szCs w:val="22"/>
        </w:rPr>
      </w:pPr>
      <w:r w:rsidRPr="00980AA6">
        <w:rPr>
          <w:rFonts w:eastAsiaTheme="minorHAnsi" w:cs="Garamond"/>
          <w:color w:val="000000"/>
          <w:szCs w:val="22"/>
        </w:rPr>
        <w:t>This initiative contributes to the Department of Health and Human Services</w:t>
      </w:r>
      <w:r>
        <w:rPr>
          <w:rFonts w:eastAsiaTheme="minorHAnsi" w:cs="Garamond"/>
          <w:color w:val="000000"/>
          <w:szCs w:val="22"/>
        </w:rPr>
        <w:t>’</w:t>
      </w:r>
      <w:r w:rsidRPr="00980AA6">
        <w:rPr>
          <w:rFonts w:eastAsiaTheme="minorHAnsi" w:cs="Garamond"/>
          <w:color w:val="000000"/>
          <w:szCs w:val="22"/>
        </w:rPr>
        <w:t xml:space="preserve"> Admitted Services output.</w:t>
      </w:r>
    </w:p>
    <w:p w:rsidR="00E25CC6" w:rsidRPr="003D56AD" w:rsidRDefault="00E25CC6" w:rsidP="003D56AD">
      <w:pPr>
        <w:pStyle w:val="Heading5"/>
      </w:pPr>
      <w:r w:rsidRPr="003D56AD">
        <w:t>Increasing critical care capacity</w:t>
      </w:r>
    </w:p>
    <w:p w:rsidR="00E25CC6" w:rsidRPr="00980AA6" w:rsidRDefault="00E25CC6" w:rsidP="00980AA6">
      <w:r w:rsidRPr="00980AA6">
        <w:t>An additional 11</w:t>
      </w:r>
      <w:r>
        <w:t> </w:t>
      </w:r>
      <w:r w:rsidRPr="00980AA6">
        <w:t xml:space="preserve">intensive care or neonatal intensive care beds will be delivered in public hospitals </w:t>
      </w:r>
      <w:r>
        <w:t>to provide</w:t>
      </w:r>
      <w:r w:rsidRPr="00980AA6">
        <w:t xml:space="preserve"> ac</w:t>
      </w:r>
      <w:r>
        <w:t>ute health services across the S</w:t>
      </w:r>
      <w:r w:rsidRPr="00980AA6">
        <w:t>tate.</w:t>
      </w:r>
    </w:p>
    <w:p w:rsidR="00E25CC6" w:rsidRPr="00E43E67" w:rsidRDefault="00E25CC6" w:rsidP="00E43E67">
      <w:pPr>
        <w:rPr>
          <w:b/>
        </w:rPr>
      </w:pPr>
      <w:r>
        <w:rPr>
          <w:rFonts w:cs="Garamond"/>
          <w:szCs w:val="22"/>
          <w:lang w:eastAsia="en-AU"/>
        </w:rPr>
        <w:t>This initiative contributes to the Department of Health and Human Services’ Admitted Services output.</w:t>
      </w:r>
    </w:p>
    <w:p w:rsidR="00E25CC6" w:rsidRPr="00980AA6" w:rsidRDefault="00E25CC6" w:rsidP="003D56AD">
      <w:pPr>
        <w:pStyle w:val="Heading5"/>
      </w:pPr>
      <w:r w:rsidRPr="00980AA6">
        <w:t xml:space="preserve">Maroondah Breast Cancer Centre </w:t>
      </w:r>
    </w:p>
    <w:p w:rsidR="00E25CC6" w:rsidRPr="00980AA6" w:rsidRDefault="00E25CC6" w:rsidP="00980AA6">
      <w:r w:rsidRPr="00980AA6">
        <w:t>The first stage of a comprehensive breast cancer centre will bring together breast screening, breast oncology, medical care and appropriate services and will be built as part of the Maroondah Hospital precinct in Ringwood.</w:t>
      </w:r>
      <w:r>
        <w:t xml:space="preserve"> </w:t>
      </w:r>
    </w:p>
    <w:p w:rsidR="00E25CC6" w:rsidRPr="00980AA6" w:rsidRDefault="00E25CC6" w:rsidP="00980AA6">
      <w:r w:rsidRPr="00980AA6">
        <w:t xml:space="preserve">This initiative </w:t>
      </w:r>
      <w:r>
        <w:t>delivers on</w:t>
      </w:r>
      <w:r w:rsidRPr="00980AA6">
        <w:t xml:space="preserve"> the Government</w:t>
      </w:r>
      <w:r>
        <w:t>’</w:t>
      </w:r>
      <w:r w:rsidRPr="00980AA6">
        <w:t xml:space="preserve">s election commitment as published in </w:t>
      </w:r>
      <w:r w:rsidRPr="00553994">
        <w:t>Labor</w:t>
      </w:r>
      <w:r>
        <w:t>’</w:t>
      </w:r>
      <w:r w:rsidRPr="00553994">
        <w:t>s Financial Statement 2014</w:t>
      </w:r>
      <w:r w:rsidRPr="00980AA6">
        <w:t>.</w:t>
      </w:r>
    </w:p>
    <w:p w:rsidR="00E25CC6" w:rsidRPr="00980AA6" w:rsidRDefault="00E25CC6" w:rsidP="00980AA6">
      <w:r w:rsidRPr="00980AA6">
        <w:t>This initiative contributes to the Department of Health and Human Services</w:t>
      </w:r>
      <w:r>
        <w:t>’</w:t>
      </w:r>
      <w:r w:rsidRPr="00980AA6">
        <w:t xml:space="preserve"> Admitted Services output. </w:t>
      </w:r>
    </w:p>
    <w:p w:rsidR="00E25CC6" w:rsidRDefault="00E25CC6">
      <w:pPr>
        <w:spacing w:after="0"/>
        <w:rPr>
          <w:rFonts w:ascii="Calibri" w:hAnsi="Calibri"/>
          <w:b/>
        </w:rPr>
      </w:pPr>
      <w:r>
        <w:br w:type="page"/>
      </w:r>
    </w:p>
    <w:p w:rsidR="00E25CC6" w:rsidRPr="00980AA6" w:rsidRDefault="00E25CC6" w:rsidP="003D56AD">
      <w:pPr>
        <w:pStyle w:val="Heading5"/>
      </w:pPr>
      <w:r w:rsidRPr="00980AA6">
        <w:t>Medical equipment replacement program</w:t>
      </w:r>
    </w:p>
    <w:p w:rsidR="00E25CC6" w:rsidRPr="00980AA6" w:rsidRDefault="00E25CC6" w:rsidP="00980AA6">
      <w:r w:rsidRPr="00980AA6">
        <w:t>High</w:t>
      </w:r>
      <w:r>
        <w:noBreakHyphen/>
      </w:r>
      <w:r w:rsidRPr="00980AA6">
        <w:t xml:space="preserve">risk medical equipment in metropolitan and rural health services will continue to be replaced. This includes equipment supporting acute health services and public health reference laboratories. This will reduce risks for patients and staff and improve service availability through the introduction of technological advances in medical equipment. </w:t>
      </w:r>
    </w:p>
    <w:p w:rsidR="00E25CC6" w:rsidRPr="002407C6" w:rsidRDefault="00E25CC6" w:rsidP="002407C6">
      <w:r w:rsidRPr="00980AA6">
        <w:t>This initiative contributes to the Department of Health and Human Servi</w:t>
      </w:r>
      <w:r>
        <w:t xml:space="preserve">ces’ Admitted Services output. </w:t>
      </w:r>
    </w:p>
    <w:p w:rsidR="00E25CC6" w:rsidRPr="00980AA6" w:rsidRDefault="00E25CC6" w:rsidP="003D56AD">
      <w:pPr>
        <w:pStyle w:val="Heading5"/>
        <w:rPr>
          <w:lang w:eastAsia="en-AU"/>
        </w:rPr>
      </w:pPr>
      <w:r w:rsidRPr="00980AA6">
        <w:rPr>
          <w:lang w:eastAsia="en-AU"/>
        </w:rPr>
        <w:t>National Proton Beam Therapy Centre</w:t>
      </w:r>
    </w:p>
    <w:p w:rsidR="00E25CC6" w:rsidRPr="00980AA6" w:rsidRDefault="00E25CC6" w:rsidP="00980AA6">
      <w:pPr>
        <w:autoSpaceDE w:val="0"/>
        <w:autoSpaceDN w:val="0"/>
        <w:adjustRightInd w:val="0"/>
        <w:rPr>
          <w:rFonts w:cs="Garamond"/>
          <w:color w:val="000000"/>
          <w:szCs w:val="22"/>
          <w:lang w:eastAsia="en-AU"/>
        </w:rPr>
      </w:pPr>
      <w:r w:rsidRPr="00980AA6">
        <w:rPr>
          <w:rFonts w:cs="Garamond"/>
          <w:color w:val="000000"/>
          <w:szCs w:val="22"/>
          <w:lang w:eastAsia="en-AU"/>
        </w:rPr>
        <w:t>A national centre for proton beam therapy for clinical treatment and research purposes</w:t>
      </w:r>
      <w:r>
        <w:rPr>
          <w:rFonts w:cs="Garamond"/>
          <w:color w:val="000000"/>
          <w:szCs w:val="22"/>
          <w:lang w:eastAsia="en-AU"/>
        </w:rPr>
        <w:t xml:space="preserve"> will be further progressed to offer</w:t>
      </w:r>
      <w:r w:rsidRPr="00980AA6">
        <w:rPr>
          <w:rFonts w:cs="Garamond"/>
          <w:color w:val="000000"/>
          <w:szCs w:val="22"/>
          <w:lang w:eastAsia="en-AU"/>
        </w:rPr>
        <w:t xml:space="preserve"> leading edge technology </w:t>
      </w:r>
      <w:r>
        <w:rPr>
          <w:rFonts w:cs="Garamond"/>
          <w:color w:val="000000"/>
          <w:szCs w:val="22"/>
          <w:lang w:eastAsia="en-AU"/>
        </w:rPr>
        <w:t>to improve</w:t>
      </w:r>
      <w:r w:rsidRPr="00980AA6">
        <w:rPr>
          <w:rFonts w:cs="Garamond"/>
          <w:color w:val="000000"/>
          <w:szCs w:val="22"/>
          <w:lang w:eastAsia="en-AU"/>
        </w:rPr>
        <w:t xml:space="preserve"> outcomes in the treatment of cancers, particularly in children. This initial funding contribution towards the development of the centre demonstrates Victoria</w:t>
      </w:r>
      <w:r>
        <w:rPr>
          <w:rFonts w:cs="Garamond"/>
          <w:color w:val="000000"/>
          <w:szCs w:val="22"/>
          <w:lang w:eastAsia="en-AU"/>
        </w:rPr>
        <w:t>’</w:t>
      </w:r>
      <w:r w:rsidRPr="00980AA6">
        <w:rPr>
          <w:rFonts w:cs="Garamond"/>
          <w:color w:val="000000"/>
          <w:szCs w:val="22"/>
          <w:lang w:eastAsia="en-AU"/>
        </w:rPr>
        <w:t xml:space="preserve">s ongoing commitment to and leadership in advanced health care provision. </w:t>
      </w:r>
    </w:p>
    <w:p w:rsidR="00E25CC6" w:rsidRPr="00980AA6" w:rsidRDefault="00E25CC6" w:rsidP="00980AA6">
      <w:pPr>
        <w:rPr>
          <w:rFonts w:cs="Garamond"/>
          <w:color w:val="000000"/>
          <w:szCs w:val="22"/>
          <w:lang w:eastAsia="en-AU"/>
        </w:rPr>
      </w:pPr>
      <w:r w:rsidRPr="00980AA6">
        <w:rPr>
          <w:rFonts w:cs="Garamond"/>
          <w:color w:val="000000"/>
          <w:szCs w:val="22"/>
          <w:lang w:eastAsia="en-AU"/>
        </w:rPr>
        <w:t>This initiative contributes to the Department of Health and Human Services</w:t>
      </w:r>
      <w:r>
        <w:rPr>
          <w:rFonts w:cs="Garamond"/>
          <w:color w:val="000000"/>
          <w:szCs w:val="22"/>
          <w:lang w:eastAsia="en-AU"/>
        </w:rPr>
        <w:t>’</w:t>
      </w:r>
      <w:r w:rsidRPr="00980AA6">
        <w:rPr>
          <w:rFonts w:cs="Garamond"/>
          <w:color w:val="000000"/>
          <w:szCs w:val="22"/>
          <w:lang w:eastAsia="en-AU"/>
        </w:rPr>
        <w:t xml:space="preserve"> Admitted Services output.</w:t>
      </w:r>
    </w:p>
    <w:p w:rsidR="00E25CC6" w:rsidRPr="00980AA6" w:rsidRDefault="00E25CC6" w:rsidP="003D56AD">
      <w:pPr>
        <w:pStyle w:val="Heading5"/>
      </w:pPr>
      <w:r w:rsidRPr="00980AA6">
        <w:t>Parkville Biomedical Precinct – planning and development</w:t>
      </w:r>
      <w:r>
        <w:t xml:space="preserve"> </w:t>
      </w:r>
    </w:p>
    <w:p w:rsidR="00E25CC6" w:rsidRDefault="00E25CC6" w:rsidP="002D11AD">
      <w:pPr>
        <w:rPr>
          <w:lang w:eastAsia="en-AU"/>
        </w:rPr>
      </w:pPr>
      <w:r>
        <w:rPr>
          <w:lang w:eastAsia="en-AU"/>
        </w:rPr>
        <w:t>Planning for the development of the Parkville Biomedical Precinct will continue, including for a future redevelopment of acute and sub</w:t>
      </w:r>
      <w:r>
        <w:rPr>
          <w:lang w:eastAsia="en-AU"/>
        </w:rPr>
        <w:noBreakHyphen/>
        <w:t>acute health services in the Precinct. This planning will address key issues such as ageing infrastructure, increasing demand for acute health services and changing models of service delivery.</w:t>
      </w:r>
    </w:p>
    <w:p w:rsidR="00E25CC6" w:rsidRPr="00980AA6" w:rsidRDefault="00E25CC6" w:rsidP="002D11AD">
      <w:r w:rsidRPr="00980AA6">
        <w:t>This initiative contributes to the Department of Health and Human Services</w:t>
      </w:r>
      <w:r>
        <w:t>’</w:t>
      </w:r>
      <w:r w:rsidRPr="00980AA6">
        <w:t xml:space="preserve"> Admitted Services output.</w:t>
      </w:r>
    </w:p>
    <w:p w:rsidR="00E25CC6" w:rsidRPr="00980AA6" w:rsidRDefault="00E25CC6" w:rsidP="003D56AD">
      <w:pPr>
        <w:pStyle w:val="Heading5"/>
      </w:pPr>
      <w:r w:rsidRPr="00980AA6">
        <w:t>Royal Victorian Eye and Ear Hospital redevelopment</w:t>
      </w:r>
      <w:r>
        <w:t xml:space="preserve"> </w:t>
      </w:r>
    </w:p>
    <w:p w:rsidR="00E25CC6" w:rsidRPr="00980AA6" w:rsidRDefault="00E25CC6" w:rsidP="00980AA6">
      <w:pPr>
        <w:autoSpaceDE w:val="0"/>
        <w:autoSpaceDN w:val="0"/>
        <w:adjustRightInd w:val="0"/>
        <w:rPr>
          <w:rFonts w:eastAsiaTheme="minorHAnsi" w:cs="Garamond"/>
          <w:szCs w:val="22"/>
        </w:rPr>
      </w:pPr>
      <w:r w:rsidRPr="00980AA6">
        <w:rPr>
          <w:rFonts w:eastAsiaTheme="minorHAnsi" w:cs="Garamond"/>
          <w:szCs w:val="22"/>
        </w:rPr>
        <w:t>The Royal Victori</w:t>
      </w:r>
      <w:r>
        <w:rPr>
          <w:rFonts w:eastAsiaTheme="minorHAnsi" w:cs="Garamond"/>
          <w:szCs w:val="22"/>
        </w:rPr>
        <w:t>an Eye and Ear Hospital is the S</w:t>
      </w:r>
      <w:r w:rsidRPr="00980AA6">
        <w:rPr>
          <w:rFonts w:eastAsiaTheme="minorHAnsi" w:cs="Garamond"/>
          <w:szCs w:val="22"/>
        </w:rPr>
        <w:t>tate</w:t>
      </w:r>
      <w:r>
        <w:rPr>
          <w:rFonts w:eastAsiaTheme="minorHAnsi" w:cs="Garamond"/>
          <w:szCs w:val="22"/>
        </w:rPr>
        <w:t>’</w:t>
      </w:r>
      <w:r w:rsidRPr="00980AA6">
        <w:rPr>
          <w:rFonts w:eastAsiaTheme="minorHAnsi" w:cs="Garamond"/>
          <w:szCs w:val="22"/>
        </w:rPr>
        <w:t>s largest provider of ophthalmology and ear, nose and throat services.</w:t>
      </w:r>
      <w:r>
        <w:rPr>
          <w:rFonts w:eastAsiaTheme="minorHAnsi" w:cs="Garamond"/>
          <w:szCs w:val="22"/>
        </w:rPr>
        <w:t xml:space="preserve"> This initiative ensures the successful completion of the redevelopment including the critical removal of asbestos beyond that identified in initial planning.</w:t>
      </w:r>
    </w:p>
    <w:p w:rsidR="00E25CC6" w:rsidRPr="00980AA6" w:rsidRDefault="00E25CC6" w:rsidP="00980AA6">
      <w:r w:rsidRPr="00980AA6">
        <w:t>This initiative contributes to the Department of Health and Human Services</w:t>
      </w:r>
      <w:r>
        <w:t>’</w:t>
      </w:r>
      <w:r w:rsidRPr="00980AA6">
        <w:t>:</w:t>
      </w:r>
    </w:p>
    <w:p w:rsidR="00E25CC6" w:rsidRPr="00980AA6" w:rsidRDefault="00E25CC6" w:rsidP="00D94ED5">
      <w:pPr>
        <w:pStyle w:val="BulletText"/>
      </w:pPr>
      <w:r w:rsidRPr="00980AA6">
        <w:t>Admitted Services output; and</w:t>
      </w:r>
    </w:p>
    <w:p w:rsidR="00E25CC6" w:rsidRDefault="00E25CC6" w:rsidP="00D94ED5">
      <w:pPr>
        <w:pStyle w:val="BulletText"/>
      </w:pPr>
      <w:r w:rsidRPr="00980AA6">
        <w:t>Non</w:t>
      </w:r>
      <w:r>
        <w:noBreakHyphen/>
      </w:r>
      <w:r w:rsidRPr="00980AA6">
        <w:t>Admitted Services output.</w:t>
      </w:r>
    </w:p>
    <w:p w:rsidR="00E25CC6" w:rsidRPr="0062053D" w:rsidRDefault="00E25CC6" w:rsidP="005865DE">
      <w:pPr>
        <w:pStyle w:val="Heading5"/>
      </w:pPr>
      <w:r>
        <w:t>Regional</w:t>
      </w:r>
      <w:r w:rsidRPr="0062053D">
        <w:t xml:space="preserve"> Health Infrastructure Fund</w:t>
      </w:r>
    </w:p>
    <w:p w:rsidR="00E25CC6" w:rsidRPr="00980AA6" w:rsidRDefault="00E25CC6" w:rsidP="007C56BA">
      <w:r>
        <w:t xml:space="preserve">A Regional Health Infrastructure Fund will be established to invest </w:t>
      </w:r>
      <w:r w:rsidRPr="00980AA6">
        <w:t xml:space="preserve">in minor capital projects through public health services, enhancing the quality and amenity of rural and regional health services. This initiative will </w:t>
      </w:r>
      <w:r>
        <w:t>allow health services to respond to local priorities and maintain and enhance their service delivery capacity. Initial allocations have been made to fund a new urgent care facility at Moyne Health Service in Port Fairy, planning for the West Gippsland Healthcare Group (Warragul) redevelopment, and contribute to the funding of the Wimmera Cancer Centre</w:t>
      </w:r>
      <w:r w:rsidRPr="00980AA6">
        <w:t>.</w:t>
      </w:r>
    </w:p>
    <w:p w:rsidR="00E25CC6" w:rsidRPr="00980AA6" w:rsidRDefault="00E25CC6" w:rsidP="007C56BA">
      <w:r w:rsidRPr="00980AA6">
        <w:t>This initiative contributes to the Department of Health and Human Services</w:t>
      </w:r>
      <w:r>
        <w:t>’</w:t>
      </w:r>
      <w:r w:rsidRPr="00980AA6">
        <w:t xml:space="preserve"> Admitted Services output.</w:t>
      </w:r>
    </w:p>
    <w:p w:rsidR="00E25CC6" w:rsidRPr="00980AA6" w:rsidRDefault="00E25CC6" w:rsidP="003D56AD">
      <w:pPr>
        <w:pStyle w:val="Heading5"/>
      </w:pPr>
      <w:r w:rsidRPr="00980AA6">
        <w:t>Victorian Heart Hospital</w:t>
      </w:r>
    </w:p>
    <w:p w:rsidR="00E25CC6" w:rsidRDefault="00E25CC6" w:rsidP="008E6125">
      <w:pPr>
        <w:rPr>
          <w:lang w:eastAsia="en-AU"/>
        </w:rPr>
      </w:pPr>
      <w:r>
        <w:rPr>
          <w:lang w:eastAsia="en-AU"/>
        </w:rPr>
        <w:t>Australia’s first specialist heart hospital will be established to revolutionise cardiovascular care and deliver world class research, education and public health in the treatment and prevention of cardiovascular disease. The facility will be located at Monash University, Clayton and will bring together leading organisations of cardiac research and education. To supplement the State Government’s contribution, further funding will be sought from project partners, the Commonwealth and from fundraising to complete the project.</w:t>
      </w:r>
    </w:p>
    <w:p w:rsidR="00E25CC6" w:rsidRDefault="00E25CC6" w:rsidP="008E6125">
      <w:pPr>
        <w:rPr>
          <w:lang w:eastAsia="en-AU"/>
        </w:rPr>
      </w:pPr>
      <w:r>
        <w:rPr>
          <w:lang w:eastAsia="en-AU"/>
        </w:rPr>
        <w:t xml:space="preserve">This initiative contributes to the delivery of the Government’s election commitment as published in </w:t>
      </w:r>
      <w:r w:rsidRPr="00553994">
        <w:rPr>
          <w:iCs/>
          <w:lang w:eastAsia="en-AU"/>
        </w:rPr>
        <w:t>Labor</w:t>
      </w:r>
      <w:r>
        <w:rPr>
          <w:iCs/>
          <w:lang w:eastAsia="en-AU"/>
        </w:rPr>
        <w:t>’</w:t>
      </w:r>
      <w:r w:rsidRPr="00553994">
        <w:rPr>
          <w:iCs/>
          <w:lang w:eastAsia="en-AU"/>
        </w:rPr>
        <w:t>s Financial Statement 2014</w:t>
      </w:r>
      <w:r>
        <w:rPr>
          <w:lang w:eastAsia="en-AU"/>
        </w:rPr>
        <w:t>.</w:t>
      </w:r>
    </w:p>
    <w:p w:rsidR="00E25CC6" w:rsidRDefault="00E25CC6" w:rsidP="008E6125">
      <w:pPr>
        <w:rPr>
          <w:lang w:eastAsia="en-AU"/>
        </w:rPr>
      </w:pPr>
      <w:r>
        <w:rPr>
          <w:lang w:eastAsia="en-AU"/>
        </w:rPr>
        <w:t>The initiative contributes to the Department of Health and Human Services’ Admitted Services output.</w:t>
      </w:r>
    </w:p>
    <w:p w:rsidR="00E25CC6" w:rsidRPr="003D56AD" w:rsidRDefault="00E25CC6" w:rsidP="00AA0AE5">
      <w:pPr>
        <w:pStyle w:val="Heading5"/>
      </w:pPr>
      <w:r w:rsidRPr="003D56AD">
        <w:t>Western Health urgent infrastructure works (Footscray and Sunshine)</w:t>
      </w:r>
    </w:p>
    <w:p w:rsidR="00E25CC6" w:rsidRPr="00980AA6" w:rsidRDefault="00E25CC6" w:rsidP="00980AA6">
      <w:r w:rsidRPr="00980AA6">
        <w:t>Urgent works wi</w:t>
      </w:r>
      <w:r>
        <w:t>ll be completed at Footscray H</w:t>
      </w:r>
      <w:r w:rsidRPr="00980AA6">
        <w:t>ospital to improve infrastructure and engineering services</w:t>
      </w:r>
      <w:r>
        <w:t xml:space="preserve"> while planning is </w:t>
      </w:r>
      <w:r w:rsidRPr="00980AA6">
        <w:t>undertaken for the future redevelopment of Footscray Hospital.</w:t>
      </w:r>
      <w:r>
        <w:t xml:space="preserve"> </w:t>
      </w:r>
      <w:r w:rsidRPr="00980AA6">
        <w:t xml:space="preserve">Funding </w:t>
      </w:r>
      <w:r>
        <w:t>will</w:t>
      </w:r>
      <w:r w:rsidRPr="00980AA6">
        <w:t xml:space="preserve"> enhance the functionality and services delivered at the Sunshine site.</w:t>
      </w:r>
      <w:r>
        <w:t xml:space="preserve"> </w:t>
      </w:r>
    </w:p>
    <w:p w:rsidR="00E25CC6" w:rsidRPr="00980AA6" w:rsidRDefault="00E25CC6" w:rsidP="00CA4A53">
      <w:pPr>
        <w:rPr>
          <w:b/>
        </w:rPr>
      </w:pPr>
      <w:r>
        <w:rPr>
          <w:rFonts w:cs="Garamond"/>
          <w:szCs w:val="22"/>
          <w:lang w:eastAsia="en-AU"/>
        </w:rPr>
        <w:t>This initiative contributes to the Department of Health and Human Services’ Admitted Services output</w:t>
      </w:r>
      <w:bookmarkEnd w:id="39"/>
      <w:r>
        <w:rPr>
          <w:rFonts w:cs="Garamond"/>
          <w:szCs w:val="22"/>
          <w:lang w:eastAsia="en-AU"/>
        </w:rPr>
        <w:t>.</w:t>
      </w:r>
      <w:r>
        <w:rPr>
          <w:rFonts w:cs="Garamond"/>
          <w:szCs w:val="22"/>
          <w:lang w:eastAsia="en-AU"/>
        </w:rPr>
        <w:fldChar w:fldCharType="begin"/>
      </w:r>
      <w:r>
        <w:instrText xml:space="preserve"> XE "</w:instrText>
      </w:r>
      <w:r w:rsidRPr="00B06C70">
        <w:instrText>Department of Health and Human Services:Acute Health Services</w:instrText>
      </w:r>
      <w:r>
        <w:instrText xml:space="preserve">" \r "DHHS_AcuteHlthSvcesCh1b" </w:instrText>
      </w:r>
      <w:r>
        <w:rPr>
          <w:rFonts w:cs="Garamond"/>
          <w:szCs w:val="22"/>
          <w:lang w:eastAsia="en-AU"/>
        </w:rPr>
        <w:fldChar w:fldCharType="end"/>
      </w:r>
      <w:r>
        <w:rPr>
          <w:rFonts w:cs="Garamond"/>
          <w:szCs w:val="22"/>
          <w:lang w:eastAsia="en-AU"/>
        </w:rPr>
        <w:t xml:space="preserve"> </w:t>
      </w:r>
      <w:r>
        <w:rPr>
          <w:rFonts w:cs="Garamond"/>
          <w:szCs w:val="22"/>
          <w:lang w:eastAsia="en-AU"/>
        </w:rPr>
        <w:fldChar w:fldCharType="begin"/>
      </w:r>
      <w:r>
        <w:instrText xml:space="preserve"> XE "</w:instrText>
      </w:r>
      <w:r w:rsidRPr="007810D7">
        <w:instrText>Acute Health Services</w:instrText>
      </w:r>
      <w:r>
        <w:instrText xml:space="preserve">" \r "DHHS_AcuteHlthSvcesCh1b" </w:instrText>
      </w:r>
      <w:r>
        <w:rPr>
          <w:rFonts w:cs="Garamond"/>
          <w:szCs w:val="22"/>
          <w:lang w:eastAsia="en-AU"/>
        </w:rPr>
        <w:fldChar w:fldCharType="end"/>
      </w:r>
      <w:r>
        <w:rPr>
          <w:rFonts w:cs="Garamond"/>
          <w:szCs w:val="22"/>
          <w:lang w:eastAsia="en-AU"/>
        </w:rPr>
        <w:t xml:space="preserve"> </w:t>
      </w:r>
    </w:p>
    <w:p w:rsidR="00E25CC6" w:rsidRPr="00BF1480" w:rsidRDefault="00E25CC6" w:rsidP="00BF1480">
      <w:pPr>
        <w:pStyle w:val="Heading4"/>
      </w:pPr>
      <w:r w:rsidRPr="00BF1480">
        <w:t>Ageing, Aged and Home Care</w:t>
      </w:r>
      <w:r>
        <w:t xml:space="preserve"> </w:t>
      </w:r>
    </w:p>
    <w:p w:rsidR="00E25CC6" w:rsidRPr="00980AA6" w:rsidRDefault="00E25CC6" w:rsidP="003D56AD">
      <w:pPr>
        <w:pStyle w:val="Heading5"/>
      </w:pPr>
      <w:r w:rsidRPr="00980AA6">
        <w:t xml:space="preserve">Chinese aged care land bank </w:t>
      </w:r>
      <w:r>
        <w:fldChar w:fldCharType="begin"/>
      </w:r>
      <w:r>
        <w:instrText xml:space="preserve"> XE "</w:instrText>
      </w:r>
      <w:r w:rsidRPr="009713F9">
        <w:instrText>Department of Health and Human Services:Ageing, Aged and Home Care</w:instrText>
      </w:r>
      <w:r>
        <w:instrText xml:space="preserve">" </w:instrText>
      </w:r>
      <w:r>
        <w:fldChar w:fldCharType="end"/>
      </w:r>
      <w:r>
        <w:t xml:space="preserve"> </w:t>
      </w:r>
      <w:r>
        <w:fldChar w:fldCharType="begin"/>
      </w:r>
      <w:r>
        <w:instrText xml:space="preserve"> XE "</w:instrText>
      </w:r>
      <w:r w:rsidRPr="007810D7">
        <w:instrText>Ageing, Aged and Home Care</w:instrText>
      </w:r>
      <w:r>
        <w:instrText xml:space="preserve">" </w:instrText>
      </w:r>
      <w:r>
        <w:fldChar w:fldCharType="end"/>
      </w:r>
    </w:p>
    <w:p w:rsidR="00E25CC6" w:rsidRPr="00980AA6" w:rsidRDefault="00E25CC6" w:rsidP="00980AA6">
      <w:r>
        <w:t xml:space="preserve">Funding will be provided to </w:t>
      </w:r>
      <w:r w:rsidRPr="00980AA6">
        <w:t>contribute towards the cost of purchasing suitable vacant land to assist with the establishment of a new culturally appropriate residential aged care service for the Chinese community in the South Eastern suburbs of Melbourne.</w:t>
      </w:r>
    </w:p>
    <w:p w:rsidR="00E25CC6" w:rsidRPr="00980AA6" w:rsidRDefault="00E25CC6" w:rsidP="00980AA6">
      <w:pPr>
        <w:rPr>
          <w:i/>
        </w:rPr>
      </w:pPr>
      <w:r w:rsidRPr="00980AA6">
        <w:t>This initiative delivers on the Government</w:t>
      </w:r>
      <w:r>
        <w:t>’</w:t>
      </w:r>
      <w:r w:rsidRPr="00980AA6">
        <w:t xml:space="preserve">s election commitment as published in </w:t>
      </w:r>
      <w:r w:rsidRPr="00553994">
        <w:t>Labor</w:t>
      </w:r>
      <w:r>
        <w:t>’</w:t>
      </w:r>
      <w:r w:rsidRPr="00553994">
        <w:t>s Financial Statement 2014</w:t>
      </w:r>
      <w:r w:rsidRPr="00980AA6">
        <w:rPr>
          <w:i/>
        </w:rPr>
        <w:t>.</w:t>
      </w:r>
    </w:p>
    <w:p w:rsidR="00E25CC6" w:rsidRPr="00980AA6" w:rsidRDefault="00E25CC6" w:rsidP="00980AA6">
      <w:r w:rsidRPr="00980AA6">
        <w:t>This initiative contributes to the Department of Health and Human Services</w:t>
      </w:r>
      <w:r>
        <w:t>’</w:t>
      </w:r>
      <w:r w:rsidRPr="00980AA6">
        <w:t xml:space="preserve"> Residential Aged Care output.</w:t>
      </w:r>
    </w:p>
    <w:p w:rsidR="00E25CC6" w:rsidRPr="00980AA6" w:rsidRDefault="00E25CC6" w:rsidP="0062053D">
      <w:pPr>
        <w:pStyle w:val="Heading5"/>
      </w:pPr>
      <w:r w:rsidRPr="00980AA6">
        <w:t xml:space="preserve">Modernisation of metropolitan Melbourne public sector residential aged </w:t>
      </w:r>
      <w:r>
        <w:t>care</w:t>
      </w:r>
    </w:p>
    <w:p w:rsidR="00E25CC6" w:rsidRPr="00980AA6" w:rsidRDefault="00E25CC6" w:rsidP="00980AA6">
      <w:pPr>
        <w:autoSpaceDE w:val="0"/>
        <w:autoSpaceDN w:val="0"/>
        <w:adjustRightInd w:val="0"/>
      </w:pPr>
      <w:r>
        <w:t>A</w:t>
      </w:r>
      <w:r w:rsidRPr="00980AA6">
        <w:t xml:space="preserve"> number of existing public sector residential aged care services</w:t>
      </w:r>
      <w:r>
        <w:t xml:space="preserve"> will be consolidated</w:t>
      </w:r>
      <w:r w:rsidRPr="00980AA6">
        <w:t xml:space="preserve"> into </w:t>
      </w:r>
      <w:r>
        <w:t>a larger scale, contemporary, fit</w:t>
      </w:r>
      <w:r>
        <w:noBreakHyphen/>
        <w:t>for</w:t>
      </w:r>
      <w:r>
        <w:noBreakHyphen/>
        <w:t>purpose facility.</w:t>
      </w:r>
      <w:r w:rsidRPr="00980AA6">
        <w:t xml:space="preserve"> The new three storey facility will be built at St Georges Hospital, Kew, and will offer a 90</w:t>
      </w:r>
      <w:r>
        <w:noBreakHyphen/>
      </w:r>
      <w:r w:rsidRPr="00980AA6">
        <w:t>bed public sector residential aged care service supporting contemporary models of care. Critical maintenance to mitigate compliance risks for multiple aged care sites will also be undertaken.</w:t>
      </w:r>
    </w:p>
    <w:p w:rsidR="00E25CC6" w:rsidRPr="00980AA6" w:rsidRDefault="00E25CC6" w:rsidP="00980AA6">
      <w:pPr>
        <w:autoSpaceDE w:val="0"/>
        <w:autoSpaceDN w:val="0"/>
        <w:adjustRightInd w:val="0"/>
      </w:pPr>
      <w:r w:rsidRPr="00980AA6">
        <w:t>This initiative contributes to the Department of Health and Human Services</w:t>
      </w:r>
      <w:r>
        <w:t>’</w:t>
      </w:r>
      <w:r w:rsidRPr="00980AA6">
        <w:t xml:space="preserve"> Residential Aged Care output.</w:t>
      </w:r>
    </w:p>
    <w:p w:rsidR="00E25CC6" w:rsidRDefault="00E25CC6">
      <w:pPr>
        <w:spacing w:after="0"/>
        <w:rPr>
          <w:rFonts w:ascii="Calibri" w:hAnsi="Calibri"/>
          <w:i/>
          <w:sz w:val="24"/>
          <w:szCs w:val="22"/>
        </w:rPr>
      </w:pPr>
      <w:r>
        <w:br w:type="page"/>
      </w:r>
    </w:p>
    <w:p w:rsidR="00E25CC6" w:rsidRPr="00980AA6" w:rsidRDefault="00E25CC6" w:rsidP="00BF1480">
      <w:pPr>
        <w:pStyle w:val="Heading4"/>
      </w:pPr>
      <w:r w:rsidRPr="00980AA6">
        <w:t>Ambulance Services</w:t>
      </w:r>
    </w:p>
    <w:p w:rsidR="00E25CC6" w:rsidRPr="00980AA6" w:rsidRDefault="00E25CC6" w:rsidP="0062053D">
      <w:pPr>
        <w:pStyle w:val="Heading5"/>
      </w:pPr>
      <w:r w:rsidRPr="00980AA6">
        <w:t>Ambulance Victoria Station upgrades</w:t>
      </w:r>
      <w:r>
        <w:t xml:space="preserve"> </w:t>
      </w:r>
      <w:r>
        <w:fldChar w:fldCharType="begin"/>
      </w:r>
      <w:r>
        <w:instrText xml:space="preserve"> XE "</w:instrText>
      </w:r>
      <w:r w:rsidRPr="006F6BBB">
        <w:instrText>Department of Health and Human Services:Ambulance Services</w:instrText>
      </w:r>
      <w:r>
        <w:instrText xml:space="preserve">" </w:instrText>
      </w:r>
      <w:r>
        <w:fldChar w:fldCharType="end"/>
      </w:r>
      <w:r>
        <w:t xml:space="preserve"> </w:t>
      </w:r>
      <w:r>
        <w:fldChar w:fldCharType="begin"/>
      </w:r>
      <w:r>
        <w:instrText xml:space="preserve"> XE "</w:instrText>
      </w:r>
      <w:r w:rsidRPr="007810D7">
        <w:instrText>Ambulance Services</w:instrText>
      </w:r>
      <w:r>
        <w:instrText xml:space="preserve">" </w:instrText>
      </w:r>
      <w:r>
        <w:fldChar w:fldCharType="end"/>
      </w:r>
    </w:p>
    <w:p w:rsidR="00E25CC6" w:rsidRDefault="00E25CC6" w:rsidP="002407C6">
      <w:r>
        <w:t xml:space="preserve">The Government will continue its investment </w:t>
      </w:r>
      <w:r w:rsidRPr="00980AA6">
        <w:t>in upgrading ambulance stations to better ali</w:t>
      </w:r>
      <w:r>
        <w:t>gn</w:t>
      </w:r>
      <w:r w:rsidRPr="00980AA6">
        <w:t xml:space="preserve"> with contemporary service requirements. Funding will </w:t>
      </w:r>
      <w:r>
        <w:t>refurbish or rebuild</w:t>
      </w:r>
      <w:r w:rsidRPr="00980AA6">
        <w:t xml:space="preserve"> ambulance stations identified as those most in need of replacement or upgrade, as well</w:t>
      </w:r>
      <w:r>
        <w:t xml:space="preserve"> as critical maintenance works.</w:t>
      </w:r>
    </w:p>
    <w:p w:rsidR="00E25CC6" w:rsidRPr="00980AA6" w:rsidRDefault="00E25CC6" w:rsidP="00980AA6">
      <w:r w:rsidRPr="00980AA6">
        <w:t>This initiative contributes to the Department of Health and Human Services</w:t>
      </w:r>
      <w:r>
        <w:t>’</w:t>
      </w:r>
      <w:r w:rsidRPr="00980AA6">
        <w:t>:</w:t>
      </w:r>
    </w:p>
    <w:p w:rsidR="00E25CC6" w:rsidRPr="00980AA6" w:rsidRDefault="00E25CC6" w:rsidP="007C56BA">
      <w:pPr>
        <w:pStyle w:val="BulletText"/>
      </w:pPr>
      <w:r w:rsidRPr="00980AA6">
        <w:t>Ambulance Emergency Services</w:t>
      </w:r>
      <w:r>
        <w:t xml:space="preserve"> output</w:t>
      </w:r>
      <w:r w:rsidRPr="00980AA6">
        <w:t xml:space="preserve">; and </w:t>
      </w:r>
    </w:p>
    <w:p w:rsidR="00E25CC6" w:rsidRDefault="00E25CC6" w:rsidP="007C56BA">
      <w:pPr>
        <w:pStyle w:val="BulletText"/>
      </w:pPr>
      <w:r w:rsidRPr="00980AA6">
        <w:t>Ambulance Non</w:t>
      </w:r>
      <w:r>
        <w:noBreakHyphen/>
      </w:r>
      <w:r w:rsidRPr="00980AA6">
        <w:t>Emergency Services</w:t>
      </w:r>
      <w:r>
        <w:t xml:space="preserve"> output</w:t>
      </w:r>
      <w:r w:rsidRPr="00980AA6">
        <w:t>.</w:t>
      </w:r>
    </w:p>
    <w:p w:rsidR="00E25CC6" w:rsidRPr="00140DF7" w:rsidRDefault="00E25CC6" w:rsidP="00E0395C">
      <w:pPr>
        <w:pStyle w:val="Heading5"/>
      </w:pPr>
      <w:r>
        <w:t>Response Time Rescue Fund</w:t>
      </w:r>
      <w:r w:rsidRPr="00140DF7">
        <w:t xml:space="preserve"> </w:t>
      </w:r>
    </w:p>
    <w:p w:rsidR="00E25CC6" w:rsidRPr="00980AA6" w:rsidRDefault="00E25CC6" w:rsidP="00E0395C">
      <w:pPr>
        <w:pStyle w:val="BulletText"/>
        <w:numPr>
          <w:ilvl w:val="0"/>
          <w:numId w:val="0"/>
        </w:numPr>
      </w:pPr>
      <w:r>
        <w:t>For a description of this initiative refer to the output initiative.</w:t>
      </w:r>
    </w:p>
    <w:p w:rsidR="00E25CC6" w:rsidRPr="00980AA6" w:rsidRDefault="00E25CC6" w:rsidP="00BF1480">
      <w:pPr>
        <w:pStyle w:val="Heading4"/>
      </w:pPr>
      <w:r w:rsidRPr="00980AA6">
        <w:t>Disability Services</w:t>
      </w:r>
    </w:p>
    <w:p w:rsidR="00E25CC6" w:rsidRPr="00980AA6" w:rsidRDefault="00E25CC6" w:rsidP="0062053D">
      <w:pPr>
        <w:pStyle w:val="Heading5"/>
      </w:pPr>
      <w:r>
        <w:t>Getting Ready for the National Disability Insurance Scheme</w:t>
      </w:r>
    </w:p>
    <w:p w:rsidR="00E25CC6" w:rsidRDefault="00E25CC6" w:rsidP="00980AA6">
      <w:r w:rsidRPr="00F44C06">
        <w:t>The National Disability Insurance Scheme</w:t>
      </w:r>
      <w:r>
        <w:fldChar w:fldCharType="begin"/>
      </w:r>
      <w:r>
        <w:instrText xml:space="preserve"> XE "</w:instrText>
      </w:r>
      <w:r w:rsidRPr="007810D7">
        <w:instrText>National Disability Insurance Scheme</w:instrText>
      </w:r>
      <w:r>
        <w:instrText xml:space="preserve">" </w:instrText>
      </w:r>
      <w:r>
        <w:fldChar w:fldCharType="end"/>
      </w:r>
      <w:r w:rsidRPr="00F44C06">
        <w:t xml:space="preserve"> is the biggest social reform since Medicare. The Victorian Government is committed to the successful rollout of the Scheme for people with disability and their families. This funding will prepare for and facilitate</w:t>
      </w:r>
      <w:r>
        <w:t xml:space="preserve"> the first stage of the roll</w:t>
      </w:r>
      <w:r w:rsidRPr="00F44C06">
        <w:t xml:space="preserve">out. This initiative provides funding to support </w:t>
      </w:r>
      <w:r>
        <w:t xml:space="preserve">to the </w:t>
      </w:r>
      <w:r w:rsidRPr="00F44C06">
        <w:t xml:space="preserve">closure of Colanda Residential Services </w:t>
      </w:r>
      <w:r>
        <w:t xml:space="preserve">and </w:t>
      </w:r>
      <w:r w:rsidRPr="00F44C06">
        <w:t xml:space="preserve">will construct ten </w:t>
      </w:r>
      <w:r>
        <w:t>new dwellings and refurbish an</w:t>
      </w:r>
      <w:r w:rsidRPr="00F44C06">
        <w:t xml:space="preserve"> existing property in </w:t>
      </w:r>
      <w:r>
        <w:t>Warrnambool</w:t>
      </w:r>
      <w:r w:rsidRPr="00F44C06">
        <w:t xml:space="preserve">. </w:t>
      </w:r>
      <w:r>
        <w:fldChar w:fldCharType="begin"/>
      </w:r>
      <w:r>
        <w:instrText xml:space="preserve"> XE "</w:instrText>
      </w:r>
      <w:r w:rsidRPr="007810D7">
        <w:instrText>Disability Services</w:instrText>
      </w:r>
      <w:r>
        <w:instrText xml:space="preserve">" </w:instrText>
      </w:r>
      <w:r>
        <w:fldChar w:fldCharType="end"/>
      </w:r>
      <w:r>
        <w:fldChar w:fldCharType="begin"/>
      </w:r>
      <w:r>
        <w:instrText xml:space="preserve"> XE "</w:instrText>
      </w:r>
      <w:r w:rsidRPr="00037788">
        <w:instrText>Department of Health and Human Services:Disability Services</w:instrText>
      </w:r>
      <w:r>
        <w:instrText xml:space="preserve">" </w:instrText>
      </w:r>
      <w:r>
        <w:fldChar w:fldCharType="end"/>
      </w:r>
    </w:p>
    <w:p w:rsidR="00E25CC6" w:rsidRPr="00E43E67" w:rsidRDefault="00E25CC6" w:rsidP="00E43E67">
      <w:r w:rsidRPr="00980AA6">
        <w:t>This initiative contributes to the Department of Health and Human Servic</w:t>
      </w:r>
      <w:r>
        <w:t>es’ Disability Services output.</w:t>
      </w:r>
    </w:p>
    <w:p w:rsidR="00E25CC6" w:rsidRPr="00980AA6" w:rsidRDefault="00E25CC6" w:rsidP="00BF1480">
      <w:pPr>
        <w:pStyle w:val="Heading4"/>
      </w:pPr>
      <w:r w:rsidRPr="00980AA6">
        <w:t>Housing Assistance</w:t>
      </w:r>
    </w:p>
    <w:p w:rsidR="00E25CC6" w:rsidRPr="00980AA6" w:rsidRDefault="00E25CC6" w:rsidP="0062053D">
      <w:pPr>
        <w:pStyle w:val="Heading5"/>
      </w:pPr>
      <w:r>
        <w:t>Rooming H</w:t>
      </w:r>
      <w:r w:rsidRPr="00980AA6">
        <w:t xml:space="preserve">ouse </w:t>
      </w:r>
      <w:r>
        <w:t>Upgrade P</w:t>
      </w:r>
      <w:r w:rsidRPr="00980AA6">
        <w:t xml:space="preserve">rogram </w:t>
      </w:r>
      <w:r>
        <w:fldChar w:fldCharType="begin"/>
      </w:r>
      <w:r>
        <w:instrText xml:space="preserve"> XE "</w:instrText>
      </w:r>
      <w:r w:rsidRPr="00305C0C">
        <w:instrText>Department of Health and Human Services:Housing Assistance</w:instrText>
      </w:r>
      <w:r>
        <w:instrText xml:space="preserve">" </w:instrText>
      </w:r>
      <w:r>
        <w:fldChar w:fldCharType="end"/>
      </w:r>
      <w:r>
        <w:t xml:space="preserve"> </w:t>
      </w:r>
      <w:r>
        <w:fldChar w:fldCharType="begin"/>
      </w:r>
      <w:r>
        <w:instrText xml:space="preserve"> XE "</w:instrText>
      </w:r>
      <w:r w:rsidRPr="007810D7">
        <w:instrText>Housing Assistance</w:instrText>
      </w:r>
      <w:r>
        <w:instrText xml:space="preserve">" </w:instrText>
      </w:r>
      <w:r>
        <w:fldChar w:fldCharType="end"/>
      </w:r>
    </w:p>
    <w:p w:rsidR="00E25CC6" w:rsidRPr="00980AA6" w:rsidRDefault="00E25CC6" w:rsidP="00980AA6">
      <w:r w:rsidRPr="00980AA6">
        <w:t>Substantial upgrades will be made to three existing rooming houses in Ascot Vale, Flemington and St Kilda to improve safety and welfare for residents.</w:t>
      </w:r>
      <w:r>
        <w:t xml:space="preserve"> </w:t>
      </w:r>
      <w:r w:rsidRPr="00980AA6">
        <w:t>The upgrades will see the conversion of rooming houses with shared facilities into up</w:t>
      </w:r>
      <w:r>
        <w:t>dated community housing properties</w:t>
      </w:r>
      <w:r w:rsidRPr="00980AA6">
        <w:t xml:space="preserve"> with full security and self</w:t>
      </w:r>
      <w:r>
        <w:noBreakHyphen/>
      </w:r>
      <w:r w:rsidRPr="00980AA6">
        <w:t>contained accommodation.</w:t>
      </w:r>
    </w:p>
    <w:p w:rsidR="00E25CC6" w:rsidRPr="00980AA6" w:rsidRDefault="00E25CC6" w:rsidP="00980AA6">
      <w:pPr>
        <w:rPr>
          <w:i/>
        </w:rPr>
      </w:pPr>
      <w:r w:rsidRPr="00980AA6">
        <w:t>This initiative delivers on the Government</w:t>
      </w:r>
      <w:r>
        <w:t>’</w:t>
      </w:r>
      <w:r w:rsidRPr="00980AA6">
        <w:t xml:space="preserve">s election commitment as published in </w:t>
      </w:r>
      <w:r w:rsidRPr="00553994">
        <w:t>Labor</w:t>
      </w:r>
      <w:r>
        <w:t>’</w:t>
      </w:r>
      <w:r w:rsidRPr="00553994">
        <w:t>s Financial Statement 2014</w:t>
      </w:r>
      <w:r w:rsidRPr="00B012E1">
        <w:rPr>
          <w:i/>
        </w:rPr>
        <w:t>.</w:t>
      </w:r>
    </w:p>
    <w:p w:rsidR="00E25CC6" w:rsidRPr="00980AA6" w:rsidRDefault="00E25CC6" w:rsidP="00980AA6">
      <w:r w:rsidRPr="00980AA6">
        <w:t>This initiative contributes to the Department of Health and Human Services</w:t>
      </w:r>
      <w:r>
        <w:t>’</w:t>
      </w:r>
      <w:r w:rsidRPr="00980AA6">
        <w:t xml:space="preserve"> Housing Assistance output.</w:t>
      </w:r>
    </w:p>
    <w:p w:rsidR="00E25CC6" w:rsidRDefault="00E25CC6">
      <w:pPr>
        <w:spacing w:after="0"/>
        <w:rPr>
          <w:rFonts w:ascii="Calibri" w:hAnsi="Calibri"/>
          <w:i/>
          <w:sz w:val="24"/>
          <w:szCs w:val="22"/>
        </w:rPr>
      </w:pPr>
      <w:r>
        <w:br w:type="page"/>
      </w:r>
    </w:p>
    <w:p w:rsidR="00E25CC6" w:rsidRPr="00980AA6" w:rsidRDefault="00E25CC6" w:rsidP="00BF1480">
      <w:pPr>
        <w:pStyle w:val="Heading4"/>
      </w:pPr>
      <w:r w:rsidRPr="00980AA6">
        <w:t>Mental Health</w:t>
      </w:r>
    </w:p>
    <w:p w:rsidR="00E25CC6" w:rsidRPr="00980AA6" w:rsidRDefault="00E25CC6" w:rsidP="0062053D">
      <w:pPr>
        <w:pStyle w:val="Heading5"/>
      </w:pPr>
      <w:r w:rsidRPr="00980AA6">
        <w:t>Monash Medical Centre (Clayton)</w:t>
      </w:r>
      <w:r>
        <w:t xml:space="preserve"> – </w:t>
      </w:r>
      <w:r w:rsidRPr="00980AA6">
        <w:t>Early in Life Mental Health Service</w:t>
      </w:r>
    </w:p>
    <w:p w:rsidR="00E25CC6" w:rsidRPr="00980AA6" w:rsidRDefault="00E25CC6" w:rsidP="00980AA6">
      <w:r w:rsidRPr="00980AA6">
        <w:t>A new purpose built mental health unit will be co</w:t>
      </w:r>
      <w:r>
        <w:noBreakHyphen/>
      </w:r>
      <w:r w:rsidRPr="00980AA6">
        <w:t>located and integrated with the new Monash Children</w:t>
      </w:r>
      <w:r>
        <w:t>’</w:t>
      </w:r>
      <w:r w:rsidRPr="00980AA6">
        <w:t>s Hospital in Clayton.</w:t>
      </w:r>
      <w:r>
        <w:t xml:space="preserve"> </w:t>
      </w:r>
      <w:r w:rsidRPr="00980AA6">
        <w:t>The new facility will deliver specialist assessment and treatment mental health services for children and young adults up to 25</w:t>
      </w:r>
      <w:r>
        <w:t> </w:t>
      </w:r>
      <w:r w:rsidRPr="00980AA6">
        <w:t>years of age including inpatient beds, community treatment and intensive and specialist care.</w:t>
      </w:r>
      <w:r>
        <w:t xml:space="preserve"> </w:t>
      </w:r>
    </w:p>
    <w:p w:rsidR="00E25CC6" w:rsidRDefault="00E25CC6" w:rsidP="00980AA6">
      <w:r w:rsidRPr="00980AA6">
        <w:t>This initiative contributes to the Department of Health and Human Service</w:t>
      </w:r>
      <w:r>
        <w:t>’</w:t>
      </w:r>
      <w:r w:rsidRPr="00980AA6">
        <w:t>s Clinical Care output.</w:t>
      </w:r>
      <w:r>
        <w:t xml:space="preserve"> </w:t>
      </w:r>
      <w:r>
        <w:fldChar w:fldCharType="begin"/>
      </w:r>
      <w:r>
        <w:instrText xml:space="preserve"> XE "</w:instrText>
      </w:r>
      <w:r w:rsidRPr="009852AE">
        <w:instrText>Department of Health and Human Services:Mental Health</w:instrText>
      </w:r>
      <w:r>
        <w:instrText xml:space="preserve">" </w:instrText>
      </w:r>
      <w:r>
        <w:fldChar w:fldCharType="end"/>
      </w:r>
      <w:r>
        <w:t xml:space="preserve"> </w:t>
      </w:r>
      <w:r>
        <w:fldChar w:fldCharType="begin"/>
      </w:r>
      <w:r>
        <w:instrText xml:space="preserve"> XE "</w:instrText>
      </w:r>
      <w:r w:rsidRPr="007810D7">
        <w:instrText>Mental Health</w:instrText>
      </w:r>
      <w:r>
        <w:instrText xml:space="preserve">" </w:instrText>
      </w:r>
      <w:r>
        <w:fldChar w:fldCharType="end"/>
      </w:r>
    </w:p>
    <w:p w:rsidR="00E25CC6" w:rsidRDefault="00E25CC6" w:rsidP="00AC5F7F">
      <w:pPr>
        <w:keepNext/>
        <w:tabs>
          <w:tab w:val="left" w:pos="504"/>
        </w:tabs>
        <w:autoSpaceDE w:val="0"/>
        <w:autoSpaceDN w:val="0"/>
        <w:adjustRightInd w:val="0"/>
        <w:spacing w:before="120"/>
        <w:rPr>
          <w:rFonts w:ascii="Calibri" w:hAnsi="Calibri" w:cs="Calibri"/>
          <w:b/>
          <w:bCs/>
          <w:color w:val="000000"/>
          <w:szCs w:val="22"/>
          <w:lang w:eastAsia="en-AU"/>
        </w:rPr>
      </w:pPr>
      <w:r>
        <w:rPr>
          <w:rFonts w:ascii="Calibri" w:hAnsi="Calibri" w:cs="Calibri"/>
          <w:b/>
          <w:bCs/>
          <w:color w:val="000000"/>
          <w:szCs w:val="22"/>
          <w:lang w:eastAsia="en-AU"/>
        </w:rPr>
        <w:t>Orygen Youth Mental Health</w:t>
      </w:r>
    </w:p>
    <w:p w:rsidR="00E25CC6" w:rsidRDefault="00E25CC6" w:rsidP="00AC5F7F">
      <w:pPr>
        <w:autoSpaceDE w:val="0"/>
        <w:autoSpaceDN w:val="0"/>
        <w:adjustRightInd w:val="0"/>
        <w:rPr>
          <w:rFonts w:cs="Garamond"/>
          <w:color w:val="000000"/>
          <w:szCs w:val="22"/>
          <w:lang w:eastAsia="en-AU"/>
        </w:rPr>
      </w:pPr>
      <w:r>
        <w:rPr>
          <w:rFonts w:cs="Garamond"/>
          <w:color w:val="000000"/>
          <w:szCs w:val="22"/>
          <w:lang w:eastAsia="en-AU"/>
        </w:rPr>
        <w:t xml:space="preserve">The Government will rebuild Orygen Youth Mental Health, a major clinical and research facility for young people across Victoria with serious mental illness. This will house both Orygen Youth Mental Health Services’ Clinical Program, and Orygen, the National Centre of Excellence in Youth Mental Health, combining clinical, education and training, and research services. </w:t>
      </w:r>
    </w:p>
    <w:p w:rsidR="00E25CC6" w:rsidRDefault="00E25CC6" w:rsidP="00AC5F7F">
      <w:pPr>
        <w:autoSpaceDE w:val="0"/>
        <w:autoSpaceDN w:val="0"/>
        <w:adjustRightInd w:val="0"/>
        <w:rPr>
          <w:rFonts w:cs="Garamond"/>
          <w:color w:val="000000"/>
          <w:szCs w:val="22"/>
          <w:lang w:eastAsia="en-AU"/>
        </w:rPr>
      </w:pPr>
      <w:r>
        <w:rPr>
          <w:rFonts w:cs="Garamond"/>
          <w:color w:val="000000"/>
          <w:szCs w:val="22"/>
          <w:lang w:eastAsia="en-AU"/>
        </w:rPr>
        <w:t xml:space="preserve">This initiative delivers on the Government’s election commitment as published in </w:t>
      </w:r>
      <w:r w:rsidRPr="00553994">
        <w:rPr>
          <w:rFonts w:cs="Garamond"/>
          <w:color w:val="000000"/>
          <w:szCs w:val="22"/>
          <w:lang w:eastAsia="en-AU"/>
        </w:rPr>
        <w:t>Labor</w:t>
      </w:r>
      <w:r>
        <w:rPr>
          <w:rFonts w:cs="Garamond"/>
          <w:color w:val="000000"/>
          <w:szCs w:val="22"/>
          <w:lang w:eastAsia="en-AU"/>
        </w:rPr>
        <w:t>’</w:t>
      </w:r>
      <w:r w:rsidRPr="00553994">
        <w:rPr>
          <w:rFonts w:cs="Garamond"/>
          <w:color w:val="000000"/>
          <w:szCs w:val="22"/>
          <w:lang w:eastAsia="en-AU"/>
        </w:rPr>
        <w:t>s Financial Statement 2014</w:t>
      </w:r>
      <w:r>
        <w:rPr>
          <w:rFonts w:cs="Garamond"/>
          <w:color w:val="000000"/>
          <w:szCs w:val="22"/>
          <w:lang w:eastAsia="en-AU"/>
        </w:rPr>
        <w:t>.</w:t>
      </w:r>
    </w:p>
    <w:p w:rsidR="00E25CC6" w:rsidRPr="00980AA6" w:rsidRDefault="00E25CC6" w:rsidP="00AC5F7F">
      <w:r>
        <w:rPr>
          <w:rFonts w:cs="Garamond"/>
          <w:color w:val="000000"/>
          <w:szCs w:val="22"/>
          <w:lang w:eastAsia="en-AU"/>
        </w:rPr>
        <w:t>This initiative contributes to the Department of Health and Human Services’ Clinical Care output.</w:t>
      </w:r>
    </w:p>
    <w:p w:rsidR="00E25CC6" w:rsidRPr="00980AA6" w:rsidRDefault="00E25CC6" w:rsidP="0062053D">
      <w:pPr>
        <w:pStyle w:val="Heading5"/>
        <w:rPr>
          <w:rFonts w:asciiTheme="minorHAnsi" w:hAnsiTheme="minorHAnsi"/>
        </w:rPr>
      </w:pPr>
      <w:r w:rsidRPr="00980AA6">
        <w:rPr>
          <w:rFonts w:asciiTheme="minorHAnsi" w:hAnsiTheme="minorHAnsi"/>
        </w:rPr>
        <w:t xml:space="preserve">Statewide </w:t>
      </w:r>
      <w:r w:rsidRPr="00980AA6">
        <w:t>Child and Family Mental Health Intensive Treatment Centre</w:t>
      </w:r>
    </w:p>
    <w:p w:rsidR="00E25CC6" w:rsidRPr="00980AA6" w:rsidRDefault="00E25CC6" w:rsidP="007C56BA">
      <w:r>
        <w:t>A new centre</w:t>
      </w:r>
      <w:r w:rsidRPr="00980AA6">
        <w:t xml:space="preserve"> will</w:t>
      </w:r>
      <w:r>
        <w:t xml:space="preserve"> be established to </w:t>
      </w:r>
      <w:r w:rsidRPr="00980AA6">
        <w:t>house three independent living units able to accommodate up to 12</w:t>
      </w:r>
      <w:r>
        <w:t> </w:t>
      </w:r>
      <w:r w:rsidRPr="00980AA6">
        <w:t xml:space="preserve">people, </w:t>
      </w:r>
      <w:r>
        <w:t>including children and families. This will increase</w:t>
      </w:r>
      <w:r w:rsidRPr="00980AA6">
        <w:t xml:space="preserve"> the range and number of safe, flexible and responsive mental health services available to children with significant trauma and social stress and their families.</w:t>
      </w:r>
    </w:p>
    <w:p w:rsidR="00E25CC6" w:rsidRPr="00E43E67" w:rsidRDefault="00E25CC6" w:rsidP="00E43E67">
      <w:r w:rsidRPr="00980AA6">
        <w:t>This initiative contributes to the Department of Health and Human Services</w:t>
      </w:r>
      <w:r>
        <w:t>’</w:t>
      </w:r>
      <w:r w:rsidRPr="00980AA6">
        <w:t xml:space="preserve"> Clinical Care output.</w:t>
      </w:r>
    </w:p>
    <w:p w:rsidR="00E25CC6" w:rsidRDefault="00E25CC6" w:rsidP="00AB4ACE">
      <w:pPr>
        <w:pStyle w:val="Heading5"/>
        <w:rPr>
          <w:lang w:eastAsia="en-AU"/>
        </w:rPr>
      </w:pPr>
      <w:r>
        <w:rPr>
          <w:lang w:eastAsia="en-AU"/>
        </w:rPr>
        <w:t>Women’s Prevention and Recovery Care (PARC) Service</w:t>
      </w:r>
    </w:p>
    <w:p w:rsidR="00E25CC6" w:rsidRDefault="00E25CC6" w:rsidP="00AB4ACE">
      <w:pPr>
        <w:rPr>
          <w:lang w:eastAsia="en-AU"/>
        </w:rPr>
      </w:pPr>
      <w:r>
        <w:rPr>
          <w:lang w:eastAsia="en-AU"/>
        </w:rPr>
        <w:t xml:space="preserve">A 12 bedroom facility for women, capable of also accommodating up to three young dependent children, will increase the range and number of services available to people with a mental illness and their families. This will ensure that women with an acute mental illness in the north and west of Melbourne, and their dependents, have access to a flexible, safe and appropriate facility for short stay periods. </w:t>
      </w:r>
    </w:p>
    <w:p w:rsidR="00E25CC6" w:rsidRPr="00CD2DE0" w:rsidRDefault="00E25CC6" w:rsidP="00AB4ACE">
      <w:r>
        <w:rPr>
          <w:lang w:eastAsia="en-AU"/>
        </w:rPr>
        <w:t>This initiative contributes to the Department of Health and Human Services’ Clinical Care output.</w:t>
      </w:r>
    </w:p>
    <w:p w:rsidR="00E25CC6" w:rsidRDefault="00E25CC6">
      <w:pPr>
        <w:spacing w:after="0"/>
        <w:rPr>
          <w:rFonts w:ascii="Calibri" w:hAnsi="Calibri"/>
          <w:i/>
          <w:sz w:val="24"/>
          <w:szCs w:val="22"/>
        </w:rPr>
      </w:pPr>
      <w:r>
        <w:br w:type="page"/>
      </w:r>
    </w:p>
    <w:p w:rsidR="00E25CC6" w:rsidRDefault="00E25CC6" w:rsidP="006167A7">
      <w:pPr>
        <w:pStyle w:val="Heading4"/>
      </w:pPr>
      <w:r>
        <w:t>Youth Services and Youth Justice</w:t>
      </w:r>
    </w:p>
    <w:p w:rsidR="00E25CC6" w:rsidRDefault="00E25CC6" w:rsidP="006167A7">
      <w:pPr>
        <w:pStyle w:val="Heading5"/>
        <w:rPr>
          <w:lang w:eastAsia="en-AU"/>
        </w:rPr>
      </w:pPr>
      <w:r>
        <w:rPr>
          <w:lang w:eastAsia="en-AU"/>
        </w:rPr>
        <w:t xml:space="preserve">Strengthening Security and Safety Compliance in Secure Services </w:t>
      </w:r>
    </w:p>
    <w:p w:rsidR="00E25CC6" w:rsidRDefault="00E25CC6" w:rsidP="006167A7">
      <w:pPr>
        <w:rPr>
          <w:lang w:eastAsia="en-AU"/>
        </w:rPr>
      </w:pPr>
      <w:r>
        <w:rPr>
          <w:lang w:eastAsia="en-AU"/>
        </w:rPr>
        <w:t>The Government will improve security and safety across Youth Justice and Secure Welfare Services by funding strengthening works, upgrades and refurbishments.</w:t>
      </w:r>
    </w:p>
    <w:p w:rsidR="00E25CC6" w:rsidRPr="00980AA6" w:rsidRDefault="00E25CC6" w:rsidP="006167A7">
      <w:r>
        <w:rPr>
          <w:lang w:eastAsia="en-AU"/>
        </w:rPr>
        <w:t>This initiative contributes to the Department of Health and Human Services’ Youth Justice Custodial Services output.</w:t>
      </w:r>
      <w:r>
        <w:rPr>
          <w:lang w:eastAsia="en-AU"/>
        </w:rPr>
        <w:fldChar w:fldCharType="begin"/>
      </w:r>
      <w:r>
        <w:instrText xml:space="preserve"> XE "</w:instrText>
      </w:r>
      <w:r w:rsidRPr="007810D7">
        <w:instrText>Youth Services and Youth Justice</w:instrText>
      </w:r>
      <w:r>
        <w:instrText xml:space="preserve">" </w:instrText>
      </w:r>
      <w:r>
        <w:rPr>
          <w:lang w:eastAsia="en-AU"/>
        </w:rPr>
        <w:fldChar w:fldCharType="end"/>
      </w:r>
      <w:r>
        <w:rPr>
          <w:lang w:eastAsia="en-AU"/>
        </w:rPr>
        <w:fldChar w:fldCharType="begin"/>
      </w:r>
      <w:r>
        <w:instrText xml:space="preserve"> XE "</w:instrText>
      </w:r>
      <w:r w:rsidRPr="00260774">
        <w:instrText>Department of Health and Human Services:Youth Services and Youth Justice</w:instrText>
      </w:r>
      <w:r>
        <w:instrText xml:space="preserve">" </w:instrText>
      </w:r>
      <w:r>
        <w:rPr>
          <w:lang w:eastAsia="en-AU"/>
        </w:rPr>
        <w:fldChar w:fldCharType="end"/>
      </w:r>
    </w:p>
    <w:p w:rsidR="00E25CC6" w:rsidRDefault="00E25CC6">
      <w:pPr>
        <w:spacing w:after="0"/>
        <w:rPr>
          <w:rFonts w:ascii="Calibri" w:hAnsi="Calibri"/>
          <w:b/>
          <w:caps/>
          <w:sz w:val="26"/>
          <w:szCs w:val="22"/>
        </w:rPr>
      </w:pPr>
      <w:r>
        <w:br w:type="page"/>
      </w:r>
    </w:p>
    <w:p w:rsidR="00E25CC6" w:rsidRPr="00F16216" w:rsidRDefault="00E25CC6" w:rsidP="00FA2145">
      <w:pPr>
        <w:pStyle w:val="Heading1"/>
      </w:pPr>
      <w:bookmarkStart w:id="40" w:name="_Toc449109430"/>
      <w:r w:rsidRPr="00F16216">
        <w:t>Department of Justice and Regulation</w:t>
      </w:r>
      <w:bookmarkEnd w:id="40"/>
      <w:r w:rsidRPr="00F16216">
        <w:t xml:space="preserve"> </w:t>
      </w:r>
    </w:p>
    <w:p w:rsidR="00E25CC6" w:rsidRDefault="00E25CC6" w:rsidP="004C531E">
      <w:pPr>
        <w:pStyle w:val="Heading3"/>
      </w:pPr>
      <w:r>
        <w:t xml:space="preserve">Output initiatives </w:t>
      </w:r>
    </w:p>
    <w:p w:rsidR="00E25CC6" w:rsidRPr="003B15A1" w:rsidRDefault="00E25CC6" w:rsidP="003B15A1">
      <w:pPr>
        <w:pStyle w:val="Tableheading"/>
      </w:pPr>
      <w:r>
        <w:t>Table 1.20:</w:t>
      </w:r>
      <w:r>
        <w:tab/>
        <w:t>Output initiatives – Department of Justice and Regulation</w:t>
      </w:r>
    </w:p>
    <w:p w:rsidR="00E25CC6" w:rsidRDefault="00E25CC6" w:rsidP="009B036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48"/>
        <w:gridCol w:w="845"/>
        <w:gridCol w:w="846"/>
        <w:gridCol w:w="845"/>
        <w:gridCol w:w="266"/>
        <w:gridCol w:w="283"/>
        <w:gridCol w:w="283"/>
        <w:gridCol w:w="14"/>
        <w:gridCol w:w="269"/>
        <w:gridCol w:w="283"/>
        <w:gridCol w:w="283"/>
        <w:gridCol w:w="11"/>
      </w:tblGrid>
      <w:tr w:rsidR="00E25CC6" w:rsidRPr="009B0368" w:rsidTr="002407C6">
        <w:trPr>
          <w:cantSplit/>
          <w:tblHeader/>
        </w:trPr>
        <w:tc>
          <w:tcPr>
            <w:tcW w:w="3548" w:type="dxa"/>
            <w:tcBorders>
              <w:top w:val="single" w:sz="4" w:space="0" w:color="auto"/>
              <w:left w:val="single" w:sz="4" w:space="0" w:color="auto"/>
              <w:bottom w:val="single" w:sz="4" w:space="0" w:color="auto"/>
              <w:right w:val="nil"/>
            </w:tcBorders>
            <w:shd w:val="clear" w:color="auto" w:fill="000000"/>
          </w:tcPr>
          <w:p w:rsidR="00E25CC6" w:rsidRPr="009B0368" w:rsidRDefault="00E25CC6" w:rsidP="009B0368">
            <w:pPr>
              <w:pStyle w:val="Tabletext"/>
              <w:rPr>
                <w:rFonts w:eastAsiaTheme="minorEastAsia"/>
                <w:lang w:eastAsia="en-AU"/>
              </w:rPr>
            </w:pPr>
            <w:r>
              <w:rPr>
                <w:rFonts w:eastAsiaTheme="minorEastAsia"/>
                <w:lang w:eastAsia="en-AU"/>
              </w:rPr>
              <w:t xml:space="preserve"> </w:t>
            </w:r>
          </w:p>
        </w:tc>
        <w:tc>
          <w:tcPr>
            <w:tcW w:w="845"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2015</w:t>
            </w:r>
            <w:r>
              <w:rPr>
                <w:rFonts w:eastAsiaTheme="minorEastAsia"/>
                <w:lang w:eastAsia="en-AU"/>
              </w:rPr>
              <w:noBreakHyphen/>
            </w:r>
            <w:r w:rsidRPr="009B0368">
              <w:rPr>
                <w:rFonts w:eastAsiaTheme="minorEastAsia"/>
                <w:lang w:eastAsia="en-AU"/>
              </w:rPr>
              <w:t>16</w:t>
            </w:r>
          </w:p>
        </w:tc>
        <w:tc>
          <w:tcPr>
            <w:tcW w:w="846"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2016</w:t>
            </w:r>
            <w:r>
              <w:rPr>
                <w:rFonts w:eastAsiaTheme="minorEastAsia"/>
                <w:lang w:eastAsia="en-AU"/>
              </w:rPr>
              <w:noBreakHyphen/>
            </w:r>
            <w:r w:rsidRPr="009B0368">
              <w:rPr>
                <w:rFonts w:eastAsiaTheme="minorEastAsia"/>
                <w:lang w:eastAsia="en-AU"/>
              </w:rPr>
              <w:t>17</w:t>
            </w:r>
          </w:p>
        </w:tc>
        <w:tc>
          <w:tcPr>
            <w:tcW w:w="845"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2017</w:t>
            </w:r>
            <w:r>
              <w:rPr>
                <w:rFonts w:eastAsiaTheme="minorEastAsia"/>
                <w:lang w:eastAsia="en-AU"/>
              </w:rPr>
              <w:noBreakHyphen/>
            </w:r>
            <w:r w:rsidRPr="009B0368">
              <w:rPr>
                <w:rFonts w:eastAsiaTheme="minorEastAsia"/>
                <w:lang w:eastAsia="en-AU"/>
              </w:rPr>
              <w:t>18</w:t>
            </w:r>
          </w:p>
        </w:tc>
        <w:tc>
          <w:tcPr>
            <w:tcW w:w="846" w:type="dxa"/>
            <w:gridSpan w:val="4"/>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2018</w:t>
            </w:r>
            <w:r>
              <w:rPr>
                <w:rFonts w:eastAsiaTheme="minorEastAsia"/>
                <w:lang w:eastAsia="en-AU"/>
              </w:rPr>
              <w:noBreakHyphen/>
            </w:r>
            <w:r w:rsidRPr="009B0368">
              <w:rPr>
                <w:rFonts w:eastAsiaTheme="minorEastAsia"/>
                <w:lang w:eastAsia="en-AU"/>
              </w:rPr>
              <w:t>19</w:t>
            </w:r>
          </w:p>
        </w:tc>
        <w:tc>
          <w:tcPr>
            <w:tcW w:w="846" w:type="dxa"/>
            <w:gridSpan w:val="4"/>
            <w:tcBorders>
              <w:top w:val="single" w:sz="4" w:space="0" w:color="auto"/>
              <w:left w:val="nil"/>
              <w:bottom w:val="single" w:sz="4" w:space="0" w:color="auto"/>
              <w:right w:val="single" w:sz="4" w:space="0" w:color="auto"/>
            </w:tcBorders>
            <w:shd w:val="clear" w:color="auto" w:fill="000000"/>
          </w:tcPr>
          <w:p w:rsidR="00E25CC6" w:rsidRPr="009B0368" w:rsidRDefault="00E25CC6" w:rsidP="009B0368">
            <w:pPr>
              <w:pStyle w:val="Tabletextheading"/>
              <w:rPr>
                <w:rFonts w:eastAsiaTheme="minorEastAsia" w:cs="Calibri"/>
                <w:iCs/>
                <w:lang w:eastAsia="en-AU"/>
              </w:rPr>
            </w:pPr>
            <w:r w:rsidRPr="009B0368">
              <w:rPr>
                <w:rFonts w:eastAsiaTheme="minorEastAsia" w:cs="Calibri"/>
                <w:iCs/>
                <w:lang w:eastAsia="en-AU"/>
              </w:rPr>
              <w:t>2019</w:t>
            </w:r>
            <w:r>
              <w:rPr>
                <w:rFonts w:eastAsiaTheme="minorEastAsia" w:cs="Calibri"/>
                <w:iCs/>
                <w:lang w:eastAsia="en-AU"/>
              </w:rPr>
              <w:noBreakHyphen/>
            </w:r>
            <w:r w:rsidRPr="009B0368">
              <w:rPr>
                <w:rFonts w:eastAsiaTheme="minorEastAsia" w:cs="Calibri"/>
                <w:iCs/>
                <w:lang w:eastAsia="en-AU"/>
              </w:rPr>
              <w:t>20</w:t>
            </w:r>
          </w:p>
        </w:tc>
      </w:tr>
      <w:tr w:rsidR="00E25CC6" w:rsidRPr="009B0368" w:rsidTr="002407C6">
        <w:trPr>
          <w:cantSplit/>
        </w:trPr>
        <w:tc>
          <w:tcPr>
            <w:tcW w:w="3548" w:type="dxa"/>
            <w:tcBorders>
              <w:top w:val="single" w:sz="4" w:space="0" w:color="auto"/>
              <w:left w:val="nil"/>
              <w:bottom w:val="nil"/>
              <w:right w:val="nil"/>
            </w:tcBorders>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Criminal Justice Services</w:t>
            </w:r>
          </w:p>
        </w:tc>
        <w:tc>
          <w:tcPr>
            <w:tcW w:w="845"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5"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gridSpan w:val="4"/>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gridSpan w:val="4"/>
            <w:tcBorders>
              <w:top w:val="single" w:sz="4" w:space="0" w:color="auto"/>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Employment Law Service</w:t>
            </w:r>
            <w:r>
              <w:rPr>
                <w:rFonts w:eastAsiaTheme="minorEastAsia"/>
                <w:color w:val="000000"/>
                <w:lang w:eastAsia="en-AU"/>
              </w:rPr>
              <w:t xml:space="preserve"> – </w:t>
            </w:r>
            <w:r w:rsidRPr="009B0368">
              <w:rPr>
                <w:rFonts w:eastAsiaTheme="minorEastAsia"/>
                <w:color w:val="000000"/>
                <w:lang w:eastAsia="en-AU"/>
              </w:rPr>
              <w:t xml:space="preserve">JobWatch </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0.4</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Emergency Management</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Emergency Medical Response expansion</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6.1</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9.7</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10.8</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9.4</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 xml:space="preserve">Emergency Services Telecommunication Authority (ESTA) – growth funding </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25.0</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33.0</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 xml:space="preserve">Fiskville and Regional Victorian Emergency Management Training Centres Remediation </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33.9</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22.6</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4.8</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3.8</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Fiskville Transition Program</w:t>
            </w:r>
            <w:r>
              <w:rPr>
                <w:rFonts w:eastAsiaTheme="minorEastAsia"/>
                <w:color w:val="000000"/>
                <w:lang w:eastAsia="en-AU"/>
              </w:rPr>
              <w:t xml:space="preserve"> – </w:t>
            </w:r>
            <w:r w:rsidRPr="009B0368">
              <w:rPr>
                <w:rFonts w:eastAsiaTheme="minorEastAsia"/>
                <w:color w:val="000000"/>
                <w:lang w:eastAsia="en-AU"/>
              </w:rPr>
              <w:t>New Training Facilities</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1.3</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1.3</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1.4</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1.4</w:t>
            </w:r>
          </w:p>
        </w:tc>
      </w:tr>
      <w:tr w:rsidR="00E25CC6" w:rsidRPr="009B0368" w:rsidTr="002407C6">
        <w:trPr>
          <w:cantSplit/>
        </w:trPr>
        <w:tc>
          <w:tcPr>
            <w:tcW w:w="3548"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Life Saving Victoria Clubhouse Redevelopments</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6.0</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gridAfter w:val="1"/>
          <w:wAfter w:w="11" w:type="dxa"/>
          <w:cantSplit/>
        </w:trPr>
        <w:tc>
          <w:tcPr>
            <w:tcW w:w="6350" w:type="dxa"/>
            <w:gridSpan w:val="5"/>
            <w:tcBorders>
              <w:top w:val="nil"/>
              <w:left w:val="nil"/>
              <w:bottom w:val="nil"/>
              <w:right w:val="nil"/>
            </w:tcBorders>
            <w:shd w:val="solid" w:color="FFFFFF" w:fill="auto"/>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Enforcing and Managing Correctional Orders</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gridSpan w:val="2"/>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w:t>
            </w:r>
          </w:p>
        </w:tc>
      </w:tr>
      <w:tr w:rsidR="00E25CC6" w:rsidRPr="009B0368" w:rsidTr="002407C6">
        <w:trPr>
          <w:cantSplit/>
        </w:trPr>
        <w:tc>
          <w:tcPr>
            <w:tcW w:w="3548"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Community Corrections – Contributing to a safer community</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33.8</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47.2</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53.9</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66.5</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Corrections Remand upgrades</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4.6</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5.1</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5.3</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5.4</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 xml:space="preserve">Management of Serious Sex Offenders </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5.8</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6.9</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10.2</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10.5</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Specialist Corrections programs</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1.5</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cantSplit/>
        </w:trPr>
        <w:tc>
          <w:tcPr>
            <w:tcW w:w="3548" w:type="dxa"/>
            <w:tcBorders>
              <w:top w:val="nil"/>
              <w:left w:val="nil"/>
              <w:bottom w:val="nil"/>
              <w:right w:val="nil"/>
            </w:tcBorders>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Policing and Crime Prevention</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w:t>
            </w:r>
          </w:p>
        </w:tc>
      </w:tr>
      <w:tr w:rsidR="00E25CC6" w:rsidRPr="009B0368" w:rsidTr="002407C6">
        <w:trPr>
          <w:cantSplit/>
        </w:trPr>
        <w:tc>
          <w:tcPr>
            <w:tcW w:w="3548"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Improving Victoria Police</w:t>
            </w:r>
            <w:r>
              <w:rPr>
                <w:rFonts w:eastAsiaTheme="minorEastAsia"/>
                <w:color w:val="000000"/>
                <w:lang w:eastAsia="en-AU"/>
              </w:rPr>
              <w:t>’</w:t>
            </w:r>
            <w:r w:rsidRPr="009B0368">
              <w:rPr>
                <w:rFonts w:eastAsiaTheme="minorEastAsia"/>
                <w:color w:val="000000"/>
                <w:lang w:eastAsia="en-AU"/>
              </w:rPr>
              <w:t>s mental health and wellbeing</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0.5</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Public Safety</w:t>
            </w:r>
            <w:r>
              <w:rPr>
                <w:rFonts w:eastAsiaTheme="minorEastAsia"/>
                <w:color w:val="000000"/>
                <w:lang w:eastAsia="en-AU"/>
              </w:rPr>
              <w:t xml:space="preserve"> – </w:t>
            </w:r>
            <w:r w:rsidRPr="009B0368">
              <w:rPr>
                <w:rFonts w:eastAsiaTheme="minorEastAsia"/>
                <w:color w:val="000000"/>
                <w:lang w:eastAsia="en-AU"/>
              </w:rPr>
              <w:t xml:space="preserve">Community Crime Prevention Program </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9.8</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9.6</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cantSplit/>
        </w:trPr>
        <w:tc>
          <w:tcPr>
            <w:tcW w:w="3548"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Public Safety</w:t>
            </w:r>
            <w:r>
              <w:rPr>
                <w:rFonts w:eastAsiaTheme="minorEastAsia"/>
                <w:color w:val="000000"/>
                <w:lang w:eastAsia="en-AU"/>
              </w:rPr>
              <w:t xml:space="preserve"> – </w:t>
            </w:r>
            <w:r w:rsidRPr="009B0368">
              <w:rPr>
                <w:rFonts w:eastAsiaTheme="minorEastAsia"/>
                <w:color w:val="000000"/>
                <w:lang w:eastAsia="en-AU"/>
              </w:rPr>
              <w:t>Police Response</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47.1</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112.7</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113.7</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117.2</w:t>
            </w:r>
          </w:p>
        </w:tc>
      </w:tr>
      <w:tr w:rsidR="00E25CC6" w:rsidRPr="009B0368" w:rsidTr="002407C6">
        <w:trPr>
          <w:cantSplit/>
        </w:trPr>
        <w:tc>
          <w:tcPr>
            <w:tcW w:w="3548"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Public Safety</w:t>
            </w:r>
            <w:r>
              <w:rPr>
                <w:rFonts w:eastAsiaTheme="minorEastAsia"/>
                <w:color w:val="000000"/>
                <w:lang w:eastAsia="en-AU"/>
              </w:rPr>
              <w:t xml:space="preserve"> – </w:t>
            </w:r>
            <w:r w:rsidRPr="009B0368">
              <w:rPr>
                <w:rFonts w:eastAsiaTheme="minorEastAsia"/>
                <w:color w:val="000000"/>
                <w:lang w:eastAsia="en-AU"/>
              </w:rPr>
              <w:t>Regional and Rural Police Stations</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1.8</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1.9</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2.0</w:t>
            </w:r>
          </w:p>
        </w:tc>
      </w:tr>
      <w:tr w:rsidR="00E25CC6" w:rsidRPr="009B0368" w:rsidTr="002407C6">
        <w:trPr>
          <w:cantSplit/>
        </w:trPr>
        <w:tc>
          <w:tcPr>
            <w:tcW w:w="354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Strengthening Victoria Police</w:t>
            </w:r>
            <w:r>
              <w:rPr>
                <w:rFonts w:eastAsiaTheme="minorEastAsia"/>
                <w:color w:val="000000"/>
                <w:lang w:eastAsia="en-AU"/>
              </w:rPr>
              <w:t>’</w:t>
            </w:r>
            <w:r w:rsidRPr="009B0368">
              <w:rPr>
                <w:rFonts w:eastAsiaTheme="minorEastAsia"/>
                <w:color w:val="000000"/>
                <w:lang w:eastAsia="en-AU"/>
              </w:rPr>
              <w:t>s Counter – Terrorism Capacity and Capability</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9.3</w:t>
            </w:r>
          </w:p>
        </w:tc>
        <w:tc>
          <w:tcPr>
            <w:tcW w:w="846"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12.0</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12.8</w:t>
            </w:r>
          </w:p>
        </w:tc>
        <w:tc>
          <w:tcPr>
            <w:tcW w:w="846"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13.2</w:t>
            </w:r>
          </w:p>
        </w:tc>
        <w:tc>
          <w:tcPr>
            <w:tcW w:w="846"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13.6</w:t>
            </w:r>
          </w:p>
        </w:tc>
      </w:tr>
      <w:tr w:rsidR="00E25CC6" w:rsidRPr="009B0368" w:rsidTr="002407C6">
        <w:trPr>
          <w:cantSplit/>
        </w:trPr>
        <w:tc>
          <w:tcPr>
            <w:tcW w:w="3548"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text"/>
              <w:rPr>
                <w:rFonts w:eastAsiaTheme="minorEastAsia"/>
                <w:b/>
                <w:bCs/>
                <w:color w:val="000000"/>
                <w:vertAlign w:val="superscript"/>
                <w:lang w:eastAsia="en-AU"/>
              </w:rPr>
            </w:pPr>
            <w:r w:rsidRPr="009B0368">
              <w:rPr>
                <w:rFonts w:eastAsiaTheme="minorEastAsia"/>
                <w:b/>
                <w:bCs/>
                <w:color w:val="000000"/>
                <w:lang w:eastAsia="en-AU"/>
              </w:rPr>
              <w:t xml:space="preserve">Total output initiatives </w:t>
            </w:r>
            <w:r w:rsidRPr="009B0368">
              <w:rPr>
                <w:rFonts w:eastAsiaTheme="minorEastAsia"/>
                <w:b/>
                <w:bCs/>
                <w:color w:val="000000"/>
                <w:vertAlign w:val="superscript"/>
                <w:lang w:eastAsia="en-AU"/>
              </w:rPr>
              <w:t>(a)</w:t>
            </w:r>
          </w:p>
        </w:tc>
        <w:tc>
          <w:tcPr>
            <w:tcW w:w="845"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35.3</w:t>
            </w:r>
          </w:p>
        </w:tc>
        <w:tc>
          <w:tcPr>
            <w:tcW w:w="846"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195.8</w:t>
            </w:r>
          </w:p>
        </w:tc>
        <w:tc>
          <w:tcPr>
            <w:tcW w:w="845"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229.7</w:t>
            </w:r>
          </w:p>
        </w:tc>
        <w:tc>
          <w:tcPr>
            <w:tcW w:w="846" w:type="dxa"/>
            <w:gridSpan w:val="4"/>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215.1</w:t>
            </w:r>
          </w:p>
        </w:tc>
        <w:tc>
          <w:tcPr>
            <w:tcW w:w="846" w:type="dxa"/>
            <w:gridSpan w:val="4"/>
            <w:tcBorders>
              <w:top w:val="single" w:sz="6" w:space="0" w:color="auto"/>
              <w:left w:val="nil"/>
              <w:bottom w:val="single" w:sz="12" w:space="0" w:color="auto"/>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b/>
                <w:bCs/>
                <w:color w:val="000000"/>
                <w:sz w:val="20"/>
                <w:lang w:eastAsia="en-AU"/>
              </w:rPr>
            </w:pPr>
            <w:r w:rsidRPr="009B0368">
              <w:rPr>
                <w:rFonts w:ascii="Calibri" w:eastAsiaTheme="minorEastAsia" w:hAnsi="Calibri" w:cs="Calibri"/>
                <w:b/>
                <w:bCs/>
                <w:color w:val="000000"/>
                <w:sz w:val="20"/>
                <w:lang w:eastAsia="en-AU"/>
              </w:rPr>
              <w:t xml:space="preserve"> 229.7</w:t>
            </w:r>
          </w:p>
        </w:tc>
      </w:tr>
    </w:tbl>
    <w:p w:rsidR="00E25CC6" w:rsidRDefault="00E25CC6" w:rsidP="00566998">
      <w:pPr>
        <w:pStyle w:val="Source"/>
      </w:pPr>
      <w:r>
        <w:t>Source: Department of Treasury and Finance</w:t>
      </w:r>
      <w:r>
        <w:fldChar w:fldCharType="begin"/>
      </w:r>
      <w:r>
        <w:instrText xml:space="preserve"> XE "</w:instrText>
      </w:r>
      <w:r w:rsidRPr="00CB7A21">
        <w:instrText>Department of Justice and Regulation:Output initiatives</w:instrText>
      </w:r>
      <w:r>
        <w:instrText xml:space="preserve">" </w:instrText>
      </w:r>
      <w:r>
        <w:fldChar w:fldCharType="end"/>
      </w:r>
    </w:p>
    <w:p w:rsidR="00E25CC6" w:rsidRDefault="00E25CC6" w:rsidP="00566998">
      <w:pPr>
        <w:pStyle w:val="Notes"/>
      </w:pPr>
      <w:r>
        <w:t xml:space="preserve">Note: </w:t>
      </w:r>
    </w:p>
    <w:p w:rsidR="00E25CC6" w:rsidRPr="00CD63A7" w:rsidRDefault="00E25CC6" w:rsidP="00566998">
      <w:pPr>
        <w:pStyle w:val="Notes"/>
      </w:pPr>
      <w:r>
        <w:t>(a)</w:t>
      </w:r>
      <w:r>
        <w:tab/>
        <w:t>Tables may not add due to rounding.</w:t>
      </w:r>
    </w:p>
    <w:p w:rsidR="00E25CC6" w:rsidRDefault="00E25CC6">
      <w:pPr>
        <w:spacing w:after="0"/>
        <w:rPr>
          <w:rFonts w:ascii="Calibri" w:hAnsi="Calibri"/>
          <w:i/>
          <w:sz w:val="24"/>
          <w:szCs w:val="22"/>
        </w:rPr>
      </w:pPr>
      <w:r>
        <w:br w:type="page"/>
      </w:r>
    </w:p>
    <w:p w:rsidR="00E25CC6" w:rsidRDefault="00E25CC6" w:rsidP="00BF1480">
      <w:pPr>
        <w:pStyle w:val="Heading4"/>
      </w:pPr>
      <w:r>
        <w:t>Criminal Justice Services</w:t>
      </w:r>
    </w:p>
    <w:p w:rsidR="00E25CC6" w:rsidRDefault="00E25CC6" w:rsidP="00D02E75">
      <w:pPr>
        <w:pStyle w:val="Heading5"/>
      </w:pPr>
      <w:r>
        <w:t>Employment Law Service – JobWatch</w:t>
      </w:r>
    </w:p>
    <w:p w:rsidR="00E25CC6" w:rsidRDefault="00E25CC6" w:rsidP="00D02E75">
      <w:r w:rsidRPr="00647134">
        <w:t>JobWatch will continue to provide free advi</w:t>
      </w:r>
      <w:r>
        <w:t>ce to Victorian workers</w:t>
      </w:r>
      <w:r w:rsidRPr="00647134">
        <w:t>. JobWatch, which is jointly funded by</w:t>
      </w:r>
      <w:r>
        <w:t xml:space="preserve"> the Victorian and Commonwealth </w:t>
      </w:r>
      <w:r w:rsidRPr="00647134">
        <w:t>Governments, provides community education on employment law and workers</w:t>
      </w:r>
      <w:r>
        <w:t>’</w:t>
      </w:r>
      <w:r w:rsidRPr="00647134">
        <w:t xml:space="preserve"> rights, representation for workers through its legal casework practice and law reform activities.</w:t>
      </w:r>
    </w:p>
    <w:p w:rsidR="00E25CC6" w:rsidRPr="001D5206" w:rsidRDefault="00E25CC6" w:rsidP="00D02E75">
      <w:r w:rsidRPr="00647134">
        <w:t>This initiative contributes to the Department of Justice and Regulation</w:t>
      </w:r>
      <w:r>
        <w:t>’</w:t>
      </w:r>
      <w:r w:rsidRPr="00647134">
        <w:t xml:space="preserve">s </w:t>
      </w:r>
      <w:r>
        <w:t xml:space="preserve">Public Prosecutions and Legal Assistance output. </w:t>
      </w:r>
      <w:r>
        <w:fldChar w:fldCharType="begin"/>
      </w:r>
      <w:r>
        <w:instrText xml:space="preserve"> XE "</w:instrText>
      </w:r>
      <w:r w:rsidRPr="009527B4">
        <w:instrText>Department of Justice and Regulation:Criminal Justice Services</w:instrText>
      </w:r>
      <w:r>
        <w:instrText xml:space="preserve">" </w:instrText>
      </w:r>
      <w:r>
        <w:fldChar w:fldCharType="end"/>
      </w:r>
    </w:p>
    <w:p w:rsidR="00E25CC6" w:rsidRPr="004902F0" w:rsidRDefault="00E25CC6" w:rsidP="00BF1480">
      <w:pPr>
        <w:pStyle w:val="Heading4"/>
      </w:pPr>
      <w:r w:rsidRPr="00310FB7">
        <w:t xml:space="preserve">Emergency Management </w:t>
      </w:r>
    </w:p>
    <w:p w:rsidR="00E25CC6" w:rsidRPr="00C72AF7" w:rsidRDefault="00E25CC6" w:rsidP="0062053D">
      <w:pPr>
        <w:pStyle w:val="Heading5"/>
      </w:pPr>
      <w:bookmarkStart w:id="41" w:name="DJR_EmgncyMgmntCh1"/>
      <w:r>
        <w:t xml:space="preserve">Emergency Medical Response Expansion </w:t>
      </w:r>
    </w:p>
    <w:p w:rsidR="00E25CC6" w:rsidRDefault="00E25CC6" w:rsidP="00D02E75">
      <w:r>
        <w:t>Emergency medical response will be continued and expanded to 35 integrated Country Fire Authority brigades. This will enable Country Fire Authority fire fighters to be dispatched to incidents relating to cardiac arrest and non</w:t>
      </w:r>
      <w:r>
        <w:noBreakHyphen/>
        <w:t>breathing patients at the same time as paramedics to improve response times for these critical incidents.</w:t>
      </w:r>
    </w:p>
    <w:p w:rsidR="00E25CC6" w:rsidRPr="00421FA6" w:rsidRDefault="00E25CC6" w:rsidP="0095551B">
      <w:r w:rsidRPr="00421FA6">
        <w:t>This initiative delivers on the Government</w:t>
      </w:r>
      <w:r>
        <w:t>’</w:t>
      </w:r>
      <w:r w:rsidRPr="00421FA6">
        <w:t>s election commitment</w:t>
      </w:r>
      <w:r w:rsidRPr="00DC2BA0">
        <w:t>. The Fire Services Property Levy will not be increased to fund</w:t>
      </w:r>
      <w:r>
        <w:t xml:space="preserve"> this commitment</w:t>
      </w:r>
      <w:r w:rsidRPr="00421FA6">
        <w:t>.</w:t>
      </w:r>
    </w:p>
    <w:p w:rsidR="00E25CC6" w:rsidRDefault="00E25CC6" w:rsidP="00D02E75">
      <w:r>
        <w:t xml:space="preserve">This initiative contributes to the Department of Justice and Regulation’s Emergency Management Capability output. </w:t>
      </w:r>
    </w:p>
    <w:p w:rsidR="00E25CC6" w:rsidRPr="00087181" w:rsidRDefault="00E25CC6" w:rsidP="00B469F7">
      <w:pPr>
        <w:pStyle w:val="Heading5"/>
      </w:pPr>
      <w:r w:rsidRPr="00087181">
        <w:t xml:space="preserve">Emergency Services Telecommunication Authority (ESTA) – </w:t>
      </w:r>
      <w:r>
        <w:t>growth</w:t>
      </w:r>
      <w:r w:rsidRPr="00087181">
        <w:t xml:space="preserve"> funding</w:t>
      </w:r>
    </w:p>
    <w:p w:rsidR="00E25CC6" w:rsidRDefault="00E25CC6" w:rsidP="00B469F7">
      <w:r>
        <w:t>ESTA</w:t>
      </w:r>
      <w:r w:rsidRPr="00781695">
        <w:t xml:space="preserve"> will receive</w:t>
      </w:r>
      <w:r>
        <w:t xml:space="preserve"> funding to respond to growth in emergency call</w:t>
      </w:r>
      <w:r>
        <w:noBreakHyphen/>
        <w:t>taking and dispatch services, and to reform its</w:t>
      </w:r>
      <w:r w:rsidRPr="00781695">
        <w:t xml:space="preserve"> operating model</w:t>
      </w:r>
      <w:r>
        <w:t xml:space="preserve"> to meet forecast growth. A reformed </w:t>
      </w:r>
      <w:r w:rsidRPr="00781695">
        <w:t>operating model will allow ESTA to</w:t>
      </w:r>
      <w:r>
        <w:t xml:space="preserve"> improve emergency services for Victorians.</w:t>
      </w:r>
    </w:p>
    <w:p w:rsidR="00E25CC6" w:rsidRPr="00FB27B1" w:rsidRDefault="00E25CC6" w:rsidP="00FB27B1">
      <w:r w:rsidRPr="00781695">
        <w:t>This initiative contributes to the Department of Justice</w:t>
      </w:r>
      <w:r>
        <w:t>’</w:t>
      </w:r>
      <w:r w:rsidRPr="00781695">
        <w:t>s Emergency Management Capability output</w:t>
      </w:r>
      <w:r>
        <w:t>.</w:t>
      </w:r>
    </w:p>
    <w:p w:rsidR="00E25CC6" w:rsidRDefault="00E25CC6" w:rsidP="00B469F7">
      <w:pPr>
        <w:pStyle w:val="Heading5"/>
      </w:pPr>
      <w:r w:rsidRPr="00CA5572">
        <w:t>Fiskville and Regional Victorian Emergency Management Training Centres Remediation</w:t>
      </w:r>
    </w:p>
    <w:p w:rsidR="00E25CC6" w:rsidRDefault="00E25CC6" w:rsidP="00B469F7">
      <w:r w:rsidRPr="00595C5A">
        <w:t xml:space="preserve">The Fiskville Training College </w:t>
      </w:r>
      <w:r>
        <w:t xml:space="preserve">site </w:t>
      </w:r>
      <w:r w:rsidRPr="00595C5A">
        <w:t>will be decomm</w:t>
      </w:r>
      <w:r>
        <w:t>issioned and remediated, and</w:t>
      </w:r>
      <w:r w:rsidRPr="00595C5A">
        <w:t xml:space="preserve"> six </w:t>
      </w:r>
      <w:r>
        <w:t xml:space="preserve">Country Fire Authority </w:t>
      </w:r>
      <w:r w:rsidRPr="00595C5A">
        <w:t>centres will undergo environmental audits and their water management infrastructure will be upgraded.</w:t>
      </w:r>
      <w:r>
        <w:rPr>
          <w:b/>
        </w:rPr>
        <w:t xml:space="preserve"> </w:t>
      </w:r>
      <w:r w:rsidRPr="00595C5A">
        <w:t>The past use of firefighting foams in training has resulted in legacy environment</w:t>
      </w:r>
      <w:r>
        <w:t>al</w:t>
      </w:r>
      <w:r w:rsidRPr="00595C5A">
        <w:t xml:space="preserve"> issues</w:t>
      </w:r>
      <w:r>
        <w:t xml:space="preserve"> at a number of current and former Country Fire Authority training sites</w:t>
      </w:r>
      <w:r w:rsidRPr="00595C5A">
        <w:t>.</w:t>
      </w:r>
    </w:p>
    <w:p w:rsidR="00E25CC6" w:rsidRDefault="00E25CC6" w:rsidP="00B469F7">
      <w:r w:rsidRPr="00781695">
        <w:t>This initiative contributes to the Department of Justice</w:t>
      </w:r>
      <w:r>
        <w:t>’</w:t>
      </w:r>
      <w:r w:rsidRPr="00781695">
        <w:t>s Emergency Management Capability output</w:t>
      </w:r>
      <w:r>
        <w:t>.</w:t>
      </w:r>
      <w:r>
        <w:rPr>
          <w:b/>
        </w:rPr>
        <w:t xml:space="preserve"> </w:t>
      </w:r>
    </w:p>
    <w:p w:rsidR="00E25CC6" w:rsidRDefault="00E25CC6" w:rsidP="00B469F7">
      <w:pPr>
        <w:pStyle w:val="Heading5"/>
      </w:pPr>
      <w:r>
        <w:t>Fiskville Transition Program –</w:t>
      </w:r>
      <w:r w:rsidRPr="00CA5572">
        <w:t xml:space="preserve"> New Training </w:t>
      </w:r>
      <w:r>
        <w:t>Facilities</w:t>
      </w:r>
    </w:p>
    <w:p w:rsidR="00E25CC6" w:rsidRDefault="00E25CC6" w:rsidP="00B469F7">
      <w:r w:rsidRPr="000526DF">
        <w:t xml:space="preserve">Refer to the </w:t>
      </w:r>
      <w:r>
        <w:t>asset</w:t>
      </w:r>
      <w:r w:rsidRPr="000526DF">
        <w:t xml:space="preserve"> initiative for a description of this initiative.</w:t>
      </w:r>
    </w:p>
    <w:p w:rsidR="00E25CC6" w:rsidRDefault="00E25CC6">
      <w:pPr>
        <w:spacing w:after="0"/>
        <w:rPr>
          <w:rFonts w:ascii="Calibri" w:hAnsi="Calibri"/>
          <w:b/>
        </w:rPr>
      </w:pPr>
      <w:r>
        <w:br w:type="page"/>
      </w:r>
    </w:p>
    <w:p w:rsidR="00E25CC6" w:rsidRPr="0062053D" w:rsidRDefault="00E25CC6" w:rsidP="0062053D">
      <w:pPr>
        <w:pStyle w:val="Heading5"/>
      </w:pPr>
      <w:r w:rsidRPr="0062053D">
        <w:t xml:space="preserve">Life Saving Victoria </w:t>
      </w:r>
      <w:r>
        <w:t>Clubhouse Redevelopments</w:t>
      </w:r>
    </w:p>
    <w:p w:rsidR="00E25CC6" w:rsidRDefault="00E25CC6" w:rsidP="00D02E75">
      <w:r>
        <w:t xml:space="preserve">The Edithvale, Anglesea, Portsea and Cape Paterson Life Saving Clubhouses will be redeveloped to improve facilities and amenities used by volunteers and the community. </w:t>
      </w:r>
    </w:p>
    <w:p w:rsidR="00E25CC6" w:rsidRDefault="00E25CC6" w:rsidP="00D02E75">
      <w:r w:rsidRPr="00DE2101">
        <w:t>This initiative contributes to the Department of Justice and Regulation</w:t>
      </w:r>
      <w:r>
        <w:t>’</w:t>
      </w:r>
      <w:r w:rsidRPr="00DE2101">
        <w:t>s Emergency Management Capability output.</w:t>
      </w:r>
      <w:bookmarkEnd w:id="41"/>
      <w:r>
        <w:fldChar w:fldCharType="begin"/>
      </w:r>
      <w:r>
        <w:instrText xml:space="preserve"> XE "</w:instrText>
      </w:r>
      <w:r w:rsidRPr="00791B45">
        <w:instrText>Department of Justice and Regulation:Emergency Management</w:instrText>
      </w:r>
      <w:r>
        <w:instrText xml:space="preserve">" \r "DJR_EmgncyMgmntCh1" </w:instrText>
      </w:r>
      <w:r>
        <w:fldChar w:fldCharType="end"/>
      </w:r>
    </w:p>
    <w:p w:rsidR="00E25CC6" w:rsidRPr="00310FB7" w:rsidRDefault="00E25CC6" w:rsidP="00BF1480">
      <w:pPr>
        <w:pStyle w:val="Heading4"/>
      </w:pPr>
      <w:r>
        <w:t>Enforcing and Managing Correctional Orders</w:t>
      </w:r>
    </w:p>
    <w:p w:rsidR="00E25CC6" w:rsidRPr="00421FA6" w:rsidRDefault="00E25CC6" w:rsidP="0062053D">
      <w:pPr>
        <w:pStyle w:val="Heading5"/>
      </w:pPr>
      <w:r w:rsidRPr="00421FA6">
        <w:t>Community Corrections – Contributing to a safer community</w:t>
      </w:r>
    </w:p>
    <w:p w:rsidR="00E25CC6" w:rsidRDefault="00E25CC6" w:rsidP="000342E2">
      <w:pPr>
        <w:rPr>
          <w:lang w:eastAsia="en-AU"/>
        </w:rPr>
      </w:pPr>
      <w:r>
        <w:rPr>
          <w:lang w:eastAsia="en-AU"/>
        </w:rPr>
        <w:t xml:space="preserve">Community Correctional Services will be strengthened allowing for better supervision of offenders and improved service delivery. This initiative will respond to growth in the number of offenders on orders, and to the breadth and complex nature of court order requirements. </w:t>
      </w:r>
    </w:p>
    <w:p w:rsidR="00E25CC6" w:rsidRDefault="00E25CC6" w:rsidP="000342E2">
      <w:pPr>
        <w:rPr>
          <w:lang w:eastAsia="en-AU"/>
        </w:rPr>
      </w:pPr>
      <w:r>
        <w:rPr>
          <w:lang w:eastAsia="en-AU"/>
        </w:rPr>
        <w:t xml:space="preserve">This initiative contributes to the Department of Justice and Regulation’s Community Based Offender Supervision output. </w:t>
      </w:r>
    </w:p>
    <w:p w:rsidR="00E25CC6" w:rsidRPr="00526656" w:rsidRDefault="00E25CC6" w:rsidP="00B469F7">
      <w:pPr>
        <w:pStyle w:val="Heading5"/>
      </w:pPr>
      <w:r>
        <w:t>Corrections Remand upgrades</w:t>
      </w:r>
    </w:p>
    <w:p w:rsidR="00E25CC6" w:rsidRPr="00AD4388" w:rsidRDefault="00E25CC6" w:rsidP="00B469F7">
      <w:r w:rsidRPr="000749FC">
        <w:t>Refer to the asset initiative for a description of this initiative.</w:t>
      </w:r>
    </w:p>
    <w:p w:rsidR="00E25CC6" w:rsidRDefault="00E25CC6" w:rsidP="00B469F7">
      <w:pPr>
        <w:pStyle w:val="Heading5"/>
      </w:pPr>
      <w:r w:rsidRPr="003759D5">
        <w:t>Management of Serious Sex Offenders</w:t>
      </w:r>
    </w:p>
    <w:p w:rsidR="00E25CC6" w:rsidRDefault="00E25CC6" w:rsidP="00B469F7">
      <w:pPr>
        <w:rPr>
          <w:lang w:eastAsia="en-AU"/>
        </w:rPr>
      </w:pPr>
      <w:r>
        <w:rPr>
          <w:lang w:eastAsia="en-AU"/>
        </w:rPr>
        <w:t xml:space="preserve">The management of Serious Sex Offenders will be strengthened with the establishment of a 20 bed secure facility, and an 8 bed disability facility. In addition, a number of programs will be implemented including intensive treatment programs for those in facilities, expansion of offender behaviour programs, and the expansion of the Community Support Program for offenders exiting accommodation or custody. </w:t>
      </w:r>
    </w:p>
    <w:p w:rsidR="00E25CC6" w:rsidRDefault="00E25CC6" w:rsidP="00B469F7">
      <w:pPr>
        <w:rPr>
          <w:lang w:eastAsia="en-AU"/>
        </w:rPr>
      </w:pPr>
      <w:r>
        <w:rPr>
          <w:lang w:eastAsia="en-AU"/>
        </w:rPr>
        <w:t xml:space="preserve">This initiative contributes to the Department of Justice and Regulation’s Community Based Offender Supervision output. </w:t>
      </w:r>
      <w:r>
        <w:rPr>
          <w:lang w:eastAsia="en-AU"/>
        </w:rPr>
        <w:fldChar w:fldCharType="begin"/>
      </w:r>
      <w:r>
        <w:instrText xml:space="preserve"> XE "</w:instrText>
      </w:r>
      <w:r w:rsidRPr="00FD521D">
        <w:instrText>Department of Justice and Regulation:Enforcing and Managing Correctional Orders</w:instrText>
      </w:r>
      <w:r>
        <w:instrText xml:space="preserve">" </w:instrText>
      </w:r>
      <w:r>
        <w:rPr>
          <w:lang w:eastAsia="en-AU"/>
        </w:rPr>
        <w:fldChar w:fldCharType="end"/>
      </w:r>
    </w:p>
    <w:p w:rsidR="00E25CC6" w:rsidRPr="0062053D" w:rsidRDefault="00E25CC6" w:rsidP="0062053D">
      <w:pPr>
        <w:pStyle w:val="Heading5"/>
      </w:pPr>
      <w:r>
        <w:t>Specialist Corrections programs</w:t>
      </w:r>
    </w:p>
    <w:p w:rsidR="00E25CC6" w:rsidRDefault="00E25CC6" w:rsidP="00D02E75">
      <w:r>
        <w:t xml:space="preserve">Two specialist programs will continue including the Community Integration Support Program aimed at countering violent extremism and the Court Integrated Service Program Remand Outreach Pilot (CROP) to assist remand prisoners in obtaining bail. </w:t>
      </w:r>
    </w:p>
    <w:p w:rsidR="00E25CC6" w:rsidRPr="009F0943" w:rsidRDefault="00E25CC6" w:rsidP="00D02E75">
      <w:r w:rsidRPr="005E2F38">
        <w:t>This initiative contributes to the Department of Justice and Regulation</w:t>
      </w:r>
      <w:r>
        <w:t>’</w:t>
      </w:r>
      <w:r w:rsidRPr="005E2F38">
        <w:t xml:space="preserve">s </w:t>
      </w:r>
      <w:r>
        <w:t>Prisoner Supervision and Support output.</w:t>
      </w:r>
    </w:p>
    <w:p w:rsidR="00E25CC6" w:rsidRDefault="00E25CC6" w:rsidP="00BF1480">
      <w:pPr>
        <w:pStyle w:val="Heading4"/>
      </w:pPr>
      <w:r w:rsidRPr="00266935">
        <w:t xml:space="preserve">Policing </w:t>
      </w:r>
      <w:r>
        <w:t xml:space="preserve">and Crime Prevention </w:t>
      </w:r>
    </w:p>
    <w:p w:rsidR="00E25CC6" w:rsidRPr="00CA5572" w:rsidRDefault="00E25CC6" w:rsidP="00B469F7">
      <w:pPr>
        <w:pStyle w:val="Heading5"/>
      </w:pPr>
      <w:bookmarkStart w:id="42" w:name="DJR_PoliceCrimPreventCh1"/>
      <w:r w:rsidRPr="00885D3C">
        <w:t xml:space="preserve">Improving Victoria </w:t>
      </w:r>
      <w:r>
        <w:t>Police’s mental health and well</w:t>
      </w:r>
      <w:r w:rsidRPr="00885D3C">
        <w:t>being</w:t>
      </w:r>
    </w:p>
    <w:p w:rsidR="00E25CC6" w:rsidRDefault="00E25CC6" w:rsidP="00B469F7">
      <w:r w:rsidRPr="00885D3C">
        <w:t xml:space="preserve">A package of mental health and wellbeing initiatives will be delivered to all Victoria Police employees, including an online wellbeing suite. The initiative will assist with the </w:t>
      </w:r>
      <w:r>
        <w:t>initial response to</w:t>
      </w:r>
      <w:r w:rsidRPr="00885D3C">
        <w:t xml:space="preserve"> the findings of the independent Mental Health Review commissioned by the Chief Commissioner</w:t>
      </w:r>
    </w:p>
    <w:p w:rsidR="00E25CC6" w:rsidRPr="00885D3C" w:rsidRDefault="00E25CC6" w:rsidP="00B469F7">
      <w:r w:rsidRPr="00885D3C">
        <w:t>This initiative contributes to the Department of Justice and Regulation</w:t>
      </w:r>
      <w:r>
        <w:t>’</w:t>
      </w:r>
      <w:r w:rsidRPr="00885D3C">
        <w:t>s Policing</w:t>
      </w:r>
      <w:r>
        <w:t xml:space="preserve"> Services and Crime Prevention</w:t>
      </w:r>
      <w:r w:rsidRPr="00885D3C">
        <w:t xml:space="preserve"> output.</w:t>
      </w:r>
    </w:p>
    <w:p w:rsidR="00E25CC6" w:rsidRDefault="00E25CC6">
      <w:pPr>
        <w:spacing w:after="0"/>
        <w:rPr>
          <w:rFonts w:ascii="Calibri" w:hAnsi="Calibri"/>
          <w:b/>
        </w:rPr>
      </w:pPr>
      <w:r>
        <w:br w:type="page"/>
      </w:r>
    </w:p>
    <w:p w:rsidR="00E25CC6" w:rsidRDefault="00E25CC6" w:rsidP="00D02E75">
      <w:pPr>
        <w:pStyle w:val="Heading5"/>
      </w:pPr>
      <w:r>
        <w:t xml:space="preserve">Public Safety – Community Crime Prevention Program </w:t>
      </w:r>
    </w:p>
    <w:p w:rsidR="00E25CC6" w:rsidRDefault="00E25CC6" w:rsidP="007C56BA">
      <w:r>
        <w:t>The Community Crime Prevention Program provides grants and support to build crime prevention capability. The program will increase the number of grants to assist specific communities experiencing high crime and disadvantage and address emerging crime trends. Funding will expand the existing Communities That Care program and continuation of the Community Safety Fund and Public Safety Infrastructure Fund.</w:t>
      </w:r>
    </w:p>
    <w:p w:rsidR="00E25CC6" w:rsidRPr="007C56BA" w:rsidRDefault="00E25CC6" w:rsidP="007C56BA">
      <w:r>
        <w:t>This initiative contributes to the Department of Justice and Regulation’s Policing Services and Crime Prevention output.</w:t>
      </w:r>
    </w:p>
    <w:p w:rsidR="00E25CC6" w:rsidRDefault="00E25CC6" w:rsidP="00D02E75">
      <w:pPr>
        <w:pStyle w:val="Heading5"/>
      </w:pPr>
      <w:r w:rsidRPr="00885D3C">
        <w:t xml:space="preserve">Public Safety </w:t>
      </w:r>
      <w:r>
        <w:t>– Police Response</w:t>
      </w:r>
    </w:p>
    <w:p w:rsidR="00E25CC6" w:rsidRDefault="00E25CC6" w:rsidP="00D02E75">
      <w:r>
        <w:t xml:space="preserve">Victoria Police will receive additional resources to enhance its ability to keep Victorians’ safe from crime. There will be an increase in frontline police numbers as well as specialist policing resources to target serious crime and gang activity. This package includes 406 additional sworn police officers and 52 additional specialist staff, technology upgrades such as body worn cameras and mobile technology for police officers, and an expanded forensic and fingerprinting capability. </w:t>
      </w:r>
    </w:p>
    <w:p w:rsidR="00E25CC6" w:rsidRDefault="00E25CC6" w:rsidP="00D02E75">
      <w:r w:rsidRPr="00885D3C">
        <w:t>This initiative contributes to the Department of Justice and Regulation</w:t>
      </w:r>
      <w:r>
        <w:t>’</w:t>
      </w:r>
      <w:r w:rsidRPr="00885D3C">
        <w:t>s Policing</w:t>
      </w:r>
      <w:r>
        <w:t xml:space="preserve"> Services and Crime Prevention</w:t>
      </w:r>
      <w:r w:rsidRPr="00885D3C">
        <w:t xml:space="preserve"> output.</w:t>
      </w:r>
    </w:p>
    <w:p w:rsidR="00E25CC6" w:rsidRDefault="00E25CC6" w:rsidP="0062053D">
      <w:pPr>
        <w:pStyle w:val="Heading5"/>
      </w:pPr>
      <w:r>
        <w:t xml:space="preserve">Public Safety – Regional and Rural Police Stations </w:t>
      </w:r>
    </w:p>
    <w:p w:rsidR="00E25CC6" w:rsidRPr="00CB3829" w:rsidRDefault="00E25CC6" w:rsidP="00D02E75">
      <w:r>
        <w:t xml:space="preserve">Refer to the asset initiative for a description of this initiative. </w:t>
      </w:r>
    </w:p>
    <w:p w:rsidR="00E25CC6" w:rsidRPr="00885D3C" w:rsidRDefault="00E25CC6" w:rsidP="0062053D">
      <w:pPr>
        <w:pStyle w:val="Heading5"/>
      </w:pPr>
      <w:r w:rsidRPr="00885D3C">
        <w:t>Strength</w:t>
      </w:r>
      <w:r>
        <w:t xml:space="preserve">ening Victoria Police’s Counter – </w:t>
      </w:r>
      <w:r w:rsidRPr="00885D3C">
        <w:t>Terrorism Capacity and Capability</w:t>
      </w:r>
    </w:p>
    <w:p w:rsidR="00E25CC6" w:rsidRPr="00087D8A" w:rsidRDefault="00E25CC6" w:rsidP="00771EEC">
      <w:pPr>
        <w:rPr>
          <w:b/>
        </w:rPr>
      </w:pPr>
      <w:r w:rsidRPr="00087D8A">
        <w:t>Additional resources will be provided to enhance Victoria Police</w:t>
      </w:r>
      <w:r>
        <w:t>’</w:t>
      </w:r>
      <w:r w:rsidRPr="00087D8A">
        <w:t>s counter</w:t>
      </w:r>
      <w:r>
        <w:noBreakHyphen/>
      </w:r>
      <w:r w:rsidRPr="00087D8A">
        <w:t>terrorism capability and strengthen its capacity to investigate and respond to an increased volume of terrorism threats. An additional 40 sworn police officers and 48 additional specialist staff are funded, as well as associated equipment, including mobile forensic labs.</w:t>
      </w:r>
    </w:p>
    <w:p w:rsidR="00E25CC6" w:rsidRPr="00087D8A" w:rsidRDefault="00E25CC6" w:rsidP="00771EEC">
      <w:pPr>
        <w:rPr>
          <w:b/>
        </w:rPr>
      </w:pPr>
      <w:r w:rsidRPr="00087D8A">
        <w:t>This initiative contributes to the Department of Justice and Regulation</w:t>
      </w:r>
      <w:r>
        <w:t>’</w:t>
      </w:r>
      <w:r w:rsidRPr="00087D8A">
        <w:t>s Policing Services and Crime Prevention output.</w:t>
      </w:r>
      <w:bookmarkEnd w:id="42"/>
      <w:r>
        <w:fldChar w:fldCharType="begin"/>
      </w:r>
      <w:r>
        <w:instrText xml:space="preserve"> XE "</w:instrText>
      </w:r>
      <w:r w:rsidRPr="0070531C">
        <w:instrText>Department of Justice and Regulation:Policing and Crime Prevention</w:instrText>
      </w:r>
      <w:r>
        <w:instrText xml:space="preserve">" \r "DJR_PoliceCrimPreventCh1" </w:instrText>
      </w:r>
      <w:r>
        <w:fldChar w:fldCharType="end"/>
      </w:r>
      <w:r>
        <w:t xml:space="preserve"> </w:t>
      </w:r>
      <w:r>
        <w:fldChar w:fldCharType="begin"/>
      </w:r>
      <w:r>
        <w:instrText xml:space="preserve"> XE "</w:instrText>
      </w:r>
      <w:r w:rsidRPr="007810D7">
        <w:instrText>Policing</w:instrText>
      </w:r>
      <w:r>
        <w:instrText xml:space="preserve">" \r "DJR_PoliceCrimPreventCh1" </w:instrText>
      </w:r>
      <w:r>
        <w:fldChar w:fldCharType="end"/>
      </w:r>
    </w:p>
    <w:p w:rsidR="00E25CC6" w:rsidRDefault="00E25CC6">
      <w:pPr>
        <w:spacing w:after="0"/>
        <w:rPr>
          <w:rFonts w:ascii="Calibri" w:hAnsi="Calibri"/>
          <w:b/>
          <w:i/>
          <w:kern w:val="28"/>
          <w:sz w:val="24"/>
          <w:szCs w:val="22"/>
        </w:rPr>
      </w:pPr>
      <w:r>
        <w:br w:type="page"/>
      </w:r>
    </w:p>
    <w:p w:rsidR="00E25CC6" w:rsidRDefault="00E25CC6" w:rsidP="004C531E">
      <w:pPr>
        <w:pStyle w:val="Heading3"/>
      </w:pPr>
      <w:r>
        <w:t xml:space="preserve">Asset initiatives </w:t>
      </w:r>
    </w:p>
    <w:p w:rsidR="00E25CC6" w:rsidRDefault="00E25CC6" w:rsidP="003B15A1">
      <w:pPr>
        <w:pStyle w:val="Tableheading"/>
      </w:pPr>
      <w:r>
        <w:t>Table 1.21:</w:t>
      </w:r>
      <w:r>
        <w:tab/>
        <w:t>Asset initiatives – Department of Justice and Regulation</w:t>
      </w:r>
    </w:p>
    <w:p w:rsidR="00E25CC6" w:rsidRDefault="00E25CC6" w:rsidP="005255BF">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758"/>
        <w:gridCol w:w="836"/>
        <w:gridCol w:w="836"/>
        <w:gridCol w:w="837"/>
        <w:gridCol w:w="799"/>
        <w:gridCol w:w="37"/>
        <w:gridCol w:w="246"/>
        <w:gridCol w:w="283"/>
        <w:gridCol w:w="283"/>
        <w:gridCol w:w="24"/>
        <w:gridCol w:w="259"/>
        <w:gridCol w:w="283"/>
        <w:gridCol w:w="283"/>
        <w:gridCol w:w="12"/>
      </w:tblGrid>
      <w:tr w:rsidR="00E25CC6" w:rsidRPr="005255BF" w:rsidTr="002407C6">
        <w:trPr>
          <w:cantSplit/>
          <w:tblHeader/>
        </w:trPr>
        <w:tc>
          <w:tcPr>
            <w:tcW w:w="2758" w:type="dxa"/>
            <w:tcBorders>
              <w:top w:val="single" w:sz="4" w:space="0" w:color="auto"/>
              <w:left w:val="single" w:sz="4" w:space="0" w:color="auto"/>
              <w:bottom w:val="single" w:sz="4" w:space="0" w:color="auto"/>
              <w:right w:val="nil"/>
            </w:tcBorders>
            <w:shd w:val="clear" w:color="auto" w:fill="000000"/>
          </w:tcPr>
          <w:p w:rsidR="00E25CC6" w:rsidRPr="005255BF" w:rsidRDefault="00E25CC6" w:rsidP="005255BF">
            <w:pPr>
              <w:pStyle w:val="Tabletext"/>
              <w:rPr>
                <w:rFonts w:eastAsiaTheme="minorEastAsia"/>
                <w:lang w:eastAsia="en-AU"/>
              </w:rPr>
            </w:pPr>
            <w:r>
              <w:rPr>
                <w:rFonts w:eastAsiaTheme="minorEastAsia"/>
                <w:lang w:eastAsia="en-AU"/>
              </w:rPr>
              <w:t xml:space="preserve"> </w:t>
            </w:r>
          </w:p>
        </w:tc>
        <w:tc>
          <w:tcPr>
            <w:tcW w:w="836"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2015</w:t>
            </w:r>
            <w:r>
              <w:rPr>
                <w:rFonts w:eastAsiaTheme="minorEastAsia"/>
                <w:lang w:eastAsia="en-AU"/>
              </w:rPr>
              <w:noBreakHyphen/>
            </w:r>
            <w:r w:rsidRPr="005255BF">
              <w:rPr>
                <w:rFonts w:eastAsiaTheme="minorEastAsia"/>
                <w:lang w:eastAsia="en-AU"/>
              </w:rPr>
              <w:t>16</w:t>
            </w:r>
          </w:p>
        </w:tc>
        <w:tc>
          <w:tcPr>
            <w:tcW w:w="836"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2016</w:t>
            </w:r>
            <w:r>
              <w:rPr>
                <w:rFonts w:eastAsiaTheme="minorEastAsia"/>
                <w:lang w:eastAsia="en-AU"/>
              </w:rPr>
              <w:noBreakHyphen/>
            </w:r>
            <w:r w:rsidRPr="005255BF">
              <w:rPr>
                <w:rFonts w:eastAsiaTheme="minorEastAsia"/>
                <w:lang w:eastAsia="en-AU"/>
              </w:rPr>
              <w:t>17</w:t>
            </w:r>
          </w:p>
        </w:tc>
        <w:tc>
          <w:tcPr>
            <w:tcW w:w="837"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2017</w:t>
            </w:r>
            <w:r>
              <w:rPr>
                <w:rFonts w:eastAsiaTheme="minorEastAsia"/>
                <w:lang w:eastAsia="en-AU"/>
              </w:rPr>
              <w:noBreakHyphen/>
            </w:r>
            <w:r w:rsidRPr="005255BF">
              <w:rPr>
                <w:rFonts w:eastAsiaTheme="minorEastAsia"/>
                <w:lang w:eastAsia="en-AU"/>
              </w:rPr>
              <w:t>18</w:t>
            </w:r>
          </w:p>
        </w:tc>
        <w:tc>
          <w:tcPr>
            <w:tcW w:w="836" w:type="dxa"/>
            <w:gridSpan w:val="2"/>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2018</w:t>
            </w:r>
            <w:r>
              <w:rPr>
                <w:rFonts w:eastAsiaTheme="minorEastAsia"/>
                <w:lang w:eastAsia="en-AU"/>
              </w:rPr>
              <w:noBreakHyphen/>
            </w:r>
            <w:r w:rsidRPr="005255BF">
              <w:rPr>
                <w:rFonts w:eastAsiaTheme="minorEastAsia"/>
                <w:lang w:eastAsia="en-AU"/>
              </w:rPr>
              <w:t>19</w:t>
            </w:r>
          </w:p>
        </w:tc>
        <w:tc>
          <w:tcPr>
            <w:tcW w:w="836" w:type="dxa"/>
            <w:gridSpan w:val="4"/>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2019</w:t>
            </w:r>
            <w:r>
              <w:rPr>
                <w:rFonts w:eastAsiaTheme="minorEastAsia"/>
                <w:lang w:eastAsia="en-AU"/>
              </w:rPr>
              <w:noBreakHyphen/>
            </w:r>
            <w:r w:rsidRPr="005255BF">
              <w:rPr>
                <w:rFonts w:eastAsiaTheme="minorEastAsia"/>
                <w:lang w:eastAsia="en-AU"/>
              </w:rPr>
              <w:t>20</w:t>
            </w:r>
          </w:p>
        </w:tc>
        <w:tc>
          <w:tcPr>
            <w:tcW w:w="837" w:type="dxa"/>
            <w:gridSpan w:val="4"/>
            <w:tcBorders>
              <w:top w:val="single" w:sz="4" w:space="0" w:color="auto"/>
              <w:left w:val="nil"/>
              <w:bottom w:val="single" w:sz="4" w:space="0" w:color="auto"/>
              <w:right w:val="single" w:sz="4" w:space="0" w:color="auto"/>
            </w:tcBorders>
            <w:shd w:val="clear" w:color="auto" w:fill="000000"/>
          </w:tcPr>
          <w:p w:rsidR="00E25CC6" w:rsidRPr="005255BF" w:rsidRDefault="00E25CC6" w:rsidP="005255BF">
            <w:pPr>
              <w:pStyle w:val="Tabletextheading"/>
              <w:rPr>
                <w:rFonts w:eastAsiaTheme="minorEastAsia" w:cs="Calibri"/>
                <w:iCs/>
                <w:lang w:eastAsia="en-AU"/>
              </w:rPr>
            </w:pPr>
            <w:r w:rsidRPr="005255BF">
              <w:rPr>
                <w:rFonts w:eastAsiaTheme="minorEastAsia" w:cs="Calibri"/>
                <w:iCs/>
                <w:lang w:eastAsia="en-AU"/>
              </w:rPr>
              <w:t>TEI</w:t>
            </w:r>
          </w:p>
        </w:tc>
      </w:tr>
      <w:tr w:rsidR="00E25CC6" w:rsidRPr="005255BF" w:rsidTr="002407C6">
        <w:trPr>
          <w:cantSplit/>
        </w:trPr>
        <w:tc>
          <w:tcPr>
            <w:tcW w:w="2758" w:type="dxa"/>
            <w:tcBorders>
              <w:top w:val="single" w:sz="4" w:space="0" w:color="auto"/>
              <w:left w:val="nil"/>
              <w:bottom w:val="nil"/>
              <w:right w:val="nil"/>
            </w:tcBorders>
            <w:shd w:val="solid" w:color="FFFFFF" w:fill="auto"/>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Emergency Management</w:t>
            </w:r>
          </w:p>
        </w:tc>
        <w:tc>
          <w:tcPr>
            <w:tcW w:w="836" w:type="dxa"/>
            <w:tcBorders>
              <w:top w:val="single" w:sz="4" w:space="0" w:color="auto"/>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6" w:type="dxa"/>
            <w:tcBorders>
              <w:top w:val="single" w:sz="4" w:space="0" w:color="auto"/>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7" w:type="dxa"/>
            <w:tcBorders>
              <w:top w:val="single" w:sz="4" w:space="0" w:color="auto"/>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6" w:type="dxa"/>
            <w:gridSpan w:val="2"/>
            <w:tcBorders>
              <w:top w:val="single" w:sz="4" w:space="0" w:color="auto"/>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6" w:type="dxa"/>
            <w:gridSpan w:val="4"/>
            <w:tcBorders>
              <w:top w:val="single" w:sz="4" w:space="0" w:color="auto"/>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7" w:type="dxa"/>
            <w:gridSpan w:val="4"/>
            <w:tcBorders>
              <w:top w:val="single" w:sz="4" w:space="0" w:color="auto"/>
              <w:left w:val="nil"/>
              <w:bottom w:val="nil"/>
              <w:right w:val="nil"/>
            </w:tcBorders>
          </w:tcPr>
          <w:p w:rsidR="00E25CC6" w:rsidRPr="005255BF" w:rsidRDefault="00E25CC6" w:rsidP="005255BF">
            <w:pPr>
              <w:autoSpaceDE w:val="0"/>
              <w:autoSpaceDN w:val="0"/>
              <w:adjustRightInd w:val="0"/>
              <w:spacing w:after="0"/>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w:t>
            </w:r>
          </w:p>
        </w:tc>
      </w:tr>
      <w:tr w:rsidR="00E25CC6" w:rsidRPr="005255BF" w:rsidTr="002407C6">
        <w:trPr>
          <w:cantSplit/>
        </w:trPr>
        <w:tc>
          <w:tcPr>
            <w:tcW w:w="2758"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CFA Fiskville Transition Program</w:t>
            </w:r>
            <w:r>
              <w:rPr>
                <w:rFonts w:eastAsiaTheme="minorEastAsia"/>
                <w:color w:val="000000"/>
                <w:lang w:eastAsia="en-AU"/>
              </w:rPr>
              <w:t xml:space="preserve"> – </w:t>
            </w:r>
            <w:r w:rsidRPr="005255BF">
              <w:rPr>
                <w:rFonts w:eastAsiaTheme="minorEastAsia"/>
                <w:color w:val="000000"/>
                <w:lang w:eastAsia="en-AU"/>
              </w:rPr>
              <w:t>New Training Facilities</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13.3</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16.4</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11.1</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40.8</w:t>
            </w:r>
          </w:p>
        </w:tc>
      </w:tr>
      <w:tr w:rsidR="00E25CC6" w:rsidRPr="005255BF" w:rsidTr="002407C6">
        <w:trPr>
          <w:cantSplit/>
        </w:trPr>
        <w:tc>
          <w:tcPr>
            <w:tcW w:w="2758" w:type="dxa"/>
            <w:tcBorders>
              <w:top w:val="nil"/>
              <w:left w:val="nil"/>
              <w:bottom w:val="nil"/>
              <w:right w:val="nil"/>
            </w:tcBorders>
          </w:tcPr>
          <w:p w:rsidR="00E25CC6" w:rsidRPr="005255BF" w:rsidRDefault="00E25CC6" w:rsidP="005255BF">
            <w:pPr>
              <w:pStyle w:val="Tabletext"/>
              <w:rPr>
                <w:rFonts w:eastAsiaTheme="minorEastAsia"/>
                <w:color w:val="000000"/>
                <w:vertAlign w:val="superscript"/>
                <w:lang w:eastAsia="en-AU"/>
              </w:rPr>
            </w:pPr>
            <w:r w:rsidRPr="005255BF">
              <w:rPr>
                <w:rFonts w:eastAsiaTheme="minorEastAsia"/>
                <w:color w:val="000000"/>
                <w:lang w:eastAsia="en-AU"/>
              </w:rPr>
              <w:t xml:space="preserve">Emergency Medical Response Expansion </w:t>
            </w:r>
            <w:r w:rsidRPr="005255BF">
              <w:rPr>
                <w:rFonts w:eastAsiaTheme="minorEastAsia"/>
                <w:color w:val="000000"/>
                <w:vertAlign w:val="superscript"/>
                <w:lang w:eastAsia="en-AU"/>
              </w:rPr>
              <w:t>(a)</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0.1</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0.0</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0.0</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0.2</w:t>
            </w:r>
          </w:p>
        </w:tc>
      </w:tr>
      <w:tr w:rsidR="00E25CC6" w:rsidRPr="005255BF" w:rsidTr="002407C6">
        <w:trPr>
          <w:cantSplit/>
        </w:trPr>
        <w:tc>
          <w:tcPr>
            <w:tcW w:w="2758"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 xml:space="preserve">Fiskville and Regional Victorian Emergency Management Training Centres Remediation </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9.5</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6.1</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15.6</w:t>
            </w:r>
          </w:p>
        </w:tc>
      </w:tr>
      <w:tr w:rsidR="00E25CC6" w:rsidRPr="005255BF" w:rsidTr="002407C6">
        <w:trPr>
          <w:gridAfter w:val="1"/>
          <w:wAfter w:w="12" w:type="dxa"/>
          <w:cantSplit/>
        </w:trPr>
        <w:tc>
          <w:tcPr>
            <w:tcW w:w="6066" w:type="dxa"/>
            <w:gridSpan w:val="5"/>
            <w:tcBorders>
              <w:top w:val="nil"/>
              <w:left w:val="nil"/>
              <w:bottom w:val="nil"/>
              <w:right w:val="nil"/>
            </w:tcBorders>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Enforcing and Managing Correctional Orders</w:t>
            </w:r>
          </w:p>
        </w:tc>
        <w:tc>
          <w:tcPr>
            <w:tcW w:w="283"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gridSpan w:val="2"/>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283" w:type="dxa"/>
            <w:tcBorders>
              <w:top w:val="nil"/>
              <w:left w:val="nil"/>
              <w:bottom w:val="nil"/>
              <w:right w:val="nil"/>
            </w:tcBorders>
          </w:tcPr>
          <w:p w:rsidR="00E25CC6" w:rsidRPr="005255BF" w:rsidRDefault="00E25CC6" w:rsidP="005255BF">
            <w:pPr>
              <w:autoSpaceDE w:val="0"/>
              <w:autoSpaceDN w:val="0"/>
              <w:adjustRightInd w:val="0"/>
              <w:spacing w:after="0"/>
              <w:rPr>
                <w:rFonts w:ascii="Calibri" w:eastAsiaTheme="minorEastAsia" w:hAnsi="Calibri" w:cs="Calibri"/>
                <w:color w:val="FFFFFF"/>
                <w:sz w:val="20"/>
                <w:lang w:eastAsia="en-AU"/>
              </w:rPr>
            </w:pPr>
            <w:r w:rsidRPr="005255BF">
              <w:rPr>
                <w:rFonts w:ascii="Calibri" w:eastAsiaTheme="minorEastAsia" w:hAnsi="Calibri" w:cs="Calibri"/>
                <w:color w:val="FFFFFF"/>
                <w:sz w:val="20"/>
                <w:lang w:eastAsia="en-AU"/>
              </w:rPr>
              <w:t xml:space="preserve"> </w:t>
            </w:r>
          </w:p>
        </w:tc>
      </w:tr>
      <w:tr w:rsidR="00E25CC6" w:rsidRPr="005255BF" w:rsidTr="002407C6">
        <w:trPr>
          <w:cantSplit/>
        </w:trPr>
        <w:tc>
          <w:tcPr>
            <w:tcW w:w="2758" w:type="dxa"/>
            <w:tcBorders>
              <w:top w:val="nil"/>
              <w:left w:val="nil"/>
              <w:bottom w:val="nil"/>
              <w:right w:val="nil"/>
            </w:tcBorders>
          </w:tcPr>
          <w:p w:rsidR="00E25CC6" w:rsidRPr="005255BF" w:rsidRDefault="00E25CC6" w:rsidP="005255BF">
            <w:pPr>
              <w:pStyle w:val="Tabletext"/>
              <w:rPr>
                <w:rFonts w:eastAsiaTheme="minorEastAsia"/>
                <w:color w:val="000000"/>
                <w:vertAlign w:val="superscript"/>
                <w:lang w:eastAsia="en-AU"/>
              </w:rPr>
            </w:pPr>
            <w:r w:rsidRPr="005255BF">
              <w:rPr>
                <w:rFonts w:eastAsiaTheme="minorEastAsia"/>
                <w:color w:val="000000"/>
                <w:lang w:eastAsia="en-AU"/>
              </w:rPr>
              <w:t>Community Corrections – Contributing to a safer community</w:t>
            </w:r>
            <w:r w:rsidRPr="005255BF">
              <w:rPr>
                <w:rFonts w:eastAsiaTheme="minorEastAsia"/>
                <w:color w:val="000000"/>
                <w:vertAlign w:val="superscript"/>
                <w:lang w:eastAsia="en-AU"/>
              </w:rPr>
              <w:t xml:space="preserve"> (b)</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9.7</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9.3</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12.9</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0.0</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31.9</w:t>
            </w:r>
          </w:p>
        </w:tc>
      </w:tr>
      <w:tr w:rsidR="00E25CC6" w:rsidRPr="005255BF" w:rsidTr="002407C6">
        <w:trPr>
          <w:cantSplit/>
        </w:trPr>
        <w:tc>
          <w:tcPr>
            <w:tcW w:w="2758"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vertAlign w:val="superscript"/>
                <w:lang w:eastAsia="en-AU"/>
              </w:rPr>
            </w:pPr>
            <w:r w:rsidRPr="005255BF">
              <w:rPr>
                <w:rFonts w:eastAsiaTheme="minorEastAsia"/>
                <w:color w:val="000000"/>
                <w:lang w:eastAsia="en-AU"/>
              </w:rPr>
              <w:t xml:space="preserve">Corrections Remand upgrades </w:t>
            </w:r>
            <w:r w:rsidRPr="005255BF">
              <w:rPr>
                <w:rFonts w:eastAsiaTheme="minorEastAsia"/>
                <w:color w:val="000000"/>
                <w:vertAlign w:val="superscript"/>
                <w:lang w:eastAsia="en-AU"/>
              </w:rPr>
              <w:t>(c)</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8.0</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54.7</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12.2</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74.9</w:t>
            </w:r>
          </w:p>
        </w:tc>
      </w:tr>
      <w:tr w:rsidR="00E25CC6" w:rsidRPr="005255BF" w:rsidTr="002407C6">
        <w:trPr>
          <w:cantSplit/>
        </w:trPr>
        <w:tc>
          <w:tcPr>
            <w:tcW w:w="2758"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 xml:space="preserve">Management of Serious Sex Offenders </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10.0</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22.5</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32.5</w:t>
            </w:r>
          </w:p>
        </w:tc>
      </w:tr>
      <w:tr w:rsidR="00E25CC6" w:rsidRPr="005255BF" w:rsidTr="002407C6">
        <w:trPr>
          <w:cantSplit/>
        </w:trPr>
        <w:tc>
          <w:tcPr>
            <w:tcW w:w="2758" w:type="dxa"/>
            <w:tcBorders>
              <w:top w:val="nil"/>
              <w:left w:val="nil"/>
              <w:bottom w:val="nil"/>
              <w:right w:val="nil"/>
            </w:tcBorders>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Policing and Crime Prevention</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w:t>
            </w:r>
          </w:p>
        </w:tc>
      </w:tr>
      <w:tr w:rsidR="00E25CC6" w:rsidRPr="005255BF" w:rsidTr="002407C6">
        <w:trPr>
          <w:cantSplit/>
        </w:trPr>
        <w:tc>
          <w:tcPr>
            <w:tcW w:w="2758" w:type="dxa"/>
            <w:tcBorders>
              <w:top w:val="nil"/>
              <w:left w:val="nil"/>
              <w:bottom w:val="nil"/>
              <w:right w:val="nil"/>
            </w:tcBorders>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Public Safety</w:t>
            </w:r>
            <w:r>
              <w:rPr>
                <w:rFonts w:eastAsiaTheme="minorEastAsia"/>
                <w:color w:val="000000"/>
                <w:lang w:eastAsia="en-AU"/>
              </w:rPr>
              <w:t xml:space="preserve"> – </w:t>
            </w:r>
            <w:r w:rsidRPr="005255BF">
              <w:rPr>
                <w:rFonts w:eastAsiaTheme="minorEastAsia"/>
                <w:color w:val="000000"/>
                <w:lang w:eastAsia="en-AU"/>
              </w:rPr>
              <w:t>Police Response</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58.2</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50.9</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30.2</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9.7</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149.1</w:t>
            </w:r>
          </w:p>
        </w:tc>
      </w:tr>
      <w:tr w:rsidR="00E25CC6" w:rsidRPr="005255BF" w:rsidTr="002407C6">
        <w:trPr>
          <w:cantSplit/>
        </w:trPr>
        <w:tc>
          <w:tcPr>
            <w:tcW w:w="2758"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Public Safety</w:t>
            </w:r>
            <w:r>
              <w:rPr>
                <w:rFonts w:eastAsiaTheme="minorEastAsia"/>
                <w:color w:val="000000"/>
                <w:lang w:eastAsia="en-AU"/>
              </w:rPr>
              <w:t xml:space="preserve"> – </w:t>
            </w:r>
            <w:r w:rsidRPr="005255BF">
              <w:rPr>
                <w:rFonts w:eastAsiaTheme="minorEastAsia"/>
                <w:color w:val="000000"/>
                <w:lang w:eastAsia="en-AU"/>
              </w:rPr>
              <w:t>Regional and Rural Police Stations</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9.7</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19.6</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1.8</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31.0</w:t>
            </w:r>
          </w:p>
        </w:tc>
      </w:tr>
      <w:tr w:rsidR="00E25CC6" w:rsidRPr="005255BF" w:rsidTr="002407C6">
        <w:trPr>
          <w:cantSplit/>
        </w:trPr>
        <w:tc>
          <w:tcPr>
            <w:tcW w:w="2758"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Strengthening Victoria Police</w:t>
            </w:r>
            <w:r>
              <w:rPr>
                <w:rFonts w:eastAsiaTheme="minorEastAsia"/>
                <w:color w:val="000000"/>
                <w:lang w:eastAsia="en-AU"/>
              </w:rPr>
              <w:t>’</w:t>
            </w:r>
            <w:r w:rsidRPr="005255BF">
              <w:rPr>
                <w:rFonts w:eastAsiaTheme="minorEastAsia"/>
                <w:color w:val="000000"/>
                <w:lang w:eastAsia="en-AU"/>
              </w:rPr>
              <w:t>s Counter – Terrorism Capacity and Capability</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 xml:space="preserve"> 2.0</w:t>
            </w:r>
          </w:p>
        </w:tc>
        <w:tc>
          <w:tcPr>
            <w:tcW w:w="836"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gridSpan w:val="2"/>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6" w:type="dxa"/>
            <w:gridSpan w:val="4"/>
            <w:tcBorders>
              <w:top w:val="nil"/>
              <w:left w:val="nil"/>
              <w:bottom w:val="nil"/>
              <w:right w:val="nil"/>
            </w:tcBorders>
          </w:tcPr>
          <w:p w:rsidR="00E25CC6" w:rsidRPr="005255BF" w:rsidRDefault="00E25CC6" w:rsidP="005255BF">
            <w:pPr>
              <w:pStyle w:val="TableofFigures"/>
              <w:rPr>
                <w:rFonts w:eastAsiaTheme="minorEastAsia"/>
                <w:color w:val="000000"/>
                <w:lang w:eastAsia="en-AU"/>
              </w:rPr>
            </w:pPr>
            <w:r w:rsidRPr="005255BF">
              <w:rPr>
                <w:rFonts w:eastAsiaTheme="minorEastAsia"/>
                <w:color w:val="000000"/>
                <w:lang w:eastAsia="en-AU"/>
              </w:rPr>
              <w:t>..</w:t>
            </w:r>
          </w:p>
        </w:tc>
        <w:tc>
          <w:tcPr>
            <w:tcW w:w="837" w:type="dxa"/>
            <w:gridSpan w:val="4"/>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color w:val="000000"/>
                <w:sz w:val="20"/>
                <w:lang w:eastAsia="en-AU"/>
              </w:rPr>
            </w:pPr>
            <w:r w:rsidRPr="005255BF">
              <w:rPr>
                <w:rFonts w:ascii="Calibri" w:eastAsiaTheme="minorEastAsia" w:hAnsi="Calibri" w:cs="Calibri"/>
                <w:color w:val="000000"/>
                <w:sz w:val="20"/>
                <w:lang w:eastAsia="en-AU"/>
              </w:rPr>
              <w:t xml:space="preserve"> 2.0</w:t>
            </w:r>
          </w:p>
        </w:tc>
      </w:tr>
      <w:tr w:rsidR="00E25CC6" w:rsidRPr="005255BF" w:rsidTr="002407C6">
        <w:trPr>
          <w:cantSplit/>
        </w:trPr>
        <w:tc>
          <w:tcPr>
            <w:tcW w:w="2758"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text"/>
              <w:rPr>
                <w:rFonts w:eastAsiaTheme="minorEastAsia"/>
                <w:b/>
                <w:bCs/>
                <w:color w:val="000000"/>
                <w:vertAlign w:val="superscript"/>
                <w:lang w:eastAsia="en-AU"/>
              </w:rPr>
            </w:pPr>
            <w:r w:rsidRPr="005255BF">
              <w:rPr>
                <w:rFonts w:eastAsiaTheme="minorEastAsia"/>
                <w:b/>
                <w:bCs/>
                <w:color w:val="000000"/>
                <w:lang w:eastAsia="en-AU"/>
              </w:rPr>
              <w:t xml:space="preserve">Total asset initiatives </w:t>
            </w:r>
            <w:r w:rsidRPr="005255BF">
              <w:rPr>
                <w:rFonts w:eastAsiaTheme="minorEastAsia"/>
                <w:b/>
                <w:bCs/>
                <w:color w:val="000000"/>
                <w:vertAlign w:val="superscript"/>
                <w:lang w:eastAsia="en-AU"/>
              </w:rPr>
              <w:t>(d)</w:t>
            </w:r>
          </w:p>
        </w:tc>
        <w:tc>
          <w:tcPr>
            <w:tcW w:w="836"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color w:val="000000"/>
                <w:lang w:eastAsia="en-AU"/>
              </w:rPr>
            </w:pPr>
            <w:r w:rsidRPr="005255BF">
              <w:rPr>
                <w:rFonts w:eastAsiaTheme="minorEastAsia"/>
                <w:b/>
                <w:bCs/>
                <w:color w:val="000000"/>
                <w:lang w:eastAsia="en-AU"/>
              </w:rPr>
              <w:t xml:space="preserve"> 10.0</w:t>
            </w:r>
          </w:p>
        </w:tc>
        <w:tc>
          <w:tcPr>
            <w:tcW w:w="836"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color w:val="000000"/>
                <w:lang w:eastAsia="en-AU"/>
              </w:rPr>
            </w:pPr>
            <w:r w:rsidRPr="005255BF">
              <w:rPr>
                <w:rFonts w:eastAsiaTheme="minorEastAsia"/>
                <w:b/>
                <w:bCs/>
                <w:color w:val="000000"/>
                <w:lang w:eastAsia="en-AU"/>
              </w:rPr>
              <w:t xml:space="preserve"> 165.2</w:t>
            </w:r>
          </w:p>
        </w:tc>
        <w:tc>
          <w:tcPr>
            <w:tcW w:w="837"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color w:val="000000"/>
                <w:lang w:eastAsia="en-AU"/>
              </w:rPr>
            </w:pPr>
            <w:r w:rsidRPr="005255BF">
              <w:rPr>
                <w:rFonts w:eastAsiaTheme="minorEastAsia"/>
                <w:b/>
                <w:bCs/>
                <w:color w:val="000000"/>
                <w:lang w:eastAsia="en-AU"/>
              </w:rPr>
              <w:t xml:space="preserve"> 137.0</w:t>
            </w:r>
          </w:p>
        </w:tc>
        <w:tc>
          <w:tcPr>
            <w:tcW w:w="836" w:type="dxa"/>
            <w:gridSpan w:val="2"/>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color w:val="000000"/>
                <w:lang w:eastAsia="en-AU"/>
              </w:rPr>
            </w:pPr>
            <w:r w:rsidRPr="005255BF">
              <w:rPr>
                <w:rFonts w:eastAsiaTheme="minorEastAsia"/>
                <w:b/>
                <w:bCs/>
                <w:color w:val="000000"/>
                <w:lang w:eastAsia="en-AU"/>
              </w:rPr>
              <w:t xml:space="preserve"> 56.1</w:t>
            </w:r>
          </w:p>
        </w:tc>
        <w:tc>
          <w:tcPr>
            <w:tcW w:w="836" w:type="dxa"/>
            <w:gridSpan w:val="4"/>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color w:val="000000"/>
                <w:lang w:eastAsia="en-AU"/>
              </w:rPr>
            </w:pPr>
            <w:r w:rsidRPr="005255BF">
              <w:rPr>
                <w:rFonts w:eastAsiaTheme="minorEastAsia"/>
                <w:b/>
                <w:bCs/>
                <w:color w:val="000000"/>
                <w:lang w:eastAsia="en-AU"/>
              </w:rPr>
              <w:t xml:space="preserve"> 9.7</w:t>
            </w:r>
          </w:p>
        </w:tc>
        <w:tc>
          <w:tcPr>
            <w:tcW w:w="837" w:type="dxa"/>
            <w:gridSpan w:val="4"/>
            <w:tcBorders>
              <w:top w:val="single" w:sz="6" w:space="0" w:color="auto"/>
              <w:left w:val="nil"/>
              <w:bottom w:val="single" w:sz="12" w:space="0" w:color="auto"/>
              <w:right w:val="nil"/>
            </w:tcBorders>
            <w:shd w:val="solid" w:color="FFFFFF" w:fill="auto"/>
          </w:tcPr>
          <w:p w:rsidR="00E25CC6" w:rsidRPr="005255BF" w:rsidRDefault="00E25CC6" w:rsidP="005255BF">
            <w:pPr>
              <w:autoSpaceDE w:val="0"/>
              <w:autoSpaceDN w:val="0"/>
              <w:adjustRightInd w:val="0"/>
              <w:spacing w:after="0"/>
              <w:jc w:val="right"/>
              <w:rPr>
                <w:rFonts w:ascii="Calibri" w:eastAsiaTheme="minorEastAsia" w:hAnsi="Calibri" w:cs="Calibri"/>
                <w:b/>
                <w:bCs/>
                <w:color w:val="000000"/>
                <w:sz w:val="20"/>
                <w:lang w:eastAsia="en-AU"/>
              </w:rPr>
            </w:pPr>
            <w:r w:rsidRPr="005255BF">
              <w:rPr>
                <w:rFonts w:ascii="Calibri" w:eastAsiaTheme="minorEastAsia" w:hAnsi="Calibri" w:cs="Calibri"/>
                <w:b/>
                <w:bCs/>
                <w:color w:val="000000"/>
                <w:sz w:val="20"/>
                <w:lang w:eastAsia="en-AU"/>
              </w:rPr>
              <w:t xml:space="preserve"> 378.0</w:t>
            </w:r>
          </w:p>
        </w:tc>
      </w:tr>
    </w:tbl>
    <w:p w:rsidR="00E25CC6" w:rsidRDefault="00E25CC6" w:rsidP="00566998">
      <w:pPr>
        <w:pStyle w:val="Source"/>
      </w:pPr>
      <w:r>
        <w:t xml:space="preserve">Source: Department of Treasury and Finance </w:t>
      </w:r>
      <w:r>
        <w:fldChar w:fldCharType="begin"/>
      </w:r>
      <w:r>
        <w:instrText xml:space="preserve"> XE "</w:instrText>
      </w:r>
      <w:r w:rsidRPr="007D7BCD">
        <w:instrText>Department of Justice and Regulation:Asset initiatives</w:instrText>
      </w:r>
      <w:r>
        <w:instrText xml:space="preserve">" </w:instrText>
      </w:r>
      <w:r>
        <w:fldChar w:fldCharType="end"/>
      </w:r>
    </w:p>
    <w:p w:rsidR="00E25CC6" w:rsidRDefault="00E25CC6" w:rsidP="00447E3E">
      <w:pPr>
        <w:pStyle w:val="Notes"/>
      </w:pPr>
      <w:r>
        <w:t>Notes:</w:t>
      </w:r>
    </w:p>
    <w:p w:rsidR="00E25CC6" w:rsidRDefault="00E25CC6" w:rsidP="006D66BA">
      <w:pPr>
        <w:pStyle w:val="Notes"/>
        <w:numPr>
          <w:ilvl w:val="0"/>
          <w:numId w:val="9"/>
        </w:numPr>
      </w:pPr>
      <w:r>
        <w:t>Funding is represented as $0.0 due to rounding. $176 000 over three years is provided for the Emergency Medical Response Project.</w:t>
      </w:r>
    </w:p>
    <w:p w:rsidR="00E25CC6" w:rsidRDefault="00E25CC6" w:rsidP="006D66BA">
      <w:pPr>
        <w:pStyle w:val="Notes"/>
        <w:numPr>
          <w:ilvl w:val="0"/>
          <w:numId w:val="9"/>
        </w:numPr>
      </w:pPr>
      <w:r>
        <w:t>Funding is represented as $0.0 due to rounding.</w:t>
      </w:r>
    </w:p>
    <w:p w:rsidR="00E25CC6" w:rsidRDefault="00E25CC6" w:rsidP="006D66BA">
      <w:pPr>
        <w:pStyle w:val="Notes"/>
        <w:numPr>
          <w:ilvl w:val="0"/>
          <w:numId w:val="9"/>
        </w:numPr>
      </w:pPr>
      <w:r>
        <w:rPr>
          <w:rFonts w:cs="Garamond"/>
          <w:color w:val="000000"/>
          <w:szCs w:val="22"/>
          <w:lang w:eastAsia="en-AU"/>
        </w:rPr>
        <w:t>This Initiative incorporates reprioritised funding mainly from Corrections systems expansion ($25.000 million), Critical infrastructure and services – supporting recent prison expansion asset initiatives ($18.970 million) and Women’s prison expansion strategy ($7.900 million).</w:t>
      </w:r>
    </w:p>
    <w:p w:rsidR="00E25CC6" w:rsidRDefault="00E25CC6" w:rsidP="006D66BA">
      <w:pPr>
        <w:pStyle w:val="Notes"/>
        <w:numPr>
          <w:ilvl w:val="0"/>
          <w:numId w:val="9"/>
        </w:numPr>
      </w:pPr>
      <w:r>
        <w:t>Tables may not add due to rounding.</w:t>
      </w:r>
    </w:p>
    <w:p w:rsidR="00E25CC6" w:rsidRPr="00CD63A7" w:rsidRDefault="00E25CC6" w:rsidP="00447E3E">
      <w:pPr>
        <w:pStyle w:val="Notes"/>
      </w:pPr>
    </w:p>
    <w:p w:rsidR="00E25CC6" w:rsidRPr="00463CEC" w:rsidRDefault="00E25CC6" w:rsidP="00BF1480">
      <w:pPr>
        <w:pStyle w:val="Heading4"/>
      </w:pPr>
      <w:r w:rsidRPr="00310FB7">
        <w:t xml:space="preserve">Emergency Management </w:t>
      </w:r>
    </w:p>
    <w:p w:rsidR="00E25CC6" w:rsidRPr="00B66D5F" w:rsidRDefault="00E25CC6" w:rsidP="00B66D5F">
      <w:pPr>
        <w:pStyle w:val="Heading5"/>
      </w:pPr>
      <w:bookmarkStart w:id="43" w:name="DJR_EmgncyMgmntCh1b"/>
      <w:r w:rsidRPr="00B66D5F">
        <w:t xml:space="preserve">CFA Fiskville Transition Program – New Training </w:t>
      </w:r>
      <w:r>
        <w:t>Facilities</w:t>
      </w:r>
    </w:p>
    <w:p w:rsidR="00E25CC6" w:rsidRDefault="00E25CC6" w:rsidP="00B66D5F">
      <w:r>
        <w:t xml:space="preserve">New training facilities will be established in the Central Highlands and the Huntly Victorian Emergency Management Training Centre will be upgraded to address gaps in the State’s emergency management training capability and capacity caused by the closure of the Fiskville Training College. </w:t>
      </w:r>
    </w:p>
    <w:p w:rsidR="00E25CC6" w:rsidRDefault="00E25CC6" w:rsidP="00B66D5F">
      <w:r>
        <w:t xml:space="preserve">This initiative contributes to the Department of Justice and Regulation’s Emergency Management Capability output. </w:t>
      </w:r>
    </w:p>
    <w:p w:rsidR="00E25CC6" w:rsidRPr="00B66D5F" w:rsidRDefault="00E25CC6" w:rsidP="00B66D5F">
      <w:pPr>
        <w:pStyle w:val="Heading5"/>
      </w:pPr>
      <w:r w:rsidRPr="00B66D5F">
        <w:t xml:space="preserve">Emergency Medical Response </w:t>
      </w:r>
      <w:r>
        <w:t>expansion</w:t>
      </w:r>
    </w:p>
    <w:p w:rsidR="00E25CC6" w:rsidRDefault="00E25CC6" w:rsidP="00885502">
      <w:r>
        <w:t xml:space="preserve">Refer to the output initiative for a description of this initiative. </w:t>
      </w:r>
    </w:p>
    <w:p w:rsidR="00E25CC6" w:rsidRDefault="00E25CC6" w:rsidP="00885502">
      <w:pPr>
        <w:pStyle w:val="Heading5"/>
      </w:pPr>
      <w:r w:rsidRPr="00CA5572">
        <w:t>Fiskville and Regional Victorian Emergency Management Training Centres Remediation</w:t>
      </w:r>
    </w:p>
    <w:p w:rsidR="00E25CC6" w:rsidRDefault="00E25CC6" w:rsidP="00885502">
      <w:r>
        <w:t>Refer to the output initiative for a description of this initiative.</w:t>
      </w:r>
      <w:r>
        <w:fldChar w:fldCharType="begin"/>
      </w:r>
      <w:r>
        <w:instrText xml:space="preserve"> XE "</w:instrText>
      </w:r>
      <w:r w:rsidRPr="00914A72">
        <w:instrText>Department of Justice and Regulation:Emergency Management</w:instrText>
      </w:r>
      <w:r>
        <w:instrText xml:space="preserve">" \r "DJR_EmgncyMgmntCh1b" </w:instrText>
      </w:r>
      <w:r>
        <w:fldChar w:fldCharType="end"/>
      </w:r>
      <w:r>
        <w:t xml:space="preserve"> </w:t>
      </w:r>
      <w:bookmarkEnd w:id="43"/>
    </w:p>
    <w:p w:rsidR="00E25CC6" w:rsidRPr="00310FB7" w:rsidRDefault="00E25CC6" w:rsidP="00BF1480">
      <w:pPr>
        <w:pStyle w:val="Heading4"/>
      </w:pPr>
      <w:r>
        <w:t>Enforcing and Managing Correctional Orders</w:t>
      </w:r>
    </w:p>
    <w:p w:rsidR="00E25CC6" w:rsidRPr="0062053D" w:rsidRDefault="00E25CC6" w:rsidP="0062053D">
      <w:pPr>
        <w:pStyle w:val="Heading5"/>
      </w:pPr>
      <w:r w:rsidRPr="0062053D">
        <w:t>Community Corrections – Contributing to a safer community</w:t>
      </w:r>
    </w:p>
    <w:p w:rsidR="00E25CC6" w:rsidRDefault="00E25CC6" w:rsidP="00885502">
      <w:r>
        <w:t xml:space="preserve">Refer to the output initiative for a description of this initiative. </w:t>
      </w:r>
      <w:r>
        <w:fldChar w:fldCharType="begin"/>
      </w:r>
      <w:r>
        <w:instrText xml:space="preserve"> XE "</w:instrText>
      </w:r>
      <w:r w:rsidRPr="005A1548">
        <w:instrText>Department of Justice and Regulation:Enforcing and Managing Correctional Orders</w:instrText>
      </w:r>
      <w:r>
        <w:instrText xml:space="preserve">" </w:instrText>
      </w:r>
      <w:r>
        <w:fldChar w:fldCharType="end"/>
      </w:r>
    </w:p>
    <w:p w:rsidR="00E25CC6" w:rsidRPr="0062053D" w:rsidRDefault="00E25CC6" w:rsidP="0020580F">
      <w:pPr>
        <w:pStyle w:val="Heading5"/>
      </w:pPr>
      <w:r w:rsidRPr="0062053D">
        <w:t>Co</w:t>
      </w:r>
      <w:r>
        <w:t>rrections Remand upgrades</w:t>
      </w:r>
    </w:p>
    <w:p w:rsidR="00E25CC6" w:rsidRDefault="00E25CC6" w:rsidP="0020580F">
      <w:pPr>
        <w:rPr>
          <w:rFonts w:cs="Garamond"/>
          <w:color w:val="000000"/>
          <w:szCs w:val="22"/>
          <w:lang w:eastAsia="en-AU"/>
        </w:rPr>
      </w:pPr>
      <w:r>
        <w:rPr>
          <w:rFonts w:cs="Garamond"/>
          <w:color w:val="000000"/>
          <w:szCs w:val="22"/>
          <w:lang w:eastAsia="en-AU"/>
        </w:rPr>
        <w:t xml:space="preserve">The Metropolitan Remand Centre will be upgraded to full remand functionality, including further infrastructure works and a strengthened operating model designed to provide more effective, safe and secure management and treatment of remand prisoners. </w:t>
      </w:r>
    </w:p>
    <w:p w:rsidR="00E25CC6" w:rsidRPr="00A07AFB" w:rsidRDefault="00E25CC6" w:rsidP="0020580F">
      <w:pPr>
        <w:spacing w:after="0"/>
        <w:rPr>
          <w:rFonts w:ascii="Calibri" w:hAnsi="Calibri"/>
          <w:b/>
          <w:caps/>
          <w:sz w:val="26"/>
          <w:szCs w:val="22"/>
        </w:rPr>
      </w:pPr>
      <w:r>
        <w:t>This initiative contributes to the Department of Justice and Regulation’s Prisoner Supervision and Support output.</w:t>
      </w:r>
    </w:p>
    <w:p w:rsidR="00E25CC6" w:rsidRPr="0062053D" w:rsidRDefault="00E25CC6" w:rsidP="0062053D">
      <w:pPr>
        <w:pStyle w:val="Heading5"/>
      </w:pPr>
      <w:r w:rsidRPr="0062053D">
        <w:t>Management of Serious Sex Offenders</w:t>
      </w:r>
    </w:p>
    <w:p w:rsidR="00E25CC6" w:rsidRDefault="00E25CC6" w:rsidP="00885502">
      <w:r>
        <w:t xml:space="preserve">Refer to the output initiative for a description of this initiative. </w:t>
      </w:r>
    </w:p>
    <w:p w:rsidR="00E25CC6" w:rsidRPr="00266935" w:rsidRDefault="00E25CC6" w:rsidP="00BF1480">
      <w:pPr>
        <w:pStyle w:val="Heading4"/>
      </w:pPr>
      <w:r w:rsidRPr="00310FB7">
        <w:t xml:space="preserve">Policing </w:t>
      </w:r>
      <w:r>
        <w:t>and Crime Prevention</w:t>
      </w:r>
    </w:p>
    <w:p w:rsidR="00E25CC6" w:rsidRDefault="00E25CC6" w:rsidP="0062053D">
      <w:pPr>
        <w:pStyle w:val="Heading5"/>
      </w:pPr>
      <w:r w:rsidRPr="002E14E2">
        <w:t xml:space="preserve">Public Safety </w:t>
      </w:r>
      <w:r>
        <w:t>– Police Response</w:t>
      </w:r>
      <w:r w:rsidRPr="002E14E2">
        <w:t xml:space="preserve"> </w:t>
      </w:r>
      <w:r>
        <w:fldChar w:fldCharType="begin"/>
      </w:r>
      <w:r>
        <w:instrText xml:space="preserve"> XE "</w:instrText>
      </w:r>
      <w:r w:rsidRPr="009C5FD9">
        <w:instrText>Department of Justice and Regulation:Policing and Crime Prevention</w:instrText>
      </w:r>
      <w:r>
        <w:instrText xml:space="preserve">" </w:instrText>
      </w:r>
      <w:r>
        <w:fldChar w:fldCharType="end"/>
      </w:r>
      <w:r>
        <w:t xml:space="preserve"> </w:t>
      </w:r>
      <w:r>
        <w:fldChar w:fldCharType="begin"/>
      </w:r>
      <w:r>
        <w:instrText xml:space="preserve"> XE "</w:instrText>
      </w:r>
      <w:r w:rsidRPr="007810D7">
        <w:instrText>Policing</w:instrText>
      </w:r>
      <w:r>
        <w:instrText xml:space="preserve">" </w:instrText>
      </w:r>
      <w:r>
        <w:fldChar w:fldCharType="end"/>
      </w:r>
    </w:p>
    <w:p w:rsidR="00E25CC6" w:rsidRDefault="00E25CC6" w:rsidP="00885502">
      <w:r>
        <w:t>Refer to the output initiative for a description of this initiative.</w:t>
      </w:r>
    </w:p>
    <w:p w:rsidR="00E25CC6" w:rsidRPr="0062053D" w:rsidRDefault="00E25CC6" w:rsidP="0062053D">
      <w:pPr>
        <w:pStyle w:val="Heading5"/>
      </w:pPr>
      <w:r>
        <w:t>Public Safety – Regional and Rural Police Stations</w:t>
      </w:r>
    </w:p>
    <w:p w:rsidR="00E25CC6" w:rsidRDefault="00E25CC6" w:rsidP="00621E49">
      <w:pPr>
        <w:rPr>
          <w:lang w:eastAsia="en-AU"/>
        </w:rPr>
      </w:pPr>
      <w:r>
        <w:rPr>
          <w:lang w:eastAsia="en-AU"/>
        </w:rPr>
        <w:t>A program of infrastructure works will replace and refurbish a number of Victoria Police facilities in regional and rural areas. This will include replacing the Police stations in Bright, Colac, Corryong, Cowes, Mallacoota, Murtoa and Warburton. The investment supports Victoria Police’s capability to provide safe communities and safe workplaces.</w:t>
      </w:r>
    </w:p>
    <w:p w:rsidR="00E25CC6" w:rsidRPr="002E14E2" w:rsidRDefault="00E25CC6" w:rsidP="00885502">
      <w:r>
        <w:t>This initiative contributes to the Department of Justice and Regulation’s Policing Services and Crime Prevention output. .</w:t>
      </w:r>
      <w:r>
        <w:fldChar w:fldCharType="begin"/>
      </w:r>
      <w:r>
        <w:instrText xml:space="preserve"> XE "</w:instrText>
      </w:r>
      <w:r w:rsidRPr="00873D1A">
        <w:instrText>Regional and Rural Victoria Services</w:instrText>
      </w:r>
      <w:r>
        <w:instrText xml:space="preserve">" </w:instrText>
      </w:r>
      <w:r>
        <w:fldChar w:fldCharType="end"/>
      </w:r>
    </w:p>
    <w:p w:rsidR="00E25CC6" w:rsidRPr="00885D3C" w:rsidRDefault="00E25CC6" w:rsidP="0062053D">
      <w:pPr>
        <w:pStyle w:val="Heading5"/>
      </w:pPr>
      <w:r w:rsidRPr="00885D3C">
        <w:t>Strength</w:t>
      </w:r>
      <w:r>
        <w:t xml:space="preserve">ening Victoria Police’s Counter – </w:t>
      </w:r>
      <w:r w:rsidRPr="00885D3C">
        <w:t>Terrorism Capacity and Capability</w:t>
      </w:r>
    </w:p>
    <w:p w:rsidR="00E25CC6" w:rsidRDefault="00E25CC6" w:rsidP="00885502">
      <w:pPr>
        <w:pStyle w:val="Heading5"/>
        <w:rPr>
          <w:rFonts w:ascii="Garamond" w:hAnsi="Garamond"/>
          <w:b w:val="0"/>
        </w:rPr>
      </w:pPr>
      <w:r w:rsidRPr="006B7EDB">
        <w:rPr>
          <w:rFonts w:ascii="Garamond" w:hAnsi="Garamond"/>
          <w:b w:val="0"/>
        </w:rPr>
        <w:t>Refer to the output initiative for a description of this initiative.</w:t>
      </w:r>
    </w:p>
    <w:p w:rsidR="00E25CC6" w:rsidRDefault="00E25CC6">
      <w:pPr>
        <w:spacing w:after="0"/>
        <w:rPr>
          <w:rFonts w:ascii="Calibri" w:hAnsi="Calibri"/>
          <w:b/>
          <w:caps/>
          <w:sz w:val="26"/>
          <w:szCs w:val="22"/>
        </w:rPr>
      </w:pPr>
      <w:r>
        <w:br w:type="page"/>
      </w:r>
    </w:p>
    <w:p w:rsidR="00E25CC6" w:rsidRPr="00FA2145" w:rsidRDefault="00E25CC6" w:rsidP="007A3BD7">
      <w:pPr>
        <w:pStyle w:val="Heading1"/>
      </w:pPr>
      <w:bookmarkStart w:id="44" w:name="_Toc449109431"/>
      <w:r w:rsidRPr="00FA2145">
        <w:t>Department of Premier and Cabinet</w:t>
      </w:r>
      <w:bookmarkEnd w:id="44"/>
      <w:r w:rsidRPr="00FA2145">
        <w:t xml:space="preserve"> </w:t>
      </w:r>
    </w:p>
    <w:p w:rsidR="00E25CC6" w:rsidRPr="003B15A1" w:rsidRDefault="00E25CC6" w:rsidP="003B15A1">
      <w:pPr>
        <w:pStyle w:val="Heading3"/>
      </w:pPr>
      <w:r>
        <w:t>Output initiatives</w:t>
      </w:r>
    </w:p>
    <w:p w:rsidR="00E25CC6" w:rsidRDefault="00E25CC6" w:rsidP="003B15A1">
      <w:pPr>
        <w:pStyle w:val="Tableheading"/>
      </w:pPr>
      <w:r>
        <w:t>Table 1.22:</w:t>
      </w:r>
      <w:r>
        <w:tab/>
        <w:t>Output initiatives – Department of Premier and Cabinet</w:t>
      </w:r>
    </w:p>
    <w:p w:rsidR="00E25CC6" w:rsidRDefault="00E25CC6" w:rsidP="005255BF">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19"/>
        <w:gridCol w:w="851"/>
        <w:gridCol w:w="851"/>
        <w:gridCol w:w="852"/>
        <w:gridCol w:w="851"/>
        <w:gridCol w:w="852"/>
      </w:tblGrid>
      <w:tr w:rsidR="00E25CC6" w:rsidRPr="005255BF" w:rsidTr="005255BF">
        <w:trPr>
          <w:cantSplit/>
          <w:tblHeader/>
        </w:trPr>
        <w:tc>
          <w:tcPr>
            <w:tcW w:w="3519" w:type="dxa"/>
            <w:tcBorders>
              <w:top w:val="single" w:sz="4" w:space="0" w:color="auto"/>
              <w:left w:val="single" w:sz="4" w:space="0" w:color="auto"/>
              <w:bottom w:val="single" w:sz="4" w:space="0" w:color="auto"/>
              <w:right w:val="nil"/>
            </w:tcBorders>
            <w:shd w:val="clear" w:color="auto" w:fill="000000"/>
          </w:tcPr>
          <w:p w:rsidR="00E25CC6" w:rsidRPr="005255BF" w:rsidRDefault="00E25CC6" w:rsidP="005255BF">
            <w:pPr>
              <w:pStyle w:val="Tabletext"/>
              <w:rPr>
                <w:rFonts w:eastAsiaTheme="minorEastAsia"/>
                <w:lang w:eastAsia="en-AU"/>
              </w:rPr>
            </w:pPr>
            <w:r w:rsidRPr="005255BF">
              <w:rPr>
                <w:rFonts w:eastAsiaTheme="minorEastAsia"/>
                <w:lang w:eastAsia="en-AU"/>
              </w:rPr>
              <w:t xml:space="preserve"> </w:t>
            </w:r>
          </w:p>
        </w:tc>
        <w:tc>
          <w:tcPr>
            <w:tcW w:w="851"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2015</w:t>
            </w:r>
            <w:r>
              <w:rPr>
                <w:rFonts w:eastAsiaTheme="minorEastAsia"/>
                <w:lang w:eastAsia="en-AU"/>
              </w:rPr>
              <w:noBreakHyphen/>
            </w:r>
            <w:r w:rsidRPr="005255BF">
              <w:rPr>
                <w:rFonts w:eastAsiaTheme="minorEastAsia"/>
                <w:lang w:eastAsia="en-AU"/>
              </w:rPr>
              <w:t>16</w:t>
            </w:r>
          </w:p>
        </w:tc>
        <w:tc>
          <w:tcPr>
            <w:tcW w:w="851"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2016</w:t>
            </w:r>
            <w:r>
              <w:rPr>
                <w:rFonts w:eastAsiaTheme="minorEastAsia"/>
                <w:lang w:eastAsia="en-AU"/>
              </w:rPr>
              <w:noBreakHyphen/>
            </w:r>
            <w:r w:rsidRPr="005255BF">
              <w:rPr>
                <w:rFonts w:eastAsiaTheme="minorEastAsia"/>
                <w:lang w:eastAsia="en-AU"/>
              </w:rPr>
              <w:t>17</w:t>
            </w:r>
          </w:p>
        </w:tc>
        <w:tc>
          <w:tcPr>
            <w:tcW w:w="852"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2017</w:t>
            </w:r>
            <w:r>
              <w:rPr>
                <w:rFonts w:eastAsiaTheme="minorEastAsia"/>
                <w:lang w:eastAsia="en-AU"/>
              </w:rPr>
              <w:noBreakHyphen/>
            </w:r>
            <w:r w:rsidRPr="005255BF">
              <w:rPr>
                <w:rFonts w:eastAsiaTheme="minorEastAsia"/>
                <w:lang w:eastAsia="en-AU"/>
              </w:rPr>
              <w:t>18</w:t>
            </w:r>
          </w:p>
        </w:tc>
        <w:tc>
          <w:tcPr>
            <w:tcW w:w="851" w:type="dxa"/>
            <w:tcBorders>
              <w:top w:val="single" w:sz="4" w:space="0" w:color="auto"/>
              <w:left w:val="nil"/>
              <w:bottom w:val="single" w:sz="4" w:space="0" w:color="auto"/>
              <w:right w:val="nil"/>
            </w:tcBorders>
            <w:shd w:val="clear" w:color="auto" w:fill="000000"/>
          </w:tcPr>
          <w:p w:rsidR="00E25CC6" w:rsidRPr="005255BF" w:rsidRDefault="00E25CC6" w:rsidP="005255BF">
            <w:pPr>
              <w:pStyle w:val="Tabletextheading"/>
              <w:rPr>
                <w:rFonts w:eastAsiaTheme="minorEastAsia"/>
                <w:lang w:eastAsia="en-AU"/>
              </w:rPr>
            </w:pPr>
            <w:r w:rsidRPr="005255BF">
              <w:rPr>
                <w:rFonts w:eastAsiaTheme="minorEastAsia"/>
                <w:lang w:eastAsia="en-AU"/>
              </w:rPr>
              <w:t>2018</w:t>
            </w:r>
            <w:r>
              <w:rPr>
                <w:rFonts w:eastAsiaTheme="minorEastAsia"/>
                <w:lang w:eastAsia="en-AU"/>
              </w:rPr>
              <w:noBreakHyphen/>
            </w:r>
            <w:r w:rsidRPr="005255BF">
              <w:rPr>
                <w:rFonts w:eastAsiaTheme="minorEastAsia"/>
                <w:lang w:eastAsia="en-AU"/>
              </w:rPr>
              <w:t>19</w:t>
            </w:r>
          </w:p>
        </w:tc>
        <w:tc>
          <w:tcPr>
            <w:tcW w:w="852" w:type="dxa"/>
            <w:tcBorders>
              <w:top w:val="single" w:sz="4" w:space="0" w:color="auto"/>
              <w:left w:val="nil"/>
              <w:bottom w:val="single" w:sz="4" w:space="0" w:color="auto"/>
              <w:right w:val="single" w:sz="4" w:space="0" w:color="auto"/>
            </w:tcBorders>
            <w:shd w:val="clear" w:color="auto" w:fill="000000"/>
          </w:tcPr>
          <w:p w:rsidR="00E25CC6" w:rsidRPr="005255BF" w:rsidRDefault="00E25CC6" w:rsidP="005255BF">
            <w:pPr>
              <w:pStyle w:val="Tabletextheading"/>
              <w:rPr>
                <w:rFonts w:eastAsiaTheme="minorEastAsia" w:cs="Calibri"/>
                <w:iCs/>
                <w:lang w:eastAsia="en-AU"/>
              </w:rPr>
            </w:pPr>
            <w:r w:rsidRPr="005255BF">
              <w:rPr>
                <w:rFonts w:eastAsiaTheme="minorEastAsia" w:cs="Calibri"/>
                <w:iCs/>
                <w:lang w:eastAsia="en-AU"/>
              </w:rPr>
              <w:t>2019</w:t>
            </w:r>
            <w:r>
              <w:rPr>
                <w:rFonts w:eastAsiaTheme="minorEastAsia" w:cs="Calibri"/>
                <w:iCs/>
                <w:lang w:eastAsia="en-AU"/>
              </w:rPr>
              <w:noBreakHyphen/>
            </w:r>
            <w:r w:rsidRPr="005255BF">
              <w:rPr>
                <w:rFonts w:eastAsiaTheme="minorEastAsia" w:cs="Calibri"/>
                <w:iCs/>
                <w:lang w:eastAsia="en-AU"/>
              </w:rPr>
              <w:t>20</w:t>
            </w:r>
          </w:p>
        </w:tc>
      </w:tr>
      <w:tr w:rsidR="00E25CC6" w:rsidRPr="005255BF" w:rsidTr="005255BF">
        <w:trPr>
          <w:cantSplit/>
        </w:trPr>
        <w:tc>
          <w:tcPr>
            <w:tcW w:w="3519" w:type="dxa"/>
            <w:tcBorders>
              <w:top w:val="single" w:sz="4" w:space="0" w:color="auto"/>
              <w:left w:val="nil"/>
              <w:bottom w:val="nil"/>
              <w:right w:val="nil"/>
            </w:tcBorders>
            <w:shd w:val="solid" w:color="FFFFFF" w:fill="auto"/>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Engaged Citizens</w:t>
            </w:r>
          </w:p>
        </w:tc>
        <w:tc>
          <w:tcPr>
            <w:tcW w:w="851" w:type="dxa"/>
            <w:tcBorders>
              <w:top w:val="single" w:sz="4" w:space="0" w:color="auto"/>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single" w:sz="4" w:space="0" w:color="auto"/>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single" w:sz="4" w:space="0" w:color="auto"/>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single" w:sz="4" w:space="0" w:color="auto"/>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single" w:sz="4" w:space="0" w:color="auto"/>
              <w:left w:val="nil"/>
              <w:bottom w:val="nil"/>
              <w:right w:val="nil"/>
            </w:tcBorders>
          </w:tcPr>
          <w:p w:rsidR="00E25CC6" w:rsidRPr="005255BF" w:rsidRDefault="00E25CC6" w:rsidP="005255BF">
            <w:pPr>
              <w:autoSpaceDE w:val="0"/>
              <w:autoSpaceDN w:val="0"/>
              <w:adjustRightInd w:val="0"/>
              <w:spacing w:after="0"/>
              <w:rPr>
                <w:rFonts w:ascii="Calibri" w:eastAsiaTheme="minorEastAsia" w:hAnsi="Calibri" w:cs="Calibri"/>
                <w:sz w:val="20"/>
                <w:lang w:eastAsia="en-AU"/>
              </w:rPr>
            </w:pPr>
            <w:r w:rsidRPr="005255BF">
              <w:rPr>
                <w:rFonts w:ascii="Calibri" w:eastAsiaTheme="minorEastAsia" w:hAnsi="Calibri" w:cs="Calibri"/>
                <w:sz w:val="20"/>
                <w:lang w:eastAsia="en-AU"/>
              </w:rPr>
              <w:t xml:space="preserve"> </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Combatting homophobia</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0.5</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0.5</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0.5</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LGBTI grants program</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1.0</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Settlement and asylum seeker support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4.5</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4.5</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4.5</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4.5</w:t>
            </w:r>
          </w:p>
        </w:tc>
      </w:tr>
      <w:tr w:rsidR="00E25CC6" w:rsidRPr="005255BF" w:rsidTr="005255BF">
        <w:trPr>
          <w:cantSplit/>
        </w:trPr>
        <w:tc>
          <w:tcPr>
            <w:tcW w:w="3519" w:type="dxa"/>
            <w:tcBorders>
              <w:top w:val="nil"/>
              <w:left w:val="nil"/>
              <w:bottom w:val="nil"/>
              <w:right w:val="nil"/>
            </w:tcBorders>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Productivity and Competitiveness</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rPr>
                <w:rFonts w:ascii="Calibri" w:eastAsiaTheme="minorEastAsia" w:hAnsi="Calibri" w:cs="Calibri"/>
                <w:sz w:val="20"/>
                <w:lang w:eastAsia="en-AU"/>
              </w:rPr>
            </w:pPr>
            <w:r w:rsidRPr="005255BF">
              <w:rPr>
                <w:rFonts w:ascii="Calibri" w:eastAsiaTheme="minorEastAsia" w:hAnsi="Calibri" w:cs="Calibri"/>
                <w:sz w:val="20"/>
                <w:lang w:eastAsia="en-AU"/>
              </w:rPr>
              <w:t xml:space="preserve"> </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Design Leadership Pilot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0.1</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Professional Public Administration</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rPr>
                <w:rFonts w:ascii="Calibri" w:eastAsiaTheme="minorEastAsia" w:hAnsi="Calibri" w:cs="Calibri"/>
                <w:sz w:val="20"/>
                <w:lang w:eastAsia="en-AU"/>
              </w:rPr>
            </w:pPr>
            <w:r w:rsidRPr="005255BF">
              <w:rPr>
                <w:rFonts w:ascii="Calibri" w:eastAsiaTheme="minorEastAsia" w:hAnsi="Calibri" w:cs="Calibri"/>
                <w:sz w:val="20"/>
                <w:lang w:eastAsia="en-AU"/>
              </w:rPr>
              <w:t xml:space="preserve"> </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Maintaining an effective, accountable and professional public administration</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4.5</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4.7</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1.8</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2.0</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 xml:space="preserve">Ongoing funding to meet the obligations of the Commissioner for Privacy and Data Protection </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0.4</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Public Record Office Victoria collection storage</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0.4</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Victorian Ombudsman office relocation</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5.0</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1.5</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Victorian Public Sector Commission: building public sector capability and integrity</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2.8</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nil"/>
              <w:left w:val="nil"/>
              <w:bottom w:val="nil"/>
              <w:right w:val="nil"/>
            </w:tcBorders>
          </w:tcPr>
          <w:p w:rsidR="00E25CC6" w:rsidRPr="005255BF" w:rsidRDefault="00E25CC6" w:rsidP="005255BF">
            <w:pPr>
              <w:pStyle w:val="Tabletext"/>
              <w:rPr>
                <w:rFonts w:eastAsiaTheme="minorEastAsia"/>
                <w:b/>
                <w:bCs/>
                <w:color w:val="000000"/>
                <w:lang w:eastAsia="en-AU"/>
              </w:rPr>
            </w:pPr>
            <w:r w:rsidRPr="005255BF">
              <w:rPr>
                <w:rFonts w:eastAsiaTheme="minorEastAsia"/>
                <w:b/>
                <w:bCs/>
                <w:color w:val="000000"/>
                <w:lang w:eastAsia="en-AU"/>
              </w:rPr>
              <w:t>Strong Policy Outcomes</w:t>
            </w:r>
          </w:p>
        </w:tc>
        <w:tc>
          <w:tcPr>
            <w:tcW w:w="851"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1" w:type="dxa"/>
            <w:tcBorders>
              <w:top w:val="nil"/>
              <w:left w:val="nil"/>
              <w:bottom w:val="nil"/>
              <w:right w:val="nil"/>
            </w:tcBorders>
            <w:shd w:val="solid" w:color="FFFFFF" w:fill="auto"/>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w:t>
            </w:r>
          </w:p>
        </w:tc>
        <w:tc>
          <w:tcPr>
            <w:tcW w:w="852" w:type="dxa"/>
            <w:tcBorders>
              <w:top w:val="nil"/>
              <w:left w:val="nil"/>
              <w:bottom w:val="nil"/>
              <w:right w:val="nil"/>
            </w:tcBorders>
            <w:shd w:val="solid" w:color="FFFFFF" w:fill="auto"/>
          </w:tcPr>
          <w:p w:rsidR="00E25CC6" w:rsidRPr="005255BF" w:rsidRDefault="00E25CC6" w:rsidP="005255BF">
            <w:pPr>
              <w:autoSpaceDE w:val="0"/>
              <w:autoSpaceDN w:val="0"/>
              <w:adjustRightInd w:val="0"/>
              <w:spacing w:after="0"/>
              <w:rPr>
                <w:rFonts w:ascii="Calibri" w:eastAsiaTheme="minorEastAsia" w:hAnsi="Calibri" w:cs="Calibri"/>
                <w:sz w:val="20"/>
                <w:lang w:eastAsia="en-AU"/>
              </w:rPr>
            </w:pPr>
            <w:r w:rsidRPr="005255BF">
              <w:rPr>
                <w:rFonts w:ascii="Calibri" w:eastAsiaTheme="minorEastAsia" w:hAnsi="Calibri" w:cs="Calibri"/>
                <w:sz w:val="20"/>
                <w:lang w:eastAsia="en-AU"/>
              </w:rPr>
              <w:t xml:space="preserve"> </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Community Renewal and Rebuilding Fund</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3.0</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3.0</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3.0</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3.0</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Creating a stronger Victorian Public Service through a stronger centre</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13.4</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13.4</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13.4</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 xml:space="preserve"> 13.4</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Getting Ready for the National Disability Insurance Scheme</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5.1</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11.9</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3.8</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0.5</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Pr>
                <w:rFonts w:eastAsiaTheme="minorEastAsia"/>
                <w:color w:val="000000"/>
                <w:lang w:eastAsia="en-AU"/>
              </w:rPr>
              <w:t>New models of service delivery</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1.0</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nil"/>
              <w:left w:val="nil"/>
              <w:bottom w:val="nil"/>
              <w:right w:val="nil"/>
            </w:tcBorders>
            <w:shd w:val="solid" w:color="FFFFFF" w:fill="auto"/>
          </w:tcPr>
          <w:p w:rsidR="00E25CC6" w:rsidRPr="005255BF" w:rsidRDefault="00E25CC6" w:rsidP="005255BF">
            <w:pPr>
              <w:pStyle w:val="Tabletext"/>
              <w:rPr>
                <w:rFonts w:eastAsiaTheme="minorEastAsia"/>
                <w:color w:val="000000"/>
                <w:lang w:eastAsia="en-AU"/>
              </w:rPr>
            </w:pPr>
            <w:r w:rsidRPr="005255BF">
              <w:rPr>
                <w:rFonts w:eastAsiaTheme="minorEastAsia"/>
                <w:color w:val="000000"/>
                <w:lang w:eastAsia="en-AU"/>
              </w:rPr>
              <w:t>Service Victoria</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 xml:space="preserve"> 81.1</w:t>
            </w:r>
          </w:p>
        </w:tc>
        <w:tc>
          <w:tcPr>
            <w:tcW w:w="852"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1" w:type="dxa"/>
            <w:tcBorders>
              <w:top w:val="nil"/>
              <w:left w:val="nil"/>
              <w:bottom w:val="nil"/>
              <w:right w:val="nil"/>
            </w:tcBorders>
          </w:tcPr>
          <w:p w:rsidR="00E25CC6" w:rsidRPr="005255BF" w:rsidRDefault="00E25CC6" w:rsidP="005255BF">
            <w:pPr>
              <w:pStyle w:val="TableofFigures"/>
              <w:rPr>
                <w:rFonts w:eastAsiaTheme="minorEastAsia"/>
                <w:lang w:eastAsia="en-AU"/>
              </w:rPr>
            </w:pPr>
            <w:r w:rsidRPr="005255BF">
              <w:rPr>
                <w:rFonts w:eastAsiaTheme="minorEastAsia"/>
                <w:lang w:eastAsia="en-AU"/>
              </w:rPr>
              <w:t>..</w:t>
            </w:r>
          </w:p>
        </w:tc>
        <w:tc>
          <w:tcPr>
            <w:tcW w:w="852" w:type="dxa"/>
            <w:tcBorders>
              <w:top w:val="nil"/>
              <w:left w:val="nil"/>
              <w:bottom w:val="nil"/>
              <w:right w:val="nil"/>
            </w:tcBorders>
          </w:tcPr>
          <w:p w:rsidR="00E25CC6" w:rsidRPr="005255BF" w:rsidRDefault="00E25CC6" w:rsidP="005255BF">
            <w:pPr>
              <w:autoSpaceDE w:val="0"/>
              <w:autoSpaceDN w:val="0"/>
              <w:adjustRightInd w:val="0"/>
              <w:spacing w:after="0"/>
              <w:jc w:val="right"/>
              <w:rPr>
                <w:rFonts w:ascii="Calibri" w:eastAsiaTheme="minorEastAsia" w:hAnsi="Calibri" w:cs="Calibri"/>
                <w:sz w:val="20"/>
                <w:lang w:eastAsia="en-AU"/>
              </w:rPr>
            </w:pPr>
            <w:r w:rsidRPr="005255BF">
              <w:rPr>
                <w:rFonts w:ascii="Calibri" w:eastAsiaTheme="minorEastAsia" w:hAnsi="Calibri" w:cs="Calibri"/>
                <w:sz w:val="20"/>
                <w:lang w:eastAsia="en-AU"/>
              </w:rPr>
              <w:t>..</w:t>
            </w:r>
          </w:p>
        </w:tc>
      </w:tr>
      <w:tr w:rsidR="00E25CC6" w:rsidRPr="005255BF" w:rsidTr="005255BF">
        <w:trPr>
          <w:cantSplit/>
        </w:trPr>
        <w:tc>
          <w:tcPr>
            <w:tcW w:w="3519"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text"/>
              <w:rPr>
                <w:rFonts w:eastAsiaTheme="minorEastAsia"/>
                <w:b/>
                <w:bCs/>
                <w:color w:val="000000"/>
                <w:vertAlign w:val="superscript"/>
                <w:lang w:eastAsia="en-AU"/>
              </w:rPr>
            </w:pPr>
            <w:r w:rsidRPr="005255BF">
              <w:rPr>
                <w:rFonts w:eastAsiaTheme="minorEastAsia"/>
                <w:b/>
                <w:bCs/>
                <w:color w:val="000000"/>
                <w:lang w:eastAsia="en-AU"/>
              </w:rPr>
              <w:t xml:space="preserve">Total output initiatives </w:t>
            </w:r>
            <w:r w:rsidRPr="005255BF">
              <w:rPr>
                <w:rFonts w:eastAsiaTheme="minorEastAsia"/>
                <w:b/>
                <w:bCs/>
                <w:color w:val="000000"/>
                <w:vertAlign w:val="superscript"/>
                <w:lang w:eastAsia="en-AU"/>
              </w:rPr>
              <w:t>(a)</w:t>
            </w:r>
          </w:p>
        </w:tc>
        <w:tc>
          <w:tcPr>
            <w:tcW w:w="851"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10.2</w:t>
            </w:r>
          </w:p>
        </w:tc>
        <w:tc>
          <w:tcPr>
            <w:tcW w:w="851"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126.4</w:t>
            </w:r>
          </w:p>
        </w:tc>
        <w:tc>
          <w:tcPr>
            <w:tcW w:w="852"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30.8</w:t>
            </w:r>
          </w:p>
        </w:tc>
        <w:tc>
          <w:tcPr>
            <w:tcW w:w="851" w:type="dxa"/>
            <w:tcBorders>
              <w:top w:val="single" w:sz="6" w:space="0" w:color="auto"/>
              <w:left w:val="nil"/>
              <w:bottom w:val="single" w:sz="12" w:space="0" w:color="auto"/>
              <w:right w:val="nil"/>
            </w:tcBorders>
            <w:shd w:val="solid" w:color="FFFFFF" w:fill="auto"/>
          </w:tcPr>
          <w:p w:rsidR="00E25CC6" w:rsidRPr="005255BF" w:rsidRDefault="00E25CC6" w:rsidP="005255BF">
            <w:pPr>
              <w:pStyle w:val="TableofFigures"/>
              <w:rPr>
                <w:rFonts w:eastAsiaTheme="minorEastAsia"/>
                <w:b/>
                <w:bCs/>
                <w:lang w:eastAsia="en-AU"/>
              </w:rPr>
            </w:pPr>
            <w:r w:rsidRPr="005255BF">
              <w:rPr>
                <w:rFonts w:eastAsiaTheme="minorEastAsia"/>
                <w:b/>
                <w:bCs/>
                <w:lang w:eastAsia="en-AU"/>
              </w:rPr>
              <w:t xml:space="preserve"> 24.6</w:t>
            </w:r>
          </w:p>
        </w:tc>
        <w:tc>
          <w:tcPr>
            <w:tcW w:w="852" w:type="dxa"/>
            <w:tcBorders>
              <w:top w:val="single" w:sz="6" w:space="0" w:color="auto"/>
              <w:left w:val="nil"/>
              <w:bottom w:val="single" w:sz="12" w:space="0" w:color="auto"/>
              <w:right w:val="nil"/>
            </w:tcBorders>
            <w:shd w:val="solid" w:color="FFFFFF" w:fill="auto"/>
          </w:tcPr>
          <w:p w:rsidR="00E25CC6" w:rsidRPr="005255BF" w:rsidRDefault="00E25CC6" w:rsidP="005255BF">
            <w:pPr>
              <w:autoSpaceDE w:val="0"/>
              <w:autoSpaceDN w:val="0"/>
              <w:adjustRightInd w:val="0"/>
              <w:spacing w:after="0"/>
              <w:jc w:val="right"/>
              <w:rPr>
                <w:rFonts w:ascii="Calibri" w:eastAsiaTheme="minorEastAsia" w:hAnsi="Calibri" w:cs="Calibri"/>
                <w:b/>
                <w:bCs/>
                <w:sz w:val="20"/>
                <w:lang w:eastAsia="en-AU"/>
              </w:rPr>
            </w:pPr>
            <w:r w:rsidRPr="005255BF">
              <w:rPr>
                <w:rFonts w:ascii="Calibri" w:eastAsiaTheme="minorEastAsia" w:hAnsi="Calibri" w:cs="Calibri"/>
                <w:b/>
                <w:bCs/>
                <w:sz w:val="20"/>
                <w:lang w:eastAsia="en-AU"/>
              </w:rPr>
              <w:t xml:space="preserve"> 24.4</w:t>
            </w:r>
          </w:p>
        </w:tc>
      </w:tr>
    </w:tbl>
    <w:p w:rsidR="00E25CC6" w:rsidRDefault="00E25CC6" w:rsidP="00566998">
      <w:pPr>
        <w:pStyle w:val="Source"/>
      </w:pPr>
      <w:r>
        <w:t>Source: Department of Treasury and Finance</w:t>
      </w:r>
      <w:r>
        <w:fldChar w:fldCharType="begin"/>
      </w:r>
      <w:r>
        <w:instrText xml:space="preserve"> XE "</w:instrText>
      </w:r>
      <w:r w:rsidRPr="00772D4A">
        <w:instrText>Department of Premier and Cabinet:Output initiatives</w:instrText>
      </w:r>
      <w:r>
        <w:instrText xml:space="preserve">" </w:instrText>
      </w:r>
      <w:r>
        <w:fldChar w:fldCharType="end"/>
      </w:r>
    </w:p>
    <w:p w:rsidR="00E25CC6" w:rsidRDefault="00E25CC6" w:rsidP="00566998">
      <w:pPr>
        <w:pStyle w:val="Notes"/>
      </w:pPr>
      <w:r>
        <w:t xml:space="preserve">Note: </w:t>
      </w:r>
    </w:p>
    <w:p w:rsidR="00E25CC6" w:rsidRPr="00223E0D" w:rsidRDefault="00E25CC6" w:rsidP="00223E0D">
      <w:pPr>
        <w:pStyle w:val="Notes"/>
      </w:pPr>
      <w:r>
        <w:t>(a)</w:t>
      </w:r>
      <w:r>
        <w:tab/>
        <w:t>Tables may not add due to rounding.</w:t>
      </w:r>
    </w:p>
    <w:p w:rsidR="00E25CC6" w:rsidRPr="00BF1480" w:rsidRDefault="00E25CC6" w:rsidP="00BF1480">
      <w:pPr>
        <w:pStyle w:val="Heading4"/>
      </w:pPr>
      <w:r w:rsidRPr="00BF1480">
        <w:t>Engaged Citizens</w:t>
      </w:r>
    </w:p>
    <w:p w:rsidR="00E25CC6" w:rsidRDefault="00E25CC6" w:rsidP="0062053D">
      <w:pPr>
        <w:pStyle w:val="Heading5"/>
      </w:pPr>
      <w:bookmarkStart w:id="45" w:name="DPC_EngageCitzCh1"/>
      <w:r>
        <w:t>Combatting h</w:t>
      </w:r>
      <w:r w:rsidRPr="007F320C">
        <w:t>omophobia</w:t>
      </w:r>
    </w:p>
    <w:p w:rsidR="00E25CC6" w:rsidRDefault="00E25CC6" w:rsidP="004E7FC0">
      <w:pPr>
        <w:rPr>
          <w:bCs/>
          <w:szCs w:val="24"/>
          <w:lang w:eastAsia="en-AU"/>
        </w:rPr>
      </w:pPr>
      <w:r>
        <w:t>A</w:t>
      </w:r>
      <w:r w:rsidRPr="00264FF3">
        <w:t xml:space="preserve"> program of education and training </w:t>
      </w:r>
      <w:r>
        <w:t xml:space="preserve">will be delivered </w:t>
      </w:r>
      <w:r w:rsidRPr="00264FF3">
        <w:t>to combat homophobia, biphobia and transphobia in regional and rural Victoria</w:t>
      </w:r>
      <w:r>
        <w:t xml:space="preserve"> to</w:t>
      </w:r>
      <w:r w:rsidRPr="00264FF3">
        <w:rPr>
          <w:bCs/>
          <w:szCs w:val="24"/>
          <w:lang w:eastAsia="en-AU"/>
        </w:rPr>
        <w:t xml:space="preserve"> provide L</w:t>
      </w:r>
      <w:r>
        <w:rPr>
          <w:bCs/>
          <w:szCs w:val="24"/>
          <w:lang w:eastAsia="en-AU"/>
        </w:rPr>
        <w:t xml:space="preserve">esbian, </w:t>
      </w:r>
      <w:r w:rsidRPr="00264FF3">
        <w:rPr>
          <w:bCs/>
          <w:szCs w:val="24"/>
          <w:lang w:eastAsia="en-AU"/>
        </w:rPr>
        <w:t>G</w:t>
      </w:r>
      <w:r>
        <w:rPr>
          <w:bCs/>
          <w:szCs w:val="24"/>
          <w:lang w:eastAsia="en-AU"/>
        </w:rPr>
        <w:t xml:space="preserve">ay, </w:t>
      </w:r>
      <w:r w:rsidRPr="00264FF3">
        <w:rPr>
          <w:bCs/>
          <w:szCs w:val="24"/>
          <w:lang w:eastAsia="en-AU"/>
        </w:rPr>
        <w:t>B</w:t>
      </w:r>
      <w:r>
        <w:rPr>
          <w:bCs/>
          <w:szCs w:val="24"/>
          <w:lang w:eastAsia="en-AU"/>
        </w:rPr>
        <w:t xml:space="preserve">isexual, </w:t>
      </w:r>
      <w:r w:rsidRPr="00264FF3">
        <w:rPr>
          <w:bCs/>
          <w:szCs w:val="24"/>
          <w:lang w:eastAsia="en-AU"/>
        </w:rPr>
        <w:t>T</w:t>
      </w:r>
      <w:r>
        <w:rPr>
          <w:bCs/>
          <w:szCs w:val="24"/>
          <w:lang w:eastAsia="en-AU"/>
        </w:rPr>
        <w:t xml:space="preserve">ransgender and </w:t>
      </w:r>
      <w:r w:rsidRPr="00264FF3">
        <w:rPr>
          <w:bCs/>
          <w:szCs w:val="24"/>
          <w:lang w:eastAsia="en-AU"/>
        </w:rPr>
        <w:t>I</w:t>
      </w:r>
      <w:r>
        <w:rPr>
          <w:bCs/>
          <w:szCs w:val="24"/>
          <w:lang w:eastAsia="en-AU"/>
        </w:rPr>
        <w:t>ntersex</w:t>
      </w:r>
      <w:r w:rsidRPr="00264FF3">
        <w:rPr>
          <w:bCs/>
          <w:szCs w:val="24"/>
          <w:lang w:eastAsia="en-AU"/>
        </w:rPr>
        <w:t xml:space="preserve"> </w:t>
      </w:r>
      <w:r>
        <w:rPr>
          <w:bCs/>
          <w:szCs w:val="24"/>
          <w:lang w:eastAsia="en-AU"/>
        </w:rPr>
        <w:t xml:space="preserve">(LGBTI) </w:t>
      </w:r>
      <w:r w:rsidRPr="00264FF3">
        <w:rPr>
          <w:bCs/>
          <w:szCs w:val="24"/>
          <w:lang w:eastAsia="en-AU"/>
        </w:rPr>
        <w:t>community members with better access to support outsides metropolitan centres.</w:t>
      </w:r>
    </w:p>
    <w:p w:rsidR="00E25CC6" w:rsidRDefault="00E25CC6" w:rsidP="002452B9">
      <w:r w:rsidRPr="00264FF3">
        <w:t>This initiative contributes to the Department of Premier and Cabinet</w:t>
      </w:r>
      <w:r>
        <w:t>’</w:t>
      </w:r>
      <w:r w:rsidRPr="00264FF3">
        <w:t>s Women</w:t>
      </w:r>
      <w:r>
        <w:t>, the Prevention of Family Violence and LGBTI</w:t>
      </w:r>
      <w:r w:rsidRPr="00264FF3">
        <w:t xml:space="preserve"> Equality Policy and Programs output.</w:t>
      </w:r>
    </w:p>
    <w:p w:rsidR="00E25CC6" w:rsidRDefault="00E25CC6" w:rsidP="0062053D">
      <w:pPr>
        <w:pStyle w:val="Heading5"/>
      </w:pPr>
      <w:r w:rsidRPr="00561B06">
        <w:t xml:space="preserve">LGBTI </w:t>
      </w:r>
      <w:r>
        <w:t>grants p</w:t>
      </w:r>
      <w:r w:rsidRPr="00561B06">
        <w:t>rogram</w:t>
      </w:r>
    </w:p>
    <w:p w:rsidR="00E25CC6" w:rsidRPr="00264FF3" w:rsidRDefault="00E25CC6" w:rsidP="004E7FC0">
      <w:r w:rsidRPr="00264FF3">
        <w:t>The LGBTI Grants Program will provide grants to LGBTI representatives and community organisations. These grants will assist with strengthening the sustainability of LGBTI community organisations and the development of governance, fiscal and leadership capability.</w:t>
      </w:r>
      <w:r w:rsidRPr="002D2E5D">
        <w:rPr>
          <w:rFonts w:eastAsiaTheme="minorEastAsia"/>
          <w:lang w:eastAsia="en-AU"/>
        </w:rPr>
        <w:t xml:space="preserve"> </w:t>
      </w:r>
      <w:r>
        <w:rPr>
          <w:rFonts w:eastAsiaTheme="minorEastAsia"/>
          <w:lang w:eastAsia="en-AU"/>
        </w:rPr>
        <w:fldChar w:fldCharType="begin"/>
      </w:r>
      <w:r>
        <w:instrText xml:space="preserve"> XE "</w:instrText>
      </w:r>
      <w:r w:rsidRPr="004A38E6">
        <w:instrText>Lesbian, Gay, Bisexual, Transgender and Intersexed (LGBTI)</w:instrText>
      </w:r>
      <w:r>
        <w:instrText xml:space="preserve">" </w:instrText>
      </w:r>
      <w:r>
        <w:rPr>
          <w:rFonts w:eastAsiaTheme="minorEastAsia"/>
          <w:lang w:eastAsia="en-AU"/>
        </w:rPr>
        <w:fldChar w:fldCharType="end"/>
      </w:r>
    </w:p>
    <w:p w:rsidR="00E25CC6" w:rsidRDefault="00E25CC6" w:rsidP="00646687">
      <w:r w:rsidRPr="00264FF3">
        <w:t>This initiative contributes to the Department of Premier and Cabinet</w:t>
      </w:r>
      <w:r>
        <w:t>’</w:t>
      </w:r>
      <w:r w:rsidRPr="00264FF3">
        <w:t>s Women</w:t>
      </w:r>
      <w:r>
        <w:t>, the Prevention of Family Violence and LGBTI</w:t>
      </w:r>
      <w:r w:rsidRPr="00264FF3">
        <w:t xml:space="preserve"> Equality Policy and Programs output.</w:t>
      </w:r>
    </w:p>
    <w:p w:rsidR="00E25CC6" w:rsidRPr="0062053D" w:rsidRDefault="00E25CC6" w:rsidP="0062053D">
      <w:pPr>
        <w:pStyle w:val="Heading5"/>
      </w:pPr>
      <w:r w:rsidRPr="0062053D">
        <w:t>Settlement and asylum seeker support</w:t>
      </w:r>
    </w:p>
    <w:p w:rsidR="00E25CC6" w:rsidRPr="00C22ABA" w:rsidRDefault="00E25CC6" w:rsidP="004E7FC0">
      <w:r w:rsidRPr="00C22ABA">
        <w:t xml:space="preserve">A range of programs will </w:t>
      </w:r>
      <w:r>
        <w:t xml:space="preserve">provide a coordinated, </w:t>
      </w:r>
      <w:r w:rsidRPr="00C22ABA">
        <w:t xml:space="preserve">integrated and early </w:t>
      </w:r>
      <w:r>
        <w:t>intervention approach to promoting</w:t>
      </w:r>
      <w:r w:rsidRPr="00C22ABA">
        <w:t xml:space="preserve"> the positive settlement of humanitarian arrivals (refugees and asylum seekers) across Victoria. The </w:t>
      </w:r>
      <w:r>
        <w:t>programs</w:t>
      </w:r>
      <w:r w:rsidRPr="00C22ABA">
        <w:t xml:space="preserve"> will strengthen support for newly arrived refugees and asylum seekers</w:t>
      </w:r>
      <w:r>
        <w:t>. These programs will</w:t>
      </w:r>
      <w:r w:rsidRPr="00C22ABA">
        <w:t xml:space="preserve"> build </w:t>
      </w:r>
      <w:r>
        <w:t xml:space="preserve">community capacity; strengthen access to education and employment; and utilise sports, arts, culture and community to foster a sense of place and belonging for humanitarian arrivals. </w:t>
      </w:r>
    </w:p>
    <w:p w:rsidR="00E25CC6" w:rsidRDefault="00E25CC6" w:rsidP="004E7FC0">
      <w:r>
        <w:t>This initiative contributes to the Department of Premier and Cabinet’s Multicultural Affairs Policy and Programs output</w:t>
      </w:r>
      <w:bookmarkEnd w:id="45"/>
      <w:r>
        <w:t xml:space="preserve"> </w:t>
      </w:r>
      <w:r>
        <w:fldChar w:fldCharType="begin"/>
      </w:r>
      <w:r>
        <w:instrText xml:space="preserve"> XE "</w:instrText>
      </w:r>
      <w:r w:rsidRPr="00BD7C5F">
        <w:instrText>Department of Premier and Cabinet:Engaged Citizens</w:instrText>
      </w:r>
      <w:r>
        <w:instrText xml:space="preserve">" \r "DPC_EngageCitzCh1" </w:instrText>
      </w:r>
      <w:r>
        <w:fldChar w:fldCharType="end"/>
      </w:r>
      <w:r>
        <w:t xml:space="preserve"> </w:t>
      </w:r>
      <w:r>
        <w:rPr>
          <w:rFonts w:eastAsiaTheme="minorEastAsia"/>
          <w:lang w:eastAsia="en-AU"/>
        </w:rPr>
        <w:fldChar w:fldCharType="begin"/>
      </w:r>
      <w:r>
        <w:instrText xml:space="preserve"> XE "</w:instrText>
      </w:r>
      <w:r w:rsidRPr="002C17F5">
        <w:instrText>Multicultural Affairs</w:instrText>
      </w:r>
      <w:r>
        <w:instrText xml:space="preserve">" </w:instrText>
      </w:r>
      <w:r>
        <w:rPr>
          <w:rFonts w:eastAsiaTheme="minorEastAsia"/>
          <w:lang w:eastAsia="en-AU"/>
        </w:rPr>
        <w:fldChar w:fldCharType="end"/>
      </w:r>
    </w:p>
    <w:p w:rsidR="00E25CC6" w:rsidRPr="00BF1480" w:rsidRDefault="00E25CC6" w:rsidP="00BF1480">
      <w:pPr>
        <w:pStyle w:val="Heading4"/>
      </w:pPr>
      <w:r w:rsidRPr="00BF1480">
        <w:t>Productivity and Competitiveness</w:t>
      </w:r>
    </w:p>
    <w:p w:rsidR="00E25CC6" w:rsidRPr="000B2DB1" w:rsidRDefault="00E25CC6" w:rsidP="0062053D">
      <w:pPr>
        <w:pStyle w:val="Heading5"/>
      </w:pPr>
      <w:r>
        <w:t>Design Leadership Pilot</w:t>
      </w:r>
    </w:p>
    <w:p w:rsidR="00E25CC6" w:rsidRDefault="00E25CC6" w:rsidP="004E7FC0">
      <w:pPr>
        <w:rPr>
          <w:rFonts w:asciiTheme="minorHAnsi" w:hAnsiTheme="minorHAnsi"/>
          <w:b/>
          <w:i/>
        </w:rPr>
      </w:pPr>
      <w:r>
        <w:t>The</w:t>
      </w:r>
      <w:r w:rsidRPr="00B60736">
        <w:t xml:space="preserve"> Office of the Victorian Government Architect </w:t>
      </w:r>
      <w:r>
        <w:t>will</w:t>
      </w:r>
      <w:r w:rsidRPr="00B60736">
        <w:t xml:space="preserve"> further develop the business case for a Design Leadership </w:t>
      </w:r>
      <w:r>
        <w:t xml:space="preserve">Pilot </w:t>
      </w:r>
      <w:r w:rsidRPr="00B60736">
        <w:t>Program.</w:t>
      </w:r>
      <w:r>
        <w:t xml:space="preserve"> The program will seek to provide an integrated design and development process for state</w:t>
      </w:r>
      <w:r>
        <w:noBreakHyphen/>
        <w:t>owned sites where development opportunities are not currently on offer to the private sector. The pilot will be conducted with sites considered to have opportunities to create and capture value, including through enhanced commercial development.</w:t>
      </w:r>
      <w:r>
        <w:fldChar w:fldCharType="begin"/>
      </w:r>
      <w:r>
        <w:instrText xml:space="preserve"> XE "</w:instrText>
      </w:r>
      <w:r w:rsidRPr="008374A7">
        <w:instrText>Department of Premier and Cabinet:Productivity and Competitiveness</w:instrText>
      </w:r>
      <w:r>
        <w:instrText xml:space="preserve">" </w:instrText>
      </w:r>
      <w:r>
        <w:fldChar w:fldCharType="end"/>
      </w:r>
    </w:p>
    <w:p w:rsidR="00E25CC6" w:rsidRPr="00223E0D" w:rsidRDefault="00E25CC6" w:rsidP="00223E0D">
      <w:pPr>
        <w:rPr>
          <w:rFonts w:asciiTheme="minorHAnsi" w:hAnsiTheme="minorHAnsi"/>
          <w:b/>
          <w:i/>
        </w:rPr>
      </w:pPr>
      <w:r w:rsidRPr="00E0104E">
        <w:t>This initiative contributes to the Department of Premier and Cabinet</w:t>
      </w:r>
      <w:r>
        <w:t>’</w:t>
      </w:r>
      <w:r w:rsidRPr="00E0104E">
        <w:t xml:space="preserve">s </w:t>
      </w:r>
      <w:r w:rsidRPr="000B2DB1">
        <w:t>Office of the Victorian Government Architect</w:t>
      </w:r>
      <w:r w:rsidRPr="00E0104E">
        <w:t xml:space="preserve"> output.</w:t>
      </w:r>
    </w:p>
    <w:p w:rsidR="00E25CC6" w:rsidRPr="00BF1480" w:rsidRDefault="00E25CC6" w:rsidP="00A16677">
      <w:pPr>
        <w:pStyle w:val="Heading4"/>
      </w:pPr>
      <w:r>
        <w:t>Professional Public Administration</w:t>
      </w:r>
    </w:p>
    <w:p w:rsidR="00E25CC6" w:rsidRPr="0062053D" w:rsidRDefault="00E25CC6" w:rsidP="00A16677">
      <w:pPr>
        <w:pStyle w:val="Heading5"/>
      </w:pPr>
      <w:bookmarkStart w:id="46" w:name="DPC_ProfPubCh1"/>
      <w:r w:rsidRPr="0062053D">
        <w:t>Maintaining an effective, accountable and professional public administration</w:t>
      </w:r>
    </w:p>
    <w:p w:rsidR="00E25CC6" w:rsidRPr="004052E0" w:rsidRDefault="00E25CC6" w:rsidP="00A16677">
      <w:r w:rsidRPr="004052E0">
        <w:t>The Publ</w:t>
      </w:r>
      <w:r>
        <w:t>ic Record Office Victoria</w:t>
      </w:r>
      <w:r w:rsidRPr="004052E0">
        <w:t xml:space="preserve"> will receive additional funding to ensure that its services match increasing demands for public record keeping, including increased demand for digital services.</w:t>
      </w:r>
    </w:p>
    <w:p w:rsidR="00E25CC6" w:rsidRPr="004052E0" w:rsidRDefault="00E25CC6" w:rsidP="00A16677">
      <w:r w:rsidRPr="004052E0">
        <w:t>The Victorian Ombudsman will receive additional funding to address increasing demand for services.</w:t>
      </w:r>
    </w:p>
    <w:p w:rsidR="00E25CC6" w:rsidRDefault="00E25CC6" w:rsidP="00A16677">
      <w:r w:rsidRPr="004052E0">
        <w:t>This initiative contributes to the Department of Premier and Cabinet</w:t>
      </w:r>
      <w:r>
        <w:t>’</w:t>
      </w:r>
      <w:r w:rsidRPr="004052E0">
        <w:t>s</w:t>
      </w:r>
      <w:r>
        <w:t>:</w:t>
      </w:r>
    </w:p>
    <w:p w:rsidR="00E25CC6" w:rsidRDefault="00E25CC6" w:rsidP="00A16677">
      <w:pPr>
        <w:pStyle w:val="BulletText"/>
      </w:pPr>
      <w:r w:rsidRPr="004052E0">
        <w:t>Management of Victoria</w:t>
      </w:r>
      <w:r>
        <w:t>’</w:t>
      </w:r>
      <w:r w:rsidRPr="004052E0">
        <w:t>s Public Records output</w:t>
      </w:r>
      <w:r>
        <w:t>; and</w:t>
      </w:r>
    </w:p>
    <w:p w:rsidR="00E25CC6" w:rsidRPr="00E576F1" w:rsidRDefault="00E25CC6" w:rsidP="00A16677">
      <w:pPr>
        <w:pStyle w:val="BulletText"/>
      </w:pPr>
      <w:r>
        <w:t>Public Sector Integrity output</w:t>
      </w:r>
      <w:r w:rsidRPr="004052E0">
        <w:t>.</w:t>
      </w:r>
    </w:p>
    <w:p w:rsidR="00E25CC6" w:rsidRPr="0062053D" w:rsidRDefault="00E25CC6" w:rsidP="00A16677">
      <w:pPr>
        <w:pStyle w:val="Heading5"/>
      </w:pPr>
      <w:r w:rsidRPr="0062053D">
        <w:t>Ongoing funding to meet the obligations of the Commissioner for Privacy and Data Protection</w:t>
      </w:r>
    </w:p>
    <w:p w:rsidR="00E25CC6" w:rsidRPr="00E576F1" w:rsidRDefault="00E25CC6" w:rsidP="00A16677">
      <w:r w:rsidRPr="00E576F1">
        <w:t xml:space="preserve">Additional funding </w:t>
      </w:r>
      <w:r>
        <w:t>is</w:t>
      </w:r>
      <w:r w:rsidRPr="00E576F1">
        <w:t xml:space="preserve"> provided to the Office of the Commissioner for Privacy and Data Protection to develop a whole of government Prot</w:t>
      </w:r>
      <w:r>
        <w:t>ective Data Security Framework. This includes</w:t>
      </w:r>
      <w:r w:rsidRPr="00E576F1">
        <w:t xml:space="preserve"> the development and implementation of the Victorian Protective Data Security Standards and an assurance framework to assess compliance with the Standards.</w:t>
      </w:r>
    </w:p>
    <w:p w:rsidR="00E25CC6" w:rsidRPr="004052E0" w:rsidRDefault="00E25CC6" w:rsidP="00A16677">
      <w:r w:rsidRPr="00E576F1">
        <w:t>This initiative contributes to the Department of Premier and Cabinet</w:t>
      </w:r>
      <w:r>
        <w:t>’</w:t>
      </w:r>
      <w:r w:rsidRPr="00E576F1">
        <w:t xml:space="preserve">s Public Sector </w:t>
      </w:r>
      <w:r w:rsidRPr="004052E0">
        <w:t>Integrity output.</w:t>
      </w:r>
    </w:p>
    <w:p w:rsidR="00E25CC6" w:rsidRPr="00C41EA4" w:rsidRDefault="00E25CC6" w:rsidP="00A16677">
      <w:pPr>
        <w:pStyle w:val="Heading5"/>
      </w:pPr>
      <w:r w:rsidRPr="00C41EA4">
        <w:t xml:space="preserve">Public Record Office Victoria collection storage </w:t>
      </w:r>
    </w:p>
    <w:p w:rsidR="00E25CC6" w:rsidRDefault="00E25CC6" w:rsidP="00A16677">
      <w:r w:rsidRPr="005612B2">
        <w:t xml:space="preserve">The Government will undertake a strategic assessment and scoping study of the long term options available to deal with the storage needs for </w:t>
      </w:r>
      <w:r>
        <w:t>paper</w:t>
      </w:r>
      <w:r>
        <w:noBreakHyphen/>
        <w:t>based</w:t>
      </w:r>
      <w:r w:rsidRPr="005612B2">
        <w:t xml:space="preserve"> public records. </w:t>
      </w:r>
    </w:p>
    <w:p w:rsidR="00E25CC6" w:rsidRPr="00E576F1" w:rsidRDefault="00E25CC6" w:rsidP="00A16677">
      <w:r w:rsidRPr="00E576F1">
        <w:t>This initiative contributes to the Department of Premier and Cabinet</w:t>
      </w:r>
      <w:r>
        <w:t>’</w:t>
      </w:r>
      <w:r w:rsidRPr="00E576F1">
        <w:t xml:space="preserve">s </w:t>
      </w:r>
      <w:r>
        <w:t>Management of Victoria’s Public Records</w:t>
      </w:r>
      <w:r w:rsidRPr="00E576F1">
        <w:t xml:space="preserve"> output.</w:t>
      </w:r>
    </w:p>
    <w:p w:rsidR="00E25CC6" w:rsidRPr="004052E0" w:rsidRDefault="00E25CC6" w:rsidP="00A16677">
      <w:pPr>
        <w:pStyle w:val="Heading5"/>
      </w:pPr>
      <w:r w:rsidRPr="004052E0">
        <w:t>Victorian Ombudsman Office relocation</w:t>
      </w:r>
    </w:p>
    <w:p w:rsidR="00E25CC6" w:rsidRPr="004052E0" w:rsidRDefault="00E25CC6" w:rsidP="00A16677">
      <w:r w:rsidRPr="004052E0">
        <w:t>The Victorian Ombudsman will relocate to a new premises following the expiration of its existing lease. Funding is provided for a fit</w:t>
      </w:r>
      <w:r>
        <w:noBreakHyphen/>
      </w:r>
      <w:r w:rsidRPr="004052E0">
        <w:t xml:space="preserve">out of the new location, procurement of appropriate </w:t>
      </w:r>
      <w:r>
        <w:t>information technology</w:t>
      </w:r>
      <w:r w:rsidRPr="004052E0">
        <w:t xml:space="preserve"> and security infrastructure and additional lease costs.</w:t>
      </w:r>
    </w:p>
    <w:p w:rsidR="00E25CC6" w:rsidRPr="00E576F1" w:rsidRDefault="00E25CC6" w:rsidP="00A16677">
      <w:r w:rsidRPr="004052E0">
        <w:t>This initiative contributes to the Department of Premier and Cabinet</w:t>
      </w:r>
      <w:r>
        <w:t>’</w:t>
      </w:r>
      <w:r w:rsidRPr="004052E0">
        <w:t>s Public Sector Integrity output.</w:t>
      </w:r>
    </w:p>
    <w:p w:rsidR="00E25CC6" w:rsidRPr="005F2116" w:rsidRDefault="00E25CC6" w:rsidP="00A16677">
      <w:pPr>
        <w:pStyle w:val="Heading5"/>
      </w:pPr>
      <w:r w:rsidRPr="005F2116">
        <w:t xml:space="preserve">Victorian Public Sector </w:t>
      </w:r>
      <w:r>
        <w:t>Commission: building p</w:t>
      </w:r>
      <w:r w:rsidRPr="005F2116">
        <w:t xml:space="preserve">ublic </w:t>
      </w:r>
      <w:r>
        <w:t>s</w:t>
      </w:r>
      <w:r w:rsidRPr="005F2116">
        <w:t xml:space="preserve">ector </w:t>
      </w:r>
      <w:r>
        <w:t>capability and i</w:t>
      </w:r>
      <w:r w:rsidRPr="005F2116">
        <w:t>ntegrity</w:t>
      </w:r>
    </w:p>
    <w:p w:rsidR="00E25CC6" w:rsidRDefault="00E25CC6" w:rsidP="00A16677">
      <w:r>
        <w:t xml:space="preserve">The Victorian Public Sector Commission will receive additional funding to enable it to fulfil its statutory functions under the </w:t>
      </w:r>
      <w:r w:rsidRPr="00024F35">
        <w:rPr>
          <w:i/>
        </w:rPr>
        <w:t>Public Administration Act 2004</w:t>
      </w:r>
      <w:r>
        <w:t xml:space="preserve"> to strengthen public sector integrity, capability and effectiveness.</w:t>
      </w:r>
    </w:p>
    <w:p w:rsidR="00E25CC6" w:rsidRDefault="00E25CC6" w:rsidP="00A16677">
      <w:r w:rsidRPr="00E0104E">
        <w:t>This initiative contributes to the Department of Premier and Cabinet</w:t>
      </w:r>
      <w:r>
        <w:t>’</w:t>
      </w:r>
      <w:r w:rsidRPr="00E0104E">
        <w:t xml:space="preserve">s </w:t>
      </w:r>
      <w:r w:rsidRPr="005F2116">
        <w:t>Public administration advice and support</w:t>
      </w:r>
      <w:r w:rsidRPr="00E0104E">
        <w:t xml:space="preserve"> output</w:t>
      </w:r>
      <w:bookmarkEnd w:id="46"/>
      <w:r>
        <w:fldChar w:fldCharType="begin"/>
      </w:r>
      <w:r>
        <w:instrText xml:space="preserve"> XE "</w:instrText>
      </w:r>
      <w:r w:rsidRPr="007254AE">
        <w:instrText>Department of Premier and Cabinet:Professional Public Administration</w:instrText>
      </w:r>
      <w:r>
        <w:instrText xml:space="preserve">" \r "DPC_ProfPubCh1" </w:instrText>
      </w:r>
      <w:r>
        <w:fldChar w:fldCharType="end"/>
      </w:r>
      <w:r w:rsidRPr="00E0104E">
        <w:t>.</w:t>
      </w:r>
    </w:p>
    <w:p w:rsidR="00E25CC6" w:rsidRPr="00BF1480" w:rsidRDefault="00E25CC6" w:rsidP="00BF1480">
      <w:pPr>
        <w:pStyle w:val="Heading4"/>
      </w:pPr>
      <w:r>
        <w:t>Strong Policy Outcomes</w:t>
      </w:r>
    </w:p>
    <w:p w:rsidR="00E25CC6" w:rsidRPr="0062053D" w:rsidRDefault="00E25CC6" w:rsidP="0062053D">
      <w:pPr>
        <w:pStyle w:val="Heading5"/>
      </w:pPr>
      <w:bookmarkStart w:id="47" w:name="DPC_StrongPolOutCh1"/>
      <w:r w:rsidRPr="0062053D">
        <w:t>Community Renewal and Rebuilding Fund</w:t>
      </w:r>
    </w:p>
    <w:p w:rsidR="00E25CC6" w:rsidRPr="0005214C" w:rsidRDefault="00E25CC6" w:rsidP="004E7FC0">
      <w:r>
        <w:t>A Community Renewal and Reb</w:t>
      </w:r>
      <w:r w:rsidRPr="00841353">
        <w:t xml:space="preserve">uilding Fund will </w:t>
      </w:r>
      <w:r>
        <w:t xml:space="preserve">be established to </w:t>
      </w:r>
      <w:r w:rsidRPr="00841353">
        <w:t xml:space="preserve">provide targeted support for disadvantaged communities. Grants will be provided for locally driven interventions and place based projects in disadvantaged communities. The Fund will also support the </w:t>
      </w:r>
      <w:r>
        <w:t>coordination</w:t>
      </w:r>
      <w:r w:rsidRPr="00841353">
        <w:t xml:space="preserve"> of </w:t>
      </w:r>
      <w:r>
        <w:t>community programs and build the capability of</w:t>
      </w:r>
      <w:r w:rsidRPr="00841353">
        <w:t xml:space="preserve"> community organisations.</w:t>
      </w:r>
      <w:r>
        <w:fldChar w:fldCharType="begin"/>
      </w:r>
      <w:r>
        <w:instrText xml:space="preserve"> XE "</w:instrText>
      </w:r>
      <w:r w:rsidRPr="009B3F40">
        <w:instrText>Department of Premier and Cabinet:Community Renewal and Rebuilding Fund</w:instrText>
      </w:r>
      <w:r>
        <w:instrText xml:space="preserve">" </w:instrText>
      </w:r>
      <w:r>
        <w:fldChar w:fldCharType="end"/>
      </w:r>
      <w:r>
        <w:t xml:space="preserve"> </w:t>
      </w:r>
      <w:r w:rsidRPr="00841353">
        <w:t>.</w:t>
      </w:r>
      <w:r>
        <w:fldChar w:fldCharType="begin"/>
      </w:r>
      <w:r>
        <w:instrText xml:space="preserve"> XE "Communities</w:instrText>
      </w:r>
      <w:r w:rsidRPr="009B3F40">
        <w:instrText>:Community Renewal and Rebuilding Fund</w:instrText>
      </w:r>
      <w:r>
        <w:instrText xml:space="preserve">" </w:instrText>
      </w:r>
      <w:r>
        <w:fldChar w:fldCharType="end"/>
      </w:r>
    </w:p>
    <w:p w:rsidR="00E25CC6" w:rsidRDefault="00E25CC6" w:rsidP="004E7FC0">
      <w:r w:rsidRPr="00E0104E">
        <w:t>This initiative contributes to the Department of Premier and Cabinet</w:t>
      </w:r>
      <w:r>
        <w:t>’</w:t>
      </w:r>
      <w:r w:rsidRPr="00E0104E">
        <w:t xml:space="preserve">s </w:t>
      </w:r>
      <w:r w:rsidRPr="00B83312">
        <w:t>Government</w:t>
      </w:r>
      <w:r>
        <w:noBreakHyphen/>
      </w:r>
      <w:r w:rsidRPr="00B83312">
        <w:t>wide leadership, reform and implementation</w:t>
      </w:r>
      <w:r w:rsidRPr="00E0104E">
        <w:t xml:space="preserve"> output.</w:t>
      </w:r>
    </w:p>
    <w:p w:rsidR="00E25CC6" w:rsidRDefault="00E25CC6">
      <w:pPr>
        <w:spacing w:after="0"/>
        <w:rPr>
          <w:rFonts w:ascii="Calibri" w:hAnsi="Calibri"/>
          <w:b/>
        </w:rPr>
      </w:pPr>
      <w:r>
        <w:br w:type="page"/>
      </w:r>
    </w:p>
    <w:p w:rsidR="00E25CC6" w:rsidRPr="0062053D" w:rsidRDefault="00E25CC6" w:rsidP="0062053D">
      <w:pPr>
        <w:pStyle w:val="Heading5"/>
      </w:pPr>
      <w:r w:rsidRPr="0062053D">
        <w:t>Creating a stronger V</w:t>
      </w:r>
      <w:r>
        <w:t xml:space="preserve">ictorian </w:t>
      </w:r>
      <w:r w:rsidRPr="0062053D">
        <w:t>P</w:t>
      </w:r>
      <w:r>
        <w:t xml:space="preserve">ublic </w:t>
      </w:r>
      <w:r w:rsidRPr="0062053D">
        <w:t>S</w:t>
      </w:r>
      <w:r>
        <w:t>ervice</w:t>
      </w:r>
      <w:r w:rsidRPr="0062053D">
        <w:t xml:space="preserve"> through a stronger centre </w:t>
      </w:r>
    </w:p>
    <w:p w:rsidR="00E25CC6" w:rsidRDefault="00E25CC6" w:rsidP="004E7FC0">
      <w:pPr>
        <w:rPr>
          <w:rFonts w:asciiTheme="minorHAnsi" w:hAnsiTheme="minorHAnsi"/>
          <w:b/>
          <w:i/>
        </w:rPr>
      </w:pPr>
      <w:r w:rsidRPr="00C1669E">
        <w:t>Funding is provided to the Department of Premier and Cabinet and the Department of Treasury and Finance to enhance their policy and strategic advice capabilities.</w:t>
      </w:r>
    </w:p>
    <w:p w:rsidR="00E25CC6" w:rsidRPr="00024F35" w:rsidRDefault="00E25CC6" w:rsidP="004E7FC0">
      <w:r>
        <w:t xml:space="preserve">This initiative contributes to the Department of Premier and Cabinet’s </w:t>
      </w:r>
      <w:r w:rsidRPr="009F726E">
        <w:t>Strategic Advice and Government support</w:t>
      </w:r>
      <w:r>
        <w:t xml:space="preserve"> output.</w:t>
      </w:r>
    </w:p>
    <w:p w:rsidR="00E25CC6" w:rsidRDefault="00E25CC6" w:rsidP="0062053D">
      <w:pPr>
        <w:pStyle w:val="Heading5"/>
      </w:pPr>
      <w:r>
        <w:t>Getting Ready for the National Disability Insurance Scheme</w:t>
      </w:r>
    </w:p>
    <w:p w:rsidR="00E25CC6" w:rsidRDefault="00E25CC6" w:rsidP="004E7FC0">
      <w:r>
        <w:t>The National Disability Insurance Scheme</w:t>
      </w:r>
      <w:r>
        <w:fldChar w:fldCharType="begin"/>
      </w:r>
      <w:r>
        <w:instrText xml:space="preserve"> XE "</w:instrText>
      </w:r>
      <w:r w:rsidRPr="007810D7">
        <w:instrText>National Disability Insurance Scheme</w:instrText>
      </w:r>
      <w:r>
        <w:instrText xml:space="preserve">" </w:instrText>
      </w:r>
      <w:r>
        <w:fldChar w:fldCharType="end"/>
      </w:r>
      <w:r>
        <w:t xml:space="preserve"> (NDIS) is the biggest social policy reform since Medicare. The Government is committed to the successful rollout of the NDIS and this funding will help prepare for and facilitate the first stage of this transition, including workforce development and service innovation. </w:t>
      </w:r>
    </w:p>
    <w:p w:rsidR="00E25CC6" w:rsidRDefault="00E25CC6" w:rsidP="004E7FC0">
      <w:r>
        <w:t xml:space="preserve">This initiative contributes to the Department of Premier and Cabinet’s </w:t>
      </w:r>
      <w:r w:rsidRPr="00FD0555">
        <w:t>Government</w:t>
      </w:r>
      <w:r>
        <w:noBreakHyphen/>
      </w:r>
      <w:r w:rsidRPr="00FD0555">
        <w:t>wide leadership, reform and implementation</w:t>
      </w:r>
      <w:r>
        <w:t xml:space="preserve"> output.</w:t>
      </w:r>
    </w:p>
    <w:p w:rsidR="00E25CC6" w:rsidRDefault="00E25CC6" w:rsidP="0062053D">
      <w:pPr>
        <w:pStyle w:val="Heading5"/>
      </w:pPr>
      <w:r>
        <w:t>New Models of Service Delivery</w:t>
      </w:r>
    </w:p>
    <w:p w:rsidR="00E25CC6" w:rsidRDefault="00E25CC6" w:rsidP="004E7FC0">
      <w:r>
        <w:t xml:space="preserve">The Department of Premier and Cabinet will assess the feasibility of establishing Public Sector Mutuals (PSMs) as an alternative human services delivery model. </w:t>
      </w:r>
      <w:r w:rsidRPr="00FB11FD">
        <w:t>PSM</w:t>
      </w:r>
      <w:r>
        <w:t>s are</w:t>
      </w:r>
      <w:r w:rsidRPr="00FB11FD">
        <w:t xml:space="preserve"> owned by a majority</w:t>
      </w:r>
      <w:r>
        <w:noBreakHyphen/>
      </w:r>
      <w:r w:rsidRPr="00FB11FD">
        <w:t>owned employee or community organisation with an ethos of social purpose and reinvestment of profits for members</w:t>
      </w:r>
      <w:r>
        <w:t xml:space="preserve">. </w:t>
      </w:r>
    </w:p>
    <w:p w:rsidR="00E25CC6" w:rsidRPr="00223E0D" w:rsidRDefault="00E25CC6" w:rsidP="00223E0D">
      <w:r>
        <w:t xml:space="preserve">This initiative contributes to the Department of Premier and Cabinet’s </w:t>
      </w:r>
      <w:r w:rsidRPr="00FD0555">
        <w:t>Government</w:t>
      </w:r>
      <w:r>
        <w:noBreakHyphen/>
      </w:r>
      <w:r w:rsidRPr="00FD0555">
        <w:t>wide leadership, reform and implementation</w:t>
      </w:r>
      <w:r>
        <w:t xml:space="preserve"> output.</w:t>
      </w:r>
    </w:p>
    <w:p w:rsidR="00E25CC6" w:rsidRPr="00DF4972" w:rsidRDefault="00E25CC6" w:rsidP="00DF4972">
      <w:pPr>
        <w:pStyle w:val="Heading5"/>
      </w:pPr>
      <w:r w:rsidRPr="00DF4972">
        <w:t xml:space="preserve">Service Victoria </w:t>
      </w:r>
    </w:p>
    <w:p w:rsidR="00E25CC6" w:rsidRDefault="00E25CC6" w:rsidP="00DF4972">
      <w:pPr>
        <w:rPr>
          <w:lang w:eastAsia="en-AU"/>
        </w:rPr>
      </w:pPr>
      <w:r>
        <w:rPr>
          <w:rFonts w:cs="Garamond"/>
          <w:color w:val="000000"/>
          <w:szCs w:val="22"/>
          <w:lang w:eastAsia="en-AU"/>
        </w:rPr>
        <w:t>Service Victoria will create a new whole of government service capability to enhance the delivery of government transactions with citizens, enable the delivery of a more effective customer experience and create new distribution channels for simple, high volume transactions. Funding is provided for the next phase of Service Victoria’s implementation and draws on planning undertaken in 2015</w:t>
      </w:r>
      <w:r>
        <w:rPr>
          <w:rFonts w:cs="Garamond"/>
          <w:color w:val="000000"/>
          <w:szCs w:val="22"/>
          <w:lang w:eastAsia="en-AU"/>
        </w:rPr>
        <w:noBreakHyphen/>
        <w:t xml:space="preserve">16. </w:t>
      </w:r>
    </w:p>
    <w:p w:rsidR="00E25CC6" w:rsidRDefault="00E25CC6" w:rsidP="00DF4972">
      <w:pPr>
        <w:rPr>
          <w:lang w:eastAsia="en-AU"/>
        </w:rPr>
      </w:pPr>
      <w:r>
        <w:rPr>
          <w:lang w:eastAsia="en-AU"/>
        </w:rPr>
        <w:t>This initiative contributes to the Department of Premier and Cabinet’s Government</w:t>
      </w:r>
      <w:r>
        <w:rPr>
          <w:lang w:eastAsia="en-AU"/>
        </w:rPr>
        <w:noBreakHyphen/>
        <w:t xml:space="preserve">wide Leadership, Reform and Implementation output. </w:t>
      </w:r>
      <w:bookmarkEnd w:id="47"/>
      <w:r>
        <w:rPr>
          <w:lang w:eastAsia="en-AU"/>
        </w:rPr>
        <w:t xml:space="preserve"> </w:t>
      </w:r>
      <w:r>
        <w:rPr>
          <w:lang w:eastAsia="en-AU"/>
        </w:rPr>
        <w:fldChar w:fldCharType="begin"/>
      </w:r>
      <w:r>
        <w:instrText xml:space="preserve"> XE "</w:instrText>
      </w:r>
      <w:r w:rsidRPr="006E0528">
        <w:instrText>Department of Premier and Cabinet:Strong Policy Outcomes</w:instrText>
      </w:r>
      <w:r>
        <w:instrText xml:space="preserve">" \r "DPC_StrongPolOutCh1" </w:instrText>
      </w:r>
      <w:r>
        <w:rPr>
          <w:lang w:eastAsia="en-AU"/>
        </w:rPr>
        <w:fldChar w:fldCharType="end"/>
      </w:r>
    </w:p>
    <w:p w:rsidR="00E25CC6" w:rsidRDefault="00E25CC6">
      <w:pPr>
        <w:spacing w:after="0"/>
        <w:rPr>
          <w:rFonts w:ascii="Calibri" w:hAnsi="Calibri"/>
          <w:b/>
          <w:i/>
          <w:kern w:val="28"/>
          <w:sz w:val="24"/>
          <w:szCs w:val="22"/>
        </w:rPr>
      </w:pPr>
      <w:r>
        <w:br w:type="page"/>
      </w:r>
    </w:p>
    <w:p w:rsidR="00E25CC6" w:rsidRDefault="00E25CC6" w:rsidP="00AC6399">
      <w:pPr>
        <w:pStyle w:val="Heading3"/>
      </w:pPr>
      <w:r>
        <w:t>Asset initiatives</w:t>
      </w:r>
    </w:p>
    <w:p w:rsidR="00E25CC6" w:rsidRDefault="00E25CC6" w:rsidP="00CB5D8D">
      <w:pPr>
        <w:pStyle w:val="Tableheading"/>
      </w:pPr>
      <w:r>
        <w:t>Table 1.23:</w:t>
      </w:r>
      <w:r>
        <w:tab/>
        <w:t>Asset initiatives – Department of Premier and Cabinet</w:t>
      </w:r>
    </w:p>
    <w:p w:rsidR="00E25CC6" w:rsidRPr="00046AA9" w:rsidRDefault="00E25CC6" w:rsidP="00046AA9">
      <w:pPr>
        <w:pStyle w:val="million"/>
      </w:pPr>
      <w:r>
        <w:t>($ million)</w:t>
      </w:r>
    </w:p>
    <w:tbl>
      <w:tblPr>
        <w:tblW w:w="7765" w:type="dxa"/>
        <w:tblInd w:w="43" w:type="dxa"/>
        <w:tblLayout w:type="fixed"/>
        <w:tblCellMar>
          <w:left w:w="43" w:type="dxa"/>
          <w:right w:w="43" w:type="dxa"/>
        </w:tblCellMar>
        <w:tblLook w:val="0000" w:firstRow="0" w:lastRow="0" w:firstColumn="0" w:lastColumn="0" w:noHBand="0" w:noVBand="0"/>
      </w:tblPr>
      <w:tblGrid>
        <w:gridCol w:w="2665"/>
        <w:gridCol w:w="850"/>
        <w:gridCol w:w="850"/>
        <w:gridCol w:w="850"/>
        <w:gridCol w:w="850"/>
        <w:gridCol w:w="850"/>
        <w:gridCol w:w="850"/>
      </w:tblGrid>
      <w:tr w:rsidR="00E25CC6" w:rsidRPr="00046AA9" w:rsidTr="00046AA9">
        <w:trPr>
          <w:tblHeader/>
        </w:trPr>
        <w:tc>
          <w:tcPr>
            <w:tcW w:w="2665" w:type="dxa"/>
            <w:tcBorders>
              <w:bottom w:val="single" w:sz="4" w:space="0" w:color="auto"/>
              <w:right w:val="nil"/>
            </w:tcBorders>
            <w:shd w:val="clear" w:color="auto" w:fill="000000"/>
            <w:vAlign w:val="bottom"/>
          </w:tcPr>
          <w:p w:rsidR="00E25CC6" w:rsidRPr="00046AA9" w:rsidRDefault="00E25CC6" w:rsidP="00046AA9">
            <w:pPr>
              <w:pStyle w:val="Tabletext"/>
              <w:rPr>
                <w:rFonts w:eastAsiaTheme="minorEastAsia"/>
                <w:color w:val="FFFFFF"/>
                <w:lang w:eastAsia="en-AU"/>
              </w:rPr>
            </w:pPr>
            <w:r>
              <w:rPr>
                <w:rFonts w:eastAsiaTheme="minorEastAsia"/>
                <w:color w:val="FFFFFF"/>
                <w:lang w:eastAsia="en-AU"/>
              </w:rPr>
              <w:t xml:space="preserve"> </w:t>
            </w:r>
          </w:p>
        </w:tc>
        <w:tc>
          <w:tcPr>
            <w:tcW w:w="85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2015</w:t>
            </w:r>
            <w:r>
              <w:rPr>
                <w:rFonts w:eastAsiaTheme="minorEastAsia"/>
                <w:color w:val="FFFFFF"/>
                <w:sz w:val="19"/>
                <w:lang w:eastAsia="en-AU"/>
              </w:rPr>
              <w:noBreakHyphen/>
            </w:r>
            <w:r w:rsidRPr="00046AA9">
              <w:rPr>
                <w:rFonts w:eastAsiaTheme="minorEastAsia"/>
                <w:color w:val="FFFFFF"/>
                <w:sz w:val="19"/>
                <w:lang w:eastAsia="en-AU"/>
              </w:rPr>
              <w:t>16</w:t>
            </w:r>
          </w:p>
        </w:tc>
        <w:tc>
          <w:tcPr>
            <w:tcW w:w="85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2016</w:t>
            </w:r>
            <w:r>
              <w:rPr>
                <w:rFonts w:eastAsiaTheme="minorEastAsia"/>
                <w:color w:val="FFFFFF"/>
                <w:sz w:val="19"/>
                <w:lang w:eastAsia="en-AU"/>
              </w:rPr>
              <w:noBreakHyphen/>
            </w:r>
            <w:r w:rsidRPr="00046AA9">
              <w:rPr>
                <w:rFonts w:eastAsiaTheme="minorEastAsia"/>
                <w:color w:val="FFFFFF"/>
                <w:sz w:val="19"/>
                <w:lang w:eastAsia="en-AU"/>
              </w:rPr>
              <w:t>17</w:t>
            </w:r>
          </w:p>
        </w:tc>
        <w:tc>
          <w:tcPr>
            <w:tcW w:w="85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2017</w:t>
            </w:r>
            <w:r>
              <w:rPr>
                <w:rFonts w:eastAsiaTheme="minorEastAsia"/>
                <w:color w:val="FFFFFF"/>
                <w:sz w:val="19"/>
                <w:lang w:eastAsia="en-AU"/>
              </w:rPr>
              <w:noBreakHyphen/>
            </w:r>
            <w:r w:rsidRPr="00046AA9">
              <w:rPr>
                <w:rFonts w:eastAsiaTheme="minorEastAsia"/>
                <w:color w:val="FFFFFF"/>
                <w:sz w:val="19"/>
                <w:lang w:eastAsia="en-AU"/>
              </w:rPr>
              <w:t>18</w:t>
            </w:r>
          </w:p>
        </w:tc>
        <w:tc>
          <w:tcPr>
            <w:tcW w:w="85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2018</w:t>
            </w:r>
            <w:r>
              <w:rPr>
                <w:rFonts w:eastAsiaTheme="minorEastAsia"/>
                <w:color w:val="FFFFFF"/>
                <w:sz w:val="19"/>
                <w:lang w:eastAsia="en-AU"/>
              </w:rPr>
              <w:noBreakHyphen/>
            </w:r>
            <w:r w:rsidRPr="00046AA9">
              <w:rPr>
                <w:rFonts w:eastAsiaTheme="minorEastAsia"/>
                <w:color w:val="FFFFFF"/>
                <w:sz w:val="19"/>
                <w:lang w:eastAsia="en-AU"/>
              </w:rPr>
              <w:t>19</w:t>
            </w:r>
          </w:p>
        </w:tc>
        <w:tc>
          <w:tcPr>
            <w:tcW w:w="85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2019</w:t>
            </w:r>
            <w:r>
              <w:rPr>
                <w:rFonts w:eastAsiaTheme="minorEastAsia"/>
                <w:color w:val="FFFFFF"/>
                <w:sz w:val="19"/>
                <w:lang w:eastAsia="en-AU"/>
              </w:rPr>
              <w:noBreakHyphen/>
            </w:r>
            <w:r w:rsidRPr="00046AA9">
              <w:rPr>
                <w:rFonts w:eastAsiaTheme="minorEastAsia"/>
                <w:color w:val="FFFFFF"/>
                <w:sz w:val="19"/>
                <w:lang w:eastAsia="en-AU"/>
              </w:rPr>
              <w:t>20</w:t>
            </w:r>
          </w:p>
        </w:tc>
        <w:tc>
          <w:tcPr>
            <w:tcW w:w="850" w:type="dxa"/>
            <w:tcBorders>
              <w:left w:val="nil"/>
              <w:bottom w:val="single" w:sz="4" w:space="0" w:color="auto"/>
            </w:tcBorders>
            <w:shd w:val="clear" w:color="auto" w:fill="000000"/>
            <w:vAlign w:val="bottom"/>
          </w:tcPr>
          <w:p w:rsidR="00E25CC6" w:rsidRPr="00046AA9" w:rsidRDefault="00E25CC6" w:rsidP="00046AA9">
            <w:pPr>
              <w:pStyle w:val="Tabletextheading"/>
              <w:rPr>
                <w:rFonts w:eastAsiaTheme="minorEastAsia" w:cs="Calibri"/>
                <w:iCs/>
                <w:color w:val="FFFFFF"/>
                <w:sz w:val="19"/>
                <w:lang w:eastAsia="en-AU"/>
              </w:rPr>
            </w:pPr>
            <w:r w:rsidRPr="00046AA9">
              <w:rPr>
                <w:rFonts w:eastAsiaTheme="minorEastAsia" w:cs="Calibri"/>
                <w:iCs/>
                <w:color w:val="FFFFFF"/>
                <w:sz w:val="19"/>
                <w:lang w:eastAsia="en-AU"/>
              </w:rPr>
              <w:t>TEI</w:t>
            </w:r>
          </w:p>
        </w:tc>
      </w:tr>
      <w:tr w:rsidR="00E25CC6" w:rsidRPr="00046AA9" w:rsidTr="00046AA9">
        <w:tc>
          <w:tcPr>
            <w:tcW w:w="2665" w:type="dxa"/>
            <w:tcBorders>
              <w:top w:val="single" w:sz="4" w:space="0" w:color="auto"/>
              <w:left w:val="nil"/>
              <w:right w:val="nil"/>
            </w:tcBorders>
            <w:shd w:val="clear" w:color="000000" w:fill="FFFFFF"/>
          </w:tcPr>
          <w:p w:rsidR="00E25CC6" w:rsidRPr="00046AA9" w:rsidRDefault="00E25CC6" w:rsidP="00046AA9">
            <w:pPr>
              <w:pStyle w:val="Tabletext"/>
              <w:ind w:left="227" w:hanging="227"/>
              <w:rPr>
                <w:rFonts w:eastAsiaTheme="minorEastAsia"/>
                <w:b/>
                <w:bCs/>
                <w:color w:val="000000"/>
                <w:lang w:eastAsia="en-AU"/>
              </w:rPr>
            </w:pPr>
            <w:r w:rsidRPr="00046AA9">
              <w:rPr>
                <w:rFonts w:eastAsiaTheme="minorEastAsia"/>
                <w:b/>
                <w:bCs/>
                <w:color w:val="000000"/>
                <w:lang w:eastAsia="en-AU"/>
              </w:rPr>
              <w:t>Engaged Citizens</w:t>
            </w:r>
          </w:p>
        </w:tc>
        <w:tc>
          <w:tcPr>
            <w:tcW w:w="850" w:type="dxa"/>
            <w:tcBorders>
              <w:top w:val="single" w:sz="4" w:space="0" w:color="auto"/>
              <w:left w:val="nil"/>
              <w:right w:val="nil"/>
            </w:tcBorders>
            <w:shd w:val="clear" w:color="000000" w:fill="FFFFFF"/>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50" w:type="dxa"/>
            <w:tcBorders>
              <w:top w:val="single" w:sz="4" w:space="0" w:color="auto"/>
              <w:left w:val="nil"/>
              <w:right w:val="nil"/>
            </w:tcBorders>
            <w:shd w:val="clear" w:color="000000" w:fill="FFFFFF"/>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50" w:type="dxa"/>
            <w:tcBorders>
              <w:top w:val="single" w:sz="4" w:space="0" w:color="auto"/>
              <w:left w:val="nil"/>
              <w:right w:val="nil"/>
            </w:tcBorders>
            <w:shd w:val="clear" w:color="000000" w:fill="FFFFFF"/>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50" w:type="dxa"/>
            <w:tcBorders>
              <w:top w:val="single" w:sz="4" w:space="0" w:color="auto"/>
              <w:left w:val="nil"/>
              <w:right w:val="nil"/>
            </w:tcBorders>
            <w:shd w:val="clear" w:color="000000" w:fill="FFFFFF"/>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50" w:type="dxa"/>
            <w:tcBorders>
              <w:top w:val="single" w:sz="4" w:space="0" w:color="auto"/>
              <w:left w:val="nil"/>
              <w:right w:val="nil"/>
            </w:tcBorders>
            <w:shd w:val="clear" w:color="000000" w:fill="FFFFFF"/>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50" w:type="dxa"/>
            <w:tcBorders>
              <w:top w:val="single" w:sz="4" w:space="0" w:color="auto"/>
              <w:left w:val="nil"/>
              <w:right w:val="nil"/>
            </w:tcBorders>
            <w:shd w:val="clear" w:color="000000" w:fill="FFFFFF"/>
          </w:tcPr>
          <w:p w:rsidR="00E25CC6" w:rsidRPr="00046AA9" w:rsidRDefault="00E25CC6" w:rsidP="00046AA9">
            <w:pPr>
              <w:autoSpaceDE w:val="0"/>
              <w:autoSpaceDN w:val="0"/>
              <w:adjustRightInd w:val="0"/>
              <w:spacing w:after="0"/>
              <w:jc w:val="right"/>
              <w:rPr>
                <w:rFonts w:ascii="Calibri" w:eastAsiaTheme="minorEastAsia" w:hAnsi="Calibri" w:cs="Calibri"/>
                <w:color w:val="FFFFFF"/>
                <w:sz w:val="19"/>
                <w:lang w:eastAsia="en-AU"/>
              </w:rPr>
            </w:pPr>
            <w:r w:rsidRPr="00046AA9">
              <w:rPr>
                <w:rFonts w:ascii="Calibri" w:eastAsiaTheme="minorEastAsia" w:hAnsi="Calibri" w:cs="Calibri"/>
                <w:color w:val="FFFFFF"/>
                <w:sz w:val="19"/>
                <w:lang w:eastAsia="en-AU"/>
              </w:rPr>
              <w:t xml:space="preserve"> </w:t>
            </w:r>
          </w:p>
        </w:tc>
      </w:tr>
      <w:tr w:rsidR="00E25CC6" w:rsidRPr="00046AA9" w:rsidTr="00046AA9">
        <w:tc>
          <w:tcPr>
            <w:tcW w:w="2665" w:type="dxa"/>
            <w:tcBorders>
              <w:top w:val="nil"/>
              <w:left w:val="nil"/>
              <w:bottom w:val="single" w:sz="6" w:space="0" w:color="auto"/>
              <w:right w:val="nil"/>
            </w:tcBorders>
            <w:shd w:val="clear" w:color="auto" w:fill="FFFFFF"/>
          </w:tcPr>
          <w:p w:rsidR="00E25CC6" w:rsidRPr="00046AA9" w:rsidRDefault="00E25CC6" w:rsidP="00046AA9">
            <w:pPr>
              <w:pStyle w:val="Tabletext"/>
              <w:ind w:left="227" w:hanging="227"/>
              <w:rPr>
                <w:rFonts w:eastAsiaTheme="minorEastAsia"/>
                <w:color w:val="000000"/>
                <w:lang w:eastAsia="en-AU"/>
              </w:rPr>
            </w:pPr>
            <w:r w:rsidRPr="00046AA9">
              <w:rPr>
                <w:rFonts w:eastAsiaTheme="minorEastAsia"/>
                <w:color w:val="000000"/>
                <w:lang w:eastAsia="en-AU"/>
              </w:rPr>
              <w:t>Pride Centre</w:t>
            </w:r>
          </w:p>
        </w:tc>
        <w:tc>
          <w:tcPr>
            <w:tcW w:w="850" w:type="dxa"/>
            <w:tcBorders>
              <w:top w:val="nil"/>
              <w:left w:val="nil"/>
              <w:bottom w:val="single" w:sz="6" w:space="0" w:color="auto"/>
              <w:right w:val="nil"/>
            </w:tcBorders>
            <w:shd w:val="clear" w:color="auto" w:fill="FFFFFF"/>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w:t>
            </w:r>
          </w:p>
        </w:tc>
        <w:tc>
          <w:tcPr>
            <w:tcW w:w="850" w:type="dxa"/>
            <w:tcBorders>
              <w:top w:val="nil"/>
              <w:left w:val="nil"/>
              <w:bottom w:val="single" w:sz="6" w:space="0" w:color="auto"/>
              <w:right w:val="nil"/>
            </w:tcBorders>
            <w:shd w:val="clear" w:color="auto" w:fill="FFFFFF"/>
          </w:tcPr>
          <w:p w:rsidR="00E25CC6" w:rsidRPr="00046AA9" w:rsidRDefault="00E25CC6" w:rsidP="00046AA9">
            <w:pPr>
              <w:pStyle w:val="TableofFigures"/>
              <w:rPr>
                <w:rFonts w:eastAsiaTheme="minorEastAsia" w:cs="Calibri"/>
                <w:color w:val="000000"/>
                <w:sz w:val="19"/>
                <w:lang w:eastAsia="en-AU"/>
              </w:rPr>
            </w:pPr>
            <w:r w:rsidRPr="00046AA9">
              <w:rPr>
                <w:rFonts w:eastAsiaTheme="minorEastAsia"/>
                <w:color w:val="000000"/>
                <w:sz w:val="19"/>
                <w:lang w:eastAsia="en-AU"/>
              </w:rPr>
              <w:t>15.0</w:t>
            </w:r>
          </w:p>
        </w:tc>
        <w:tc>
          <w:tcPr>
            <w:tcW w:w="850" w:type="dxa"/>
            <w:tcBorders>
              <w:top w:val="nil"/>
              <w:left w:val="nil"/>
              <w:bottom w:val="single" w:sz="6" w:space="0" w:color="auto"/>
              <w:right w:val="nil"/>
            </w:tcBorders>
            <w:shd w:val="clear" w:color="auto" w:fill="FFFFFF"/>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w:t>
            </w:r>
          </w:p>
        </w:tc>
        <w:tc>
          <w:tcPr>
            <w:tcW w:w="850" w:type="dxa"/>
            <w:tcBorders>
              <w:top w:val="nil"/>
              <w:left w:val="nil"/>
              <w:bottom w:val="single" w:sz="6" w:space="0" w:color="auto"/>
              <w:right w:val="nil"/>
            </w:tcBorders>
            <w:shd w:val="clear" w:color="auto" w:fill="FFFFFF"/>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w:t>
            </w:r>
          </w:p>
        </w:tc>
        <w:tc>
          <w:tcPr>
            <w:tcW w:w="850" w:type="dxa"/>
            <w:tcBorders>
              <w:top w:val="nil"/>
              <w:left w:val="nil"/>
              <w:bottom w:val="single" w:sz="6" w:space="0" w:color="auto"/>
              <w:right w:val="nil"/>
            </w:tcBorders>
            <w:shd w:val="clear" w:color="auto" w:fill="FFFFFF"/>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w:t>
            </w:r>
          </w:p>
        </w:tc>
        <w:tc>
          <w:tcPr>
            <w:tcW w:w="850" w:type="dxa"/>
            <w:tcBorders>
              <w:top w:val="nil"/>
              <w:left w:val="nil"/>
              <w:bottom w:val="single" w:sz="6" w:space="0" w:color="auto"/>
              <w:right w:val="nil"/>
            </w:tcBorders>
            <w:shd w:val="clear" w:color="auto" w:fill="FFFFFF"/>
          </w:tcPr>
          <w:p w:rsidR="00E25CC6" w:rsidRPr="00046AA9" w:rsidRDefault="00E25CC6" w:rsidP="00046AA9">
            <w:pPr>
              <w:autoSpaceDE w:val="0"/>
              <w:autoSpaceDN w:val="0"/>
              <w:adjustRightInd w:val="0"/>
              <w:spacing w:after="0"/>
              <w:jc w:val="right"/>
              <w:rPr>
                <w:rFonts w:ascii="Calibri" w:eastAsiaTheme="minorEastAsia" w:hAnsi="Calibri" w:cs="Calibri"/>
                <w:color w:val="000000"/>
                <w:sz w:val="19"/>
                <w:lang w:eastAsia="en-AU"/>
              </w:rPr>
            </w:pPr>
            <w:r w:rsidRPr="00046AA9">
              <w:rPr>
                <w:rFonts w:ascii="Calibri" w:eastAsiaTheme="minorEastAsia" w:hAnsi="Calibri" w:cs="Calibri"/>
                <w:color w:val="000000"/>
                <w:sz w:val="19"/>
                <w:lang w:eastAsia="en-AU"/>
              </w:rPr>
              <w:t>15.0</w:t>
            </w:r>
          </w:p>
        </w:tc>
      </w:tr>
      <w:tr w:rsidR="00E25CC6" w:rsidRPr="00046AA9" w:rsidTr="00046AA9">
        <w:tc>
          <w:tcPr>
            <w:tcW w:w="2665" w:type="dxa"/>
            <w:tcBorders>
              <w:top w:val="single" w:sz="6" w:space="0" w:color="auto"/>
              <w:left w:val="nil"/>
              <w:bottom w:val="single" w:sz="12" w:space="0" w:color="auto"/>
              <w:right w:val="nil"/>
            </w:tcBorders>
            <w:shd w:val="solid" w:color="FFFFFF" w:fill="FFFFFF"/>
          </w:tcPr>
          <w:p w:rsidR="00E25CC6" w:rsidRPr="00046AA9" w:rsidRDefault="00E25CC6" w:rsidP="00046AA9">
            <w:pPr>
              <w:pStyle w:val="Tabletext"/>
              <w:ind w:left="227" w:hanging="227"/>
              <w:rPr>
                <w:rFonts w:eastAsiaTheme="minorEastAsia"/>
                <w:b/>
                <w:bCs/>
                <w:color w:val="000000"/>
                <w:vertAlign w:val="superscript"/>
                <w:lang w:eastAsia="en-AU"/>
              </w:rPr>
            </w:pPr>
            <w:r w:rsidRPr="00046AA9">
              <w:rPr>
                <w:rFonts w:eastAsiaTheme="minorEastAsia"/>
                <w:b/>
                <w:bCs/>
                <w:color w:val="000000"/>
                <w:lang w:eastAsia="en-AU"/>
              </w:rPr>
              <w:t xml:space="preserve">Total asset initiatives </w:t>
            </w:r>
            <w:r w:rsidRPr="00046AA9">
              <w:rPr>
                <w:rFonts w:eastAsiaTheme="minorEastAsia"/>
                <w:b/>
                <w:bCs/>
                <w:color w:val="000000"/>
                <w:vertAlign w:val="superscript"/>
                <w:lang w:eastAsia="en-AU"/>
              </w:rPr>
              <w:t>(a)</w:t>
            </w:r>
          </w:p>
        </w:tc>
        <w:tc>
          <w:tcPr>
            <w:tcW w:w="850" w:type="dxa"/>
            <w:tcBorders>
              <w:top w:val="single" w:sz="6" w:space="0" w:color="auto"/>
              <w:left w:val="nil"/>
              <w:bottom w:val="single" w:sz="12" w:space="0" w:color="auto"/>
              <w:right w:val="nil"/>
            </w:tcBorders>
            <w:shd w:val="solid" w:color="FFFFFF" w:fill="FFFFFF"/>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w:t>
            </w:r>
          </w:p>
        </w:tc>
        <w:tc>
          <w:tcPr>
            <w:tcW w:w="850" w:type="dxa"/>
            <w:tcBorders>
              <w:top w:val="single" w:sz="6" w:space="0" w:color="auto"/>
              <w:left w:val="nil"/>
              <w:bottom w:val="single" w:sz="12" w:space="0" w:color="auto"/>
              <w:right w:val="nil"/>
            </w:tcBorders>
            <w:shd w:val="solid" w:color="FFFFFF" w:fill="FFFFFF"/>
          </w:tcPr>
          <w:p w:rsidR="00E25CC6" w:rsidRPr="00046AA9" w:rsidRDefault="00E25CC6" w:rsidP="00046AA9">
            <w:pPr>
              <w:pStyle w:val="TableofFigures"/>
              <w:rPr>
                <w:rFonts w:eastAsiaTheme="minorEastAsia" w:cs="Calibri"/>
                <w:b/>
                <w:bCs/>
                <w:color w:val="000000"/>
                <w:sz w:val="19"/>
                <w:lang w:eastAsia="en-AU"/>
              </w:rPr>
            </w:pPr>
            <w:r w:rsidRPr="00046AA9">
              <w:rPr>
                <w:rFonts w:eastAsiaTheme="minorEastAsia"/>
                <w:b/>
                <w:bCs/>
                <w:color w:val="000000"/>
                <w:sz w:val="19"/>
                <w:lang w:eastAsia="en-AU"/>
              </w:rPr>
              <w:t>15.0</w:t>
            </w:r>
          </w:p>
        </w:tc>
        <w:tc>
          <w:tcPr>
            <w:tcW w:w="850" w:type="dxa"/>
            <w:tcBorders>
              <w:top w:val="single" w:sz="6" w:space="0" w:color="auto"/>
              <w:left w:val="nil"/>
              <w:bottom w:val="single" w:sz="12" w:space="0" w:color="auto"/>
              <w:right w:val="nil"/>
            </w:tcBorders>
            <w:shd w:val="solid" w:color="FFFFFF" w:fill="FFFFFF"/>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w:t>
            </w:r>
          </w:p>
        </w:tc>
        <w:tc>
          <w:tcPr>
            <w:tcW w:w="850" w:type="dxa"/>
            <w:tcBorders>
              <w:top w:val="single" w:sz="6" w:space="0" w:color="auto"/>
              <w:left w:val="nil"/>
              <w:bottom w:val="single" w:sz="12" w:space="0" w:color="auto"/>
              <w:right w:val="nil"/>
            </w:tcBorders>
            <w:shd w:val="solid" w:color="FFFFFF" w:fill="FFFFFF"/>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w:t>
            </w:r>
          </w:p>
        </w:tc>
        <w:tc>
          <w:tcPr>
            <w:tcW w:w="850" w:type="dxa"/>
            <w:tcBorders>
              <w:top w:val="single" w:sz="6" w:space="0" w:color="auto"/>
              <w:left w:val="nil"/>
              <w:bottom w:val="single" w:sz="12" w:space="0" w:color="auto"/>
              <w:right w:val="nil"/>
            </w:tcBorders>
            <w:shd w:val="solid" w:color="FFFFFF" w:fill="FFFFFF"/>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w:t>
            </w:r>
          </w:p>
        </w:tc>
        <w:tc>
          <w:tcPr>
            <w:tcW w:w="850" w:type="dxa"/>
            <w:tcBorders>
              <w:top w:val="single" w:sz="6" w:space="0" w:color="auto"/>
              <w:left w:val="nil"/>
              <w:bottom w:val="single" w:sz="12" w:space="0" w:color="auto"/>
              <w:right w:val="nil"/>
            </w:tcBorders>
            <w:shd w:val="solid" w:color="FFFFFF" w:fill="FFFFFF"/>
          </w:tcPr>
          <w:p w:rsidR="00E25CC6" w:rsidRPr="00046AA9" w:rsidRDefault="00E25CC6" w:rsidP="00046AA9">
            <w:pPr>
              <w:autoSpaceDE w:val="0"/>
              <w:autoSpaceDN w:val="0"/>
              <w:adjustRightInd w:val="0"/>
              <w:spacing w:after="0"/>
              <w:jc w:val="right"/>
              <w:rPr>
                <w:rFonts w:ascii="Calibri" w:eastAsiaTheme="minorEastAsia" w:hAnsi="Calibri" w:cs="Calibri"/>
                <w:b/>
                <w:bCs/>
                <w:color w:val="000000"/>
                <w:sz w:val="19"/>
                <w:lang w:eastAsia="en-AU"/>
              </w:rPr>
            </w:pPr>
            <w:r w:rsidRPr="00046AA9">
              <w:rPr>
                <w:rFonts w:ascii="Calibri" w:eastAsiaTheme="minorEastAsia" w:hAnsi="Calibri" w:cs="Calibri"/>
                <w:b/>
                <w:bCs/>
                <w:color w:val="000000"/>
                <w:sz w:val="19"/>
                <w:lang w:eastAsia="en-AU"/>
              </w:rPr>
              <w:t>15.0</w:t>
            </w:r>
          </w:p>
        </w:tc>
      </w:tr>
    </w:tbl>
    <w:p w:rsidR="00E25CC6" w:rsidRDefault="00E25CC6" w:rsidP="00757444">
      <w:pPr>
        <w:pStyle w:val="Source"/>
      </w:pPr>
      <w:r>
        <w:t>Source: Department of Treasury and Finance</w:t>
      </w:r>
      <w:r>
        <w:fldChar w:fldCharType="begin"/>
      </w:r>
      <w:r>
        <w:instrText xml:space="preserve"> XE "</w:instrText>
      </w:r>
      <w:r w:rsidRPr="00115C47">
        <w:instrText>Department of Premier and Cabinet:Asset initiatives</w:instrText>
      </w:r>
      <w:r>
        <w:instrText xml:space="preserve">" </w:instrText>
      </w:r>
      <w:r>
        <w:fldChar w:fldCharType="end"/>
      </w:r>
    </w:p>
    <w:p w:rsidR="00E25CC6" w:rsidRDefault="00E25CC6" w:rsidP="004479E5">
      <w:pPr>
        <w:pStyle w:val="Notes"/>
      </w:pPr>
      <w:r>
        <w:t>Note:</w:t>
      </w:r>
    </w:p>
    <w:p w:rsidR="00E25CC6" w:rsidRPr="004479E5" w:rsidRDefault="00E25CC6" w:rsidP="004479E5">
      <w:pPr>
        <w:pStyle w:val="Notes"/>
      </w:pPr>
      <w:r>
        <w:t>(a)</w:t>
      </w:r>
      <w:r>
        <w:tab/>
        <w:t>Tables may not add due to rounding.</w:t>
      </w:r>
    </w:p>
    <w:p w:rsidR="00E25CC6" w:rsidRPr="00757444" w:rsidRDefault="00E25CC6" w:rsidP="002407C6">
      <w:pPr>
        <w:pStyle w:val="Source"/>
      </w:pPr>
    </w:p>
    <w:p w:rsidR="00E25CC6" w:rsidRDefault="00E25CC6" w:rsidP="002407C6">
      <w:pPr>
        <w:pStyle w:val="Heading4"/>
      </w:pPr>
      <w:r>
        <w:t>Engaged Citizens</w:t>
      </w:r>
    </w:p>
    <w:p w:rsidR="00E25CC6" w:rsidRPr="00AC6399" w:rsidRDefault="00E25CC6" w:rsidP="00AC6399">
      <w:pPr>
        <w:pStyle w:val="Heading5"/>
      </w:pPr>
      <w:r w:rsidRPr="00AC6399">
        <w:t xml:space="preserve">Pride Centre </w:t>
      </w:r>
    </w:p>
    <w:p w:rsidR="00E25CC6" w:rsidRPr="00DE72EA" w:rsidRDefault="00E25CC6" w:rsidP="00AC6399">
      <w:r w:rsidRPr="00DE72EA">
        <w:t xml:space="preserve">The Government will </w:t>
      </w:r>
      <w:r>
        <w:t>contribute</w:t>
      </w:r>
      <w:r w:rsidRPr="00DE72EA">
        <w:t xml:space="preserve"> funding </w:t>
      </w:r>
      <w:r>
        <w:t xml:space="preserve">towards the </w:t>
      </w:r>
      <w:r w:rsidRPr="00DE72EA">
        <w:t>procurement of a building for various Victorian L</w:t>
      </w:r>
      <w:r>
        <w:t>G</w:t>
      </w:r>
      <w:r w:rsidRPr="00DE72EA">
        <w:t>BTI community organisations, associations and groups to co</w:t>
      </w:r>
      <w:r>
        <w:noBreakHyphen/>
      </w:r>
      <w:r w:rsidRPr="00DE72EA">
        <w:t>locate. This will provide opportunities for shared operating expenses, enhanced relationships between bodies and increased ease of access for people seeking LGBTI services.</w:t>
      </w:r>
    </w:p>
    <w:p w:rsidR="00E25CC6" w:rsidRDefault="00E25CC6" w:rsidP="00646687">
      <w:r w:rsidRPr="00264FF3">
        <w:t>This initiative contributes to the Department of Premier and Cabinet</w:t>
      </w:r>
      <w:r>
        <w:t>’</w:t>
      </w:r>
      <w:r w:rsidRPr="00264FF3">
        <w:t>s Women</w:t>
      </w:r>
      <w:r>
        <w:t>, the Prevention of Family Violence and LGBTI</w:t>
      </w:r>
      <w:r w:rsidRPr="00264FF3">
        <w:t xml:space="preserve"> Equality Policy and Programs output.</w:t>
      </w:r>
      <w:r>
        <w:t xml:space="preserve"> </w:t>
      </w:r>
      <w:r>
        <w:fldChar w:fldCharType="begin"/>
      </w:r>
      <w:r>
        <w:instrText xml:space="preserve"> XE "</w:instrText>
      </w:r>
      <w:r w:rsidRPr="00E324B1">
        <w:instrText>Department of Premier and Cabinet:Engaged Citizens</w:instrText>
      </w:r>
      <w:r>
        <w:instrText xml:space="preserve">" </w:instrText>
      </w:r>
      <w:r>
        <w:fldChar w:fldCharType="end"/>
      </w:r>
    </w:p>
    <w:p w:rsidR="00E25CC6" w:rsidRDefault="00E25CC6" w:rsidP="004E7FC0">
      <w:pPr>
        <w:spacing w:after="0"/>
      </w:pPr>
    </w:p>
    <w:p w:rsidR="00E25CC6" w:rsidRDefault="00E25CC6">
      <w:pPr>
        <w:spacing w:after="0"/>
        <w:rPr>
          <w:rFonts w:ascii="Calibri" w:hAnsi="Calibri"/>
          <w:b/>
          <w:caps/>
          <w:sz w:val="26"/>
          <w:szCs w:val="22"/>
        </w:rPr>
      </w:pPr>
      <w:r>
        <w:br w:type="page"/>
      </w:r>
    </w:p>
    <w:p w:rsidR="00E25CC6" w:rsidRPr="00F16216" w:rsidRDefault="00E25CC6" w:rsidP="00FA2145">
      <w:pPr>
        <w:pStyle w:val="Heading1"/>
      </w:pPr>
      <w:bookmarkStart w:id="48" w:name="_Toc449109432"/>
      <w:r w:rsidRPr="00F16216">
        <w:t>Department of Treasury and Finance</w:t>
      </w:r>
      <w:bookmarkEnd w:id="48"/>
    </w:p>
    <w:p w:rsidR="00E25CC6" w:rsidRDefault="00E25CC6" w:rsidP="00566998">
      <w:pPr>
        <w:pStyle w:val="Heading3"/>
      </w:pPr>
      <w:r>
        <w:t xml:space="preserve">Output initiatives </w:t>
      </w:r>
    </w:p>
    <w:p w:rsidR="00E25CC6" w:rsidRDefault="00E25CC6" w:rsidP="003B15A1">
      <w:pPr>
        <w:pStyle w:val="Tableheading"/>
      </w:pPr>
      <w:r>
        <w:t>Table 1.24:</w:t>
      </w:r>
      <w:r>
        <w:tab/>
        <w:t>Output initiatives – Department of Treasury and Finance</w:t>
      </w:r>
    </w:p>
    <w:p w:rsidR="00E25CC6" w:rsidRDefault="00E25CC6" w:rsidP="009B036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52"/>
        <w:gridCol w:w="844"/>
        <w:gridCol w:w="845"/>
        <w:gridCol w:w="845"/>
        <w:gridCol w:w="264"/>
        <w:gridCol w:w="283"/>
        <w:gridCol w:w="283"/>
        <w:gridCol w:w="15"/>
        <w:gridCol w:w="268"/>
        <w:gridCol w:w="283"/>
        <w:gridCol w:w="283"/>
        <w:gridCol w:w="11"/>
      </w:tblGrid>
      <w:tr w:rsidR="00E25CC6" w:rsidRPr="009B0368" w:rsidTr="002407C6">
        <w:trPr>
          <w:cantSplit/>
        </w:trPr>
        <w:tc>
          <w:tcPr>
            <w:tcW w:w="3552" w:type="dxa"/>
            <w:tcBorders>
              <w:top w:val="single" w:sz="4" w:space="0" w:color="auto"/>
              <w:left w:val="single" w:sz="4" w:space="0" w:color="auto"/>
              <w:bottom w:val="single" w:sz="4" w:space="0" w:color="auto"/>
              <w:right w:val="nil"/>
            </w:tcBorders>
            <w:shd w:val="clear" w:color="auto" w:fill="000000"/>
          </w:tcPr>
          <w:p w:rsidR="00E25CC6" w:rsidRPr="009B0368" w:rsidRDefault="00E25CC6" w:rsidP="009B0368">
            <w:pPr>
              <w:pStyle w:val="Tabletext"/>
              <w:rPr>
                <w:rFonts w:eastAsiaTheme="minorEastAsia"/>
                <w:lang w:eastAsia="en-AU"/>
              </w:rPr>
            </w:pPr>
            <w:r>
              <w:rPr>
                <w:rFonts w:eastAsiaTheme="minorEastAsia"/>
                <w:lang w:eastAsia="en-AU"/>
              </w:rPr>
              <w:t xml:space="preserve"> </w:t>
            </w:r>
          </w:p>
        </w:tc>
        <w:tc>
          <w:tcPr>
            <w:tcW w:w="844"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2015</w:t>
            </w:r>
            <w:r>
              <w:rPr>
                <w:rFonts w:eastAsiaTheme="minorEastAsia"/>
                <w:lang w:eastAsia="en-AU"/>
              </w:rPr>
              <w:noBreakHyphen/>
            </w:r>
            <w:r w:rsidRPr="009B0368">
              <w:rPr>
                <w:rFonts w:eastAsiaTheme="minorEastAsia"/>
                <w:lang w:eastAsia="en-AU"/>
              </w:rPr>
              <w:t>16</w:t>
            </w:r>
          </w:p>
        </w:tc>
        <w:tc>
          <w:tcPr>
            <w:tcW w:w="845"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2016</w:t>
            </w:r>
            <w:r>
              <w:rPr>
                <w:rFonts w:eastAsiaTheme="minorEastAsia"/>
                <w:lang w:eastAsia="en-AU"/>
              </w:rPr>
              <w:noBreakHyphen/>
            </w:r>
            <w:r w:rsidRPr="009B0368">
              <w:rPr>
                <w:rFonts w:eastAsiaTheme="minorEastAsia"/>
                <w:lang w:eastAsia="en-AU"/>
              </w:rPr>
              <w:t>17</w:t>
            </w:r>
          </w:p>
        </w:tc>
        <w:tc>
          <w:tcPr>
            <w:tcW w:w="845"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2017</w:t>
            </w:r>
            <w:r>
              <w:rPr>
                <w:rFonts w:eastAsiaTheme="minorEastAsia"/>
                <w:lang w:eastAsia="en-AU"/>
              </w:rPr>
              <w:noBreakHyphen/>
            </w:r>
            <w:r w:rsidRPr="009B0368">
              <w:rPr>
                <w:rFonts w:eastAsiaTheme="minorEastAsia"/>
                <w:lang w:eastAsia="en-AU"/>
              </w:rPr>
              <w:t>18</w:t>
            </w:r>
          </w:p>
        </w:tc>
        <w:tc>
          <w:tcPr>
            <w:tcW w:w="845" w:type="dxa"/>
            <w:gridSpan w:val="4"/>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2018</w:t>
            </w:r>
            <w:r>
              <w:rPr>
                <w:rFonts w:eastAsiaTheme="minorEastAsia"/>
                <w:lang w:eastAsia="en-AU"/>
              </w:rPr>
              <w:noBreakHyphen/>
            </w:r>
            <w:r w:rsidRPr="009B0368">
              <w:rPr>
                <w:rFonts w:eastAsiaTheme="minorEastAsia"/>
                <w:lang w:eastAsia="en-AU"/>
              </w:rPr>
              <w:t>19</w:t>
            </w:r>
          </w:p>
        </w:tc>
        <w:tc>
          <w:tcPr>
            <w:tcW w:w="845" w:type="dxa"/>
            <w:gridSpan w:val="4"/>
            <w:tcBorders>
              <w:top w:val="single" w:sz="4" w:space="0" w:color="auto"/>
              <w:left w:val="nil"/>
              <w:bottom w:val="single" w:sz="4" w:space="0" w:color="auto"/>
              <w:right w:val="single" w:sz="4" w:space="0" w:color="auto"/>
            </w:tcBorders>
            <w:shd w:val="clear" w:color="auto" w:fill="000000"/>
          </w:tcPr>
          <w:p w:rsidR="00E25CC6" w:rsidRPr="009B0368" w:rsidRDefault="00E25CC6" w:rsidP="009B0368">
            <w:pPr>
              <w:pStyle w:val="Tabletextheading"/>
              <w:rPr>
                <w:rFonts w:eastAsiaTheme="minorEastAsia" w:cs="Calibri"/>
                <w:iCs/>
                <w:lang w:eastAsia="en-AU"/>
              </w:rPr>
            </w:pPr>
            <w:r w:rsidRPr="009B0368">
              <w:rPr>
                <w:rFonts w:eastAsiaTheme="minorEastAsia" w:cs="Calibri"/>
                <w:iCs/>
                <w:lang w:eastAsia="en-AU"/>
              </w:rPr>
              <w:t>2019</w:t>
            </w:r>
            <w:r>
              <w:rPr>
                <w:rFonts w:eastAsiaTheme="minorEastAsia" w:cs="Calibri"/>
                <w:iCs/>
                <w:lang w:eastAsia="en-AU"/>
              </w:rPr>
              <w:noBreakHyphen/>
            </w:r>
            <w:r w:rsidRPr="009B0368">
              <w:rPr>
                <w:rFonts w:eastAsiaTheme="minorEastAsia" w:cs="Calibri"/>
                <w:iCs/>
                <w:lang w:eastAsia="en-AU"/>
              </w:rPr>
              <w:t>20</w:t>
            </w:r>
          </w:p>
        </w:tc>
      </w:tr>
      <w:tr w:rsidR="00E25CC6" w:rsidRPr="009B0368" w:rsidTr="002407C6">
        <w:trPr>
          <w:gridAfter w:val="1"/>
          <w:wAfter w:w="11" w:type="dxa"/>
          <w:cantSplit/>
        </w:trPr>
        <w:tc>
          <w:tcPr>
            <w:tcW w:w="6350" w:type="dxa"/>
            <w:gridSpan w:val="5"/>
            <w:tcBorders>
              <w:top w:val="single" w:sz="4" w:space="0" w:color="auto"/>
              <w:left w:val="nil"/>
              <w:bottom w:val="nil"/>
              <w:right w:val="nil"/>
            </w:tcBorders>
            <w:shd w:val="solid" w:color="FFFFFF" w:fill="auto"/>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Drive improvement in public sector commercial and asset management and the delivery of infrastructure</w:t>
            </w:r>
          </w:p>
        </w:tc>
        <w:tc>
          <w:tcPr>
            <w:tcW w:w="283"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Pr>
                <w:rFonts w:eastAsiaTheme="minorEastAsia"/>
                <w:color w:val="000000"/>
                <w:lang w:eastAsia="en-AU"/>
              </w:rPr>
              <w:t xml:space="preserve"> </w:t>
            </w:r>
          </w:p>
        </w:tc>
        <w:tc>
          <w:tcPr>
            <w:tcW w:w="283" w:type="dxa"/>
            <w:gridSpan w:val="2"/>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single" w:sz="4" w:space="0" w:color="auto"/>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Pr>
                <w:rFonts w:ascii="Calibri" w:eastAsiaTheme="minorEastAsia" w:hAnsi="Calibri" w:cs="Calibri"/>
                <w:color w:val="000000"/>
                <w:sz w:val="20"/>
                <w:lang w:eastAsia="en-AU"/>
              </w:rPr>
              <w:t xml:space="preserve"> </w:t>
            </w:r>
          </w:p>
        </w:tc>
      </w:tr>
      <w:tr w:rsidR="00E25CC6" w:rsidRPr="009B0368" w:rsidTr="002407C6">
        <w:trPr>
          <w:cantSplit/>
        </w:trPr>
        <w:tc>
          <w:tcPr>
            <w:tcW w:w="3552"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Completion of the Port of Melbourne lease transaction</w:t>
            </w:r>
          </w:p>
        </w:tc>
        <w:tc>
          <w:tcPr>
            <w:tcW w:w="84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2.4</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10.7</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1.9</w:t>
            </w:r>
          </w:p>
        </w:tc>
        <w:tc>
          <w:tcPr>
            <w:tcW w:w="845"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5"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gridAfter w:val="1"/>
          <w:wAfter w:w="11" w:type="dxa"/>
          <w:cantSplit/>
        </w:trPr>
        <w:tc>
          <w:tcPr>
            <w:tcW w:w="6350" w:type="dxa"/>
            <w:gridSpan w:val="5"/>
            <w:tcBorders>
              <w:top w:val="nil"/>
              <w:left w:val="nil"/>
              <w:bottom w:val="nil"/>
              <w:right w:val="nil"/>
            </w:tcBorders>
            <w:shd w:val="solid" w:color="FFFFFF" w:fill="auto"/>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Guide government actions to increase Victoria</w:t>
            </w:r>
            <w:r>
              <w:rPr>
                <w:rFonts w:eastAsiaTheme="minorEastAsia"/>
                <w:b/>
                <w:bCs/>
                <w:color w:val="000000"/>
                <w:lang w:eastAsia="en-AU"/>
              </w:rPr>
              <w:t>’</w:t>
            </w:r>
            <w:r w:rsidRPr="009B0368">
              <w:rPr>
                <w:rFonts w:eastAsiaTheme="minorEastAsia"/>
                <w:b/>
                <w:bCs/>
                <w:color w:val="000000"/>
                <w:lang w:eastAsia="en-AU"/>
              </w:rPr>
              <w:t>s productivity and competitiveness</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Pr>
                <w:rFonts w:eastAsiaTheme="minorEastAsia"/>
                <w:color w:val="000000"/>
                <w:lang w:eastAsia="en-AU"/>
              </w:rPr>
              <w:t xml:space="preserve"> </w:t>
            </w:r>
          </w:p>
        </w:tc>
        <w:tc>
          <w:tcPr>
            <w:tcW w:w="283" w:type="dxa"/>
            <w:gridSpan w:val="2"/>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w:t>
            </w:r>
          </w:p>
        </w:tc>
      </w:tr>
      <w:tr w:rsidR="00E25CC6" w:rsidRPr="009B0368" w:rsidTr="002407C6">
        <w:trPr>
          <w:cantSplit/>
        </w:trPr>
        <w:tc>
          <w:tcPr>
            <w:tcW w:w="3552"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New activity for the Essential Services Commission</w:t>
            </w:r>
          </w:p>
        </w:tc>
        <w:tc>
          <w:tcPr>
            <w:tcW w:w="84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2.7</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6.5</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5.3</w:t>
            </w:r>
          </w:p>
        </w:tc>
        <w:tc>
          <w:tcPr>
            <w:tcW w:w="845"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4.9</w:t>
            </w:r>
          </w:p>
        </w:tc>
        <w:tc>
          <w:tcPr>
            <w:tcW w:w="845"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4.9</w:t>
            </w:r>
          </w:p>
        </w:tc>
      </w:tr>
      <w:tr w:rsidR="00E25CC6" w:rsidRPr="009B0368" w:rsidTr="002407C6">
        <w:trPr>
          <w:cantSplit/>
        </w:trPr>
        <w:tc>
          <w:tcPr>
            <w:tcW w:w="3552"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Social impact bonds</w:t>
            </w:r>
          </w:p>
        </w:tc>
        <w:tc>
          <w:tcPr>
            <w:tcW w:w="84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0.6</w:t>
            </w:r>
          </w:p>
        </w:tc>
        <w:tc>
          <w:tcPr>
            <w:tcW w:w="84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0.1</w:t>
            </w:r>
          </w:p>
        </w:tc>
        <w:tc>
          <w:tcPr>
            <w:tcW w:w="845" w:type="dxa"/>
            <w:gridSpan w:val="4"/>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5" w:type="dxa"/>
            <w:gridSpan w:val="4"/>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2407C6">
        <w:trPr>
          <w:gridAfter w:val="1"/>
          <w:wAfter w:w="11" w:type="dxa"/>
          <w:cantSplit/>
        </w:trPr>
        <w:tc>
          <w:tcPr>
            <w:tcW w:w="6350" w:type="dxa"/>
            <w:gridSpan w:val="5"/>
            <w:tcBorders>
              <w:top w:val="nil"/>
              <w:left w:val="nil"/>
              <w:bottom w:val="nil"/>
              <w:right w:val="nil"/>
            </w:tcBorders>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Sound financial management of Victoria</w:t>
            </w:r>
            <w:r>
              <w:rPr>
                <w:rFonts w:eastAsiaTheme="minorEastAsia"/>
                <w:b/>
                <w:bCs/>
                <w:color w:val="000000"/>
                <w:lang w:eastAsia="en-AU"/>
              </w:rPr>
              <w:t>’</w:t>
            </w:r>
            <w:r w:rsidRPr="009B0368">
              <w:rPr>
                <w:rFonts w:eastAsiaTheme="minorEastAsia"/>
                <w:b/>
                <w:bCs/>
                <w:color w:val="000000"/>
                <w:lang w:eastAsia="en-AU"/>
              </w:rPr>
              <w:t>s fiscal resources</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gridSpan w:val="2"/>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28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w:t>
            </w:r>
          </w:p>
        </w:tc>
      </w:tr>
      <w:tr w:rsidR="00E25CC6" w:rsidRPr="009B0368" w:rsidTr="002407C6">
        <w:trPr>
          <w:cantSplit/>
        </w:trPr>
        <w:tc>
          <w:tcPr>
            <w:tcW w:w="3552"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Creating a stronger Victorian Public Service through a stronger centre</w:t>
            </w:r>
          </w:p>
        </w:tc>
        <w:tc>
          <w:tcPr>
            <w:tcW w:w="844"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5"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6.9</w:t>
            </w:r>
          </w:p>
        </w:tc>
        <w:tc>
          <w:tcPr>
            <w:tcW w:w="845"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7.4</w:t>
            </w:r>
          </w:p>
        </w:tc>
        <w:tc>
          <w:tcPr>
            <w:tcW w:w="845" w:type="dxa"/>
            <w:gridSpan w:val="4"/>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7.5</w:t>
            </w:r>
          </w:p>
        </w:tc>
        <w:tc>
          <w:tcPr>
            <w:tcW w:w="845" w:type="dxa"/>
            <w:gridSpan w:val="4"/>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7.5</w:t>
            </w:r>
          </w:p>
        </w:tc>
      </w:tr>
      <w:tr w:rsidR="00E25CC6" w:rsidRPr="009B0368" w:rsidTr="002407C6">
        <w:trPr>
          <w:cantSplit/>
        </w:trPr>
        <w:tc>
          <w:tcPr>
            <w:tcW w:w="3552"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State Revenue Office Land Tax Compliance Program</w:t>
            </w:r>
          </w:p>
        </w:tc>
        <w:tc>
          <w:tcPr>
            <w:tcW w:w="844"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0.5</w:t>
            </w:r>
          </w:p>
        </w:tc>
        <w:tc>
          <w:tcPr>
            <w:tcW w:w="845"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8.0</w:t>
            </w:r>
          </w:p>
        </w:tc>
        <w:tc>
          <w:tcPr>
            <w:tcW w:w="845"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7.6</w:t>
            </w:r>
          </w:p>
        </w:tc>
        <w:tc>
          <w:tcPr>
            <w:tcW w:w="845" w:type="dxa"/>
            <w:gridSpan w:val="4"/>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7.5</w:t>
            </w:r>
          </w:p>
        </w:tc>
        <w:tc>
          <w:tcPr>
            <w:tcW w:w="845" w:type="dxa"/>
            <w:gridSpan w:val="4"/>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7.5</w:t>
            </w:r>
          </w:p>
        </w:tc>
      </w:tr>
      <w:tr w:rsidR="00E25CC6" w:rsidRPr="009B0368" w:rsidTr="002407C6">
        <w:trPr>
          <w:cantSplit/>
        </w:trPr>
        <w:tc>
          <w:tcPr>
            <w:tcW w:w="3552"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text"/>
              <w:rPr>
                <w:rFonts w:eastAsiaTheme="minorEastAsia"/>
                <w:b/>
                <w:bCs/>
                <w:color w:val="000000"/>
                <w:vertAlign w:val="superscript"/>
                <w:lang w:eastAsia="en-AU"/>
              </w:rPr>
            </w:pPr>
            <w:r w:rsidRPr="009B0368">
              <w:rPr>
                <w:rFonts w:eastAsiaTheme="minorEastAsia"/>
                <w:b/>
                <w:bCs/>
                <w:color w:val="000000"/>
                <w:lang w:eastAsia="en-AU"/>
              </w:rPr>
              <w:t xml:space="preserve">Total output initiatives </w:t>
            </w:r>
            <w:r w:rsidRPr="009B0368">
              <w:rPr>
                <w:rFonts w:eastAsiaTheme="minorEastAsia"/>
                <w:b/>
                <w:bCs/>
                <w:color w:val="000000"/>
                <w:vertAlign w:val="superscript"/>
                <w:lang w:eastAsia="en-AU"/>
              </w:rPr>
              <w:t>(a)</w:t>
            </w:r>
          </w:p>
        </w:tc>
        <w:tc>
          <w:tcPr>
            <w:tcW w:w="844"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5.6</w:t>
            </w:r>
          </w:p>
        </w:tc>
        <w:tc>
          <w:tcPr>
            <w:tcW w:w="845"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32.7</w:t>
            </w:r>
          </w:p>
        </w:tc>
        <w:tc>
          <w:tcPr>
            <w:tcW w:w="845"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22.3</w:t>
            </w:r>
          </w:p>
        </w:tc>
        <w:tc>
          <w:tcPr>
            <w:tcW w:w="845" w:type="dxa"/>
            <w:gridSpan w:val="4"/>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19.9</w:t>
            </w:r>
          </w:p>
        </w:tc>
        <w:tc>
          <w:tcPr>
            <w:tcW w:w="845" w:type="dxa"/>
            <w:gridSpan w:val="4"/>
            <w:tcBorders>
              <w:top w:val="single" w:sz="6" w:space="0" w:color="auto"/>
              <w:left w:val="nil"/>
              <w:bottom w:val="single" w:sz="12" w:space="0" w:color="auto"/>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b/>
                <w:bCs/>
                <w:color w:val="000000"/>
                <w:sz w:val="20"/>
                <w:lang w:eastAsia="en-AU"/>
              </w:rPr>
            </w:pPr>
            <w:r w:rsidRPr="009B0368">
              <w:rPr>
                <w:rFonts w:ascii="Calibri" w:eastAsiaTheme="minorEastAsia" w:hAnsi="Calibri" w:cs="Calibri"/>
                <w:b/>
                <w:bCs/>
                <w:color w:val="000000"/>
                <w:sz w:val="20"/>
                <w:lang w:eastAsia="en-AU"/>
              </w:rPr>
              <w:t xml:space="preserve"> 19.9</w:t>
            </w:r>
          </w:p>
        </w:tc>
      </w:tr>
    </w:tbl>
    <w:p w:rsidR="00E25CC6" w:rsidRDefault="00E25CC6" w:rsidP="00566998">
      <w:pPr>
        <w:pStyle w:val="Source"/>
      </w:pPr>
      <w:r>
        <w:t>Source: Department of Treasury and Finance</w:t>
      </w:r>
      <w:r>
        <w:fldChar w:fldCharType="begin"/>
      </w:r>
      <w:r>
        <w:instrText xml:space="preserve"> XE "</w:instrText>
      </w:r>
      <w:r w:rsidRPr="00870322">
        <w:instrText>Department of Treasury and Finance:Output initiatives</w:instrText>
      </w:r>
      <w:r>
        <w:instrText xml:space="preserve">" </w:instrText>
      </w:r>
      <w:r>
        <w:fldChar w:fldCharType="end"/>
      </w:r>
    </w:p>
    <w:p w:rsidR="00E25CC6" w:rsidRDefault="00E25CC6" w:rsidP="00566998">
      <w:pPr>
        <w:pStyle w:val="Notes"/>
      </w:pPr>
      <w:r>
        <w:t xml:space="preserve">Note: </w:t>
      </w:r>
    </w:p>
    <w:p w:rsidR="00E25CC6" w:rsidRPr="00CD63A7" w:rsidRDefault="00E25CC6" w:rsidP="00566998">
      <w:pPr>
        <w:pStyle w:val="Notes"/>
      </w:pPr>
      <w:r>
        <w:t>(a)</w:t>
      </w:r>
      <w:r>
        <w:tab/>
        <w:t>Tables may not add due to rounding.</w:t>
      </w:r>
    </w:p>
    <w:p w:rsidR="00E25CC6" w:rsidRPr="00CA5572" w:rsidRDefault="00E25CC6" w:rsidP="001237C3">
      <w:pPr>
        <w:pStyle w:val="Source"/>
      </w:pPr>
    </w:p>
    <w:p w:rsidR="00E25CC6" w:rsidRPr="00BF1480" w:rsidRDefault="00E25CC6" w:rsidP="00BF1480">
      <w:pPr>
        <w:pStyle w:val="Heading4"/>
        <w:rPr>
          <w:rFonts w:eastAsiaTheme="minorHAnsi"/>
        </w:rPr>
      </w:pPr>
      <w:r w:rsidRPr="00BF1480">
        <w:rPr>
          <w:rFonts w:eastAsiaTheme="minorHAnsi"/>
        </w:rPr>
        <w:t>Drive improvement in public sector commercial and asset management and the delivery of infrastructure</w:t>
      </w:r>
    </w:p>
    <w:p w:rsidR="00E25CC6" w:rsidRPr="0062053D" w:rsidRDefault="00E25CC6" w:rsidP="0062053D">
      <w:pPr>
        <w:pStyle w:val="Heading5"/>
      </w:pPr>
      <w:r w:rsidRPr="0062053D">
        <w:t>Compl</w:t>
      </w:r>
      <w:r>
        <w:t>etion of the Port of Melbourne lease t</w:t>
      </w:r>
      <w:r w:rsidRPr="0062053D">
        <w:t xml:space="preserve">ransaction </w:t>
      </w:r>
      <w:r>
        <w:fldChar w:fldCharType="begin"/>
      </w:r>
      <w:r>
        <w:instrText xml:space="preserve"> XE "</w:instrText>
      </w:r>
      <w:r w:rsidRPr="001C2198">
        <w:instrText>Department of Treasury and Finance:Drive improvement</w:instrText>
      </w:r>
      <w:r>
        <w:instrText>s</w:instrText>
      </w:r>
      <w:r w:rsidRPr="001C2198">
        <w:instrText xml:space="preserve"> in public sector commercial and asset management and the delivery of infrastructure</w:instrText>
      </w:r>
      <w:r>
        <w:instrText xml:space="preserve">" </w:instrText>
      </w:r>
      <w:r>
        <w:fldChar w:fldCharType="end"/>
      </w:r>
    </w:p>
    <w:p w:rsidR="00E25CC6" w:rsidRPr="00F61A34" w:rsidRDefault="00E25CC6" w:rsidP="000D7BE6">
      <w:r>
        <w:t>Additional funding will be provided for t</w:t>
      </w:r>
      <w:r w:rsidRPr="000D7BE6">
        <w:t xml:space="preserve">he Port Transaction Unit </w:t>
      </w:r>
      <w:r>
        <w:t xml:space="preserve">to </w:t>
      </w:r>
      <w:r w:rsidRPr="000D7BE6">
        <w:t xml:space="preserve">finalise vendor due diligence and procurement activities to </w:t>
      </w:r>
      <w:r>
        <w:t>complete</w:t>
      </w:r>
      <w:r w:rsidRPr="000D7BE6">
        <w:t xml:space="preserve"> the Port of Melbourne lease transaction.</w:t>
      </w:r>
    </w:p>
    <w:p w:rsidR="00E25CC6" w:rsidRPr="00553994" w:rsidRDefault="00E25CC6" w:rsidP="00553994">
      <w:r w:rsidRPr="00835383">
        <w:t>This initiative contributes to the Department of Treasury and Finance</w:t>
      </w:r>
      <w:r>
        <w:t>’</w:t>
      </w:r>
      <w:r w:rsidRPr="00835383">
        <w:t xml:space="preserve">s </w:t>
      </w:r>
      <w:r>
        <w:t>Commercial and Infrastructure Advice</w:t>
      </w:r>
      <w:r w:rsidRPr="00835383">
        <w:t xml:space="preserve"> output.</w:t>
      </w:r>
    </w:p>
    <w:p w:rsidR="00E25CC6" w:rsidRDefault="00E25CC6">
      <w:pPr>
        <w:spacing w:after="0"/>
        <w:rPr>
          <w:rFonts w:ascii="Calibri" w:eastAsiaTheme="minorHAnsi" w:hAnsi="Calibri"/>
          <w:i/>
          <w:sz w:val="24"/>
          <w:szCs w:val="22"/>
        </w:rPr>
      </w:pPr>
    </w:p>
    <w:p w:rsidR="00E25CC6" w:rsidRDefault="00E25CC6">
      <w:pPr>
        <w:spacing w:after="0"/>
        <w:rPr>
          <w:rFonts w:ascii="Calibri" w:eastAsiaTheme="minorHAnsi" w:hAnsi="Calibri"/>
          <w:i/>
          <w:sz w:val="24"/>
          <w:szCs w:val="22"/>
        </w:rPr>
      </w:pPr>
      <w:r>
        <w:rPr>
          <w:rFonts w:eastAsiaTheme="minorHAnsi"/>
        </w:rPr>
        <w:br w:type="page"/>
      </w:r>
    </w:p>
    <w:p w:rsidR="00E25CC6" w:rsidRPr="00BF1480" w:rsidRDefault="00E25CC6" w:rsidP="00BF1480">
      <w:pPr>
        <w:pStyle w:val="Heading4"/>
        <w:rPr>
          <w:rFonts w:eastAsiaTheme="minorHAnsi"/>
        </w:rPr>
      </w:pPr>
      <w:r w:rsidRPr="00BF1480">
        <w:rPr>
          <w:rFonts w:eastAsiaTheme="minorHAnsi"/>
        </w:rPr>
        <w:t>Guide government actions to increase Victoria</w:t>
      </w:r>
      <w:r>
        <w:rPr>
          <w:rFonts w:eastAsiaTheme="minorHAnsi"/>
        </w:rPr>
        <w:t>’</w:t>
      </w:r>
      <w:r w:rsidRPr="00BF1480">
        <w:rPr>
          <w:rFonts w:eastAsiaTheme="minorHAnsi"/>
        </w:rPr>
        <w:t xml:space="preserve">s productivity and competitiveness </w:t>
      </w:r>
    </w:p>
    <w:p w:rsidR="00E25CC6" w:rsidRPr="0062053D" w:rsidRDefault="00E25CC6" w:rsidP="0062053D">
      <w:pPr>
        <w:pStyle w:val="Heading5"/>
      </w:pPr>
      <w:r>
        <w:t xml:space="preserve">New activity for the </w:t>
      </w:r>
      <w:r w:rsidRPr="0062053D">
        <w:t>Essential Services Commission</w:t>
      </w:r>
      <w:r>
        <w:t xml:space="preserve"> </w:t>
      </w:r>
      <w:r>
        <w:fldChar w:fldCharType="begin"/>
      </w:r>
      <w:r>
        <w:instrText xml:space="preserve"> XE "</w:instrText>
      </w:r>
      <w:r w:rsidRPr="00DE0EE1">
        <w:instrText>Department of Treasury and Finance:Guide government actions to increase productivity and competitiveness</w:instrText>
      </w:r>
      <w:r>
        <w:instrText xml:space="preserve">" </w:instrText>
      </w:r>
      <w:r>
        <w:fldChar w:fldCharType="end"/>
      </w:r>
    </w:p>
    <w:p w:rsidR="00E25CC6" w:rsidRPr="00835383" w:rsidRDefault="00E25CC6" w:rsidP="007E5D90">
      <w:r w:rsidRPr="00835383">
        <w:t>Victoria</w:t>
      </w:r>
      <w:r>
        <w:t>’</w:t>
      </w:r>
      <w:r w:rsidRPr="00835383">
        <w:t>s independent economic regulator, the E</w:t>
      </w:r>
      <w:r>
        <w:t>ssential Services Commission,</w:t>
      </w:r>
      <w:r w:rsidRPr="00835383">
        <w:t xml:space="preserve"> will undertake new </w:t>
      </w:r>
      <w:r>
        <w:t>work to administer</w:t>
      </w:r>
      <w:r w:rsidRPr="00835383">
        <w:t xml:space="preserve"> the Fair Go Rates system</w:t>
      </w:r>
      <w:r>
        <w:t xml:space="preserve"> – </w:t>
      </w:r>
      <w:r w:rsidRPr="00835383">
        <w:t xml:space="preserve">a new local government rate </w:t>
      </w:r>
      <w:r>
        <w:t>capping and variation framework, monitor and enforce</w:t>
      </w:r>
      <w:r w:rsidRPr="00835383">
        <w:t xml:space="preserve"> consumer protection for </w:t>
      </w:r>
      <w:r>
        <w:t>electricity and gas customers, and i</w:t>
      </w:r>
      <w:r w:rsidRPr="00835383">
        <w:t>mple</w:t>
      </w:r>
      <w:r>
        <w:t>ment</w:t>
      </w:r>
      <w:r w:rsidRPr="00835383">
        <w:t xml:space="preserve"> pricing regulation for port users as part of the </w:t>
      </w:r>
      <w:r>
        <w:t>lease of the operations of the Port of Melbourne</w:t>
      </w:r>
      <w:r w:rsidRPr="00835383">
        <w:t>.</w:t>
      </w:r>
    </w:p>
    <w:p w:rsidR="00E25CC6" w:rsidRDefault="00E25CC6" w:rsidP="00260A26">
      <w:r w:rsidRPr="00835383">
        <w:t>This initiative contributes to the Department of Treasury and Finance</w:t>
      </w:r>
      <w:r>
        <w:t>’</w:t>
      </w:r>
      <w:r w:rsidRPr="00835383">
        <w:t>s Economic Regulatory Services output.</w:t>
      </w:r>
    </w:p>
    <w:p w:rsidR="00E25CC6" w:rsidRPr="0062053D" w:rsidRDefault="00E25CC6" w:rsidP="0062053D">
      <w:pPr>
        <w:pStyle w:val="Heading5"/>
      </w:pPr>
      <w:r>
        <w:t>Social i</w:t>
      </w:r>
      <w:r w:rsidRPr="0062053D">
        <w:t xml:space="preserve">mpact </w:t>
      </w:r>
      <w:r>
        <w:t>b</w:t>
      </w:r>
      <w:r w:rsidRPr="0062053D">
        <w:t>onds</w:t>
      </w:r>
    </w:p>
    <w:p w:rsidR="00E25CC6" w:rsidRDefault="00E25CC6" w:rsidP="00433C0C">
      <w:r>
        <w:t xml:space="preserve">A Social Impact Bond is a contract between the Government, service providers and investors to deliver specified social outcomes over an agreed period. This initiative will deliver the market testing and procurement phases of a pilot program. </w:t>
      </w:r>
    </w:p>
    <w:p w:rsidR="00E25CC6" w:rsidRPr="00106203" w:rsidRDefault="00E25CC6" w:rsidP="00433C0C">
      <w:r w:rsidRPr="00835383">
        <w:t>This initiative contributes to the Department of Treasury and Finance</w:t>
      </w:r>
      <w:r>
        <w:t>’</w:t>
      </w:r>
      <w:r w:rsidRPr="00835383">
        <w:t>s</w:t>
      </w:r>
      <w:r>
        <w:t xml:space="preserve"> </w:t>
      </w:r>
      <w:r w:rsidRPr="00106203">
        <w:t>Economic and Policy Advice</w:t>
      </w:r>
      <w:r>
        <w:t xml:space="preserve"> output.</w:t>
      </w:r>
      <w:r w:rsidRPr="00106203">
        <w:t xml:space="preserve"> </w:t>
      </w:r>
    </w:p>
    <w:p w:rsidR="00E25CC6" w:rsidRDefault="00E25CC6" w:rsidP="00BF1480">
      <w:pPr>
        <w:pStyle w:val="Heading4"/>
      </w:pPr>
      <w:r>
        <w:t>Sound financial management of Victoria’s fiscal resources</w:t>
      </w:r>
    </w:p>
    <w:p w:rsidR="00E25CC6" w:rsidRPr="0062053D" w:rsidRDefault="00E25CC6" w:rsidP="008508E2">
      <w:pPr>
        <w:pStyle w:val="Heading5"/>
      </w:pPr>
      <w:r w:rsidRPr="0062053D">
        <w:t>Creating a stronger V</w:t>
      </w:r>
      <w:r>
        <w:t xml:space="preserve">ictorian </w:t>
      </w:r>
      <w:r w:rsidRPr="0062053D">
        <w:t>P</w:t>
      </w:r>
      <w:r>
        <w:t xml:space="preserve">ublic </w:t>
      </w:r>
      <w:r w:rsidRPr="0062053D">
        <w:t>S</w:t>
      </w:r>
      <w:r>
        <w:t>ervice</w:t>
      </w:r>
      <w:r w:rsidRPr="0062053D">
        <w:t xml:space="preserve"> through a stronger centre </w:t>
      </w:r>
      <w:r>
        <w:fldChar w:fldCharType="begin"/>
      </w:r>
      <w:r>
        <w:instrText xml:space="preserve"> XE "</w:instrText>
      </w:r>
      <w:r w:rsidRPr="00A24075">
        <w:instrText>Department of Treasury and Finance:Sound financial management of Victoria's fiscal resources</w:instrText>
      </w:r>
      <w:r>
        <w:instrText xml:space="preserve">" </w:instrText>
      </w:r>
      <w:r>
        <w:fldChar w:fldCharType="end"/>
      </w:r>
    </w:p>
    <w:p w:rsidR="00E25CC6" w:rsidRDefault="00E25CC6" w:rsidP="008508E2">
      <w:r>
        <w:t xml:space="preserve">Funding is provided to the Department of Treasury and Finance and the Department of Premier and Cabinet to enhance their policy and strategic advice capabilities. </w:t>
      </w:r>
    </w:p>
    <w:p w:rsidR="00E25CC6" w:rsidRDefault="00E25CC6" w:rsidP="008508E2">
      <w:r w:rsidRPr="00835383">
        <w:t>This initiative contributes to the Department of Treasury and Finance</w:t>
      </w:r>
      <w:r>
        <w:t>’</w:t>
      </w:r>
      <w:r w:rsidRPr="00835383">
        <w:t>s</w:t>
      </w:r>
      <w:r>
        <w:t>:</w:t>
      </w:r>
    </w:p>
    <w:p w:rsidR="00E25CC6" w:rsidRPr="00D94ED5" w:rsidRDefault="00E25CC6" w:rsidP="008508E2">
      <w:pPr>
        <w:pStyle w:val="BulletText"/>
      </w:pPr>
      <w:r w:rsidRPr="00D94ED5">
        <w:t xml:space="preserve">Budget and Financial Advice output; </w:t>
      </w:r>
    </w:p>
    <w:p w:rsidR="00E25CC6" w:rsidRPr="00D94ED5" w:rsidRDefault="00E25CC6" w:rsidP="008508E2">
      <w:pPr>
        <w:pStyle w:val="BulletText"/>
      </w:pPr>
      <w:r w:rsidRPr="00D94ED5">
        <w:t xml:space="preserve">Economic and Policy Advice output; </w:t>
      </w:r>
    </w:p>
    <w:p w:rsidR="00E25CC6" w:rsidRPr="00D94ED5" w:rsidRDefault="00E25CC6" w:rsidP="008508E2">
      <w:pPr>
        <w:pStyle w:val="BulletText"/>
      </w:pPr>
      <w:r w:rsidRPr="00D94ED5">
        <w:t>Commercial and Infrastructure Advice output; and</w:t>
      </w:r>
    </w:p>
    <w:p w:rsidR="00E25CC6" w:rsidRPr="008508E2" w:rsidRDefault="00E25CC6" w:rsidP="008508E2">
      <w:pPr>
        <w:pStyle w:val="BulletText"/>
      </w:pPr>
      <w:r>
        <w:t>Services to Government output.</w:t>
      </w:r>
    </w:p>
    <w:p w:rsidR="00E25CC6" w:rsidRPr="0062053D" w:rsidRDefault="00E25CC6" w:rsidP="0062053D">
      <w:pPr>
        <w:pStyle w:val="Heading5"/>
      </w:pPr>
      <w:r w:rsidRPr="0062053D">
        <w:t xml:space="preserve">State Revenue Office Land Tax Compliance Program </w:t>
      </w:r>
    </w:p>
    <w:p w:rsidR="00E25CC6" w:rsidRPr="00835383" w:rsidRDefault="00E25CC6" w:rsidP="00980AA6">
      <w:r>
        <w:t>The State Revenue Office</w:t>
      </w:r>
      <w:r w:rsidRPr="00835383">
        <w:t xml:space="preserve"> will </w:t>
      </w:r>
      <w:r>
        <w:t xml:space="preserve">receive additional funding to </w:t>
      </w:r>
      <w:r w:rsidRPr="00835383">
        <w:t>establish and expand compliance programs involving</w:t>
      </w:r>
      <w:r>
        <w:t xml:space="preserve"> the land tax principal place of residence exemption, </w:t>
      </w:r>
      <w:r w:rsidRPr="00835383">
        <w:t xml:space="preserve">foreign purchaser additional duty, absentee owner surcharge, </w:t>
      </w:r>
      <w:r>
        <w:t xml:space="preserve">undeclared </w:t>
      </w:r>
      <w:r w:rsidRPr="00835383">
        <w:t>changes in the composition of business partnerships that own land</w:t>
      </w:r>
      <w:r>
        <w:t>,</w:t>
      </w:r>
      <w:r w:rsidRPr="00835383">
        <w:t xml:space="preserve"> and </w:t>
      </w:r>
      <w:r>
        <w:t>land held i</w:t>
      </w:r>
      <w:r w:rsidRPr="00B4513C">
        <w:t>n</w:t>
      </w:r>
      <w:r>
        <w:t xml:space="preserve"> undeclared</w:t>
      </w:r>
      <w:r w:rsidRPr="00B4513C">
        <w:t xml:space="preserve"> trust</w:t>
      </w:r>
      <w:r>
        <w:t>s</w:t>
      </w:r>
      <w:r w:rsidRPr="00835383">
        <w:t xml:space="preserve">. </w:t>
      </w:r>
    </w:p>
    <w:p w:rsidR="00E25CC6" w:rsidRPr="00553994" w:rsidRDefault="00E25CC6" w:rsidP="00553994">
      <w:r w:rsidRPr="00835383">
        <w:t>This initiative contributes to the Department of Treasury and Finance</w:t>
      </w:r>
      <w:r>
        <w:t>’</w:t>
      </w:r>
      <w:r w:rsidRPr="00835383">
        <w:t>s Revenue Management</w:t>
      </w:r>
      <w:r>
        <w:t xml:space="preserve"> Services to Government output.</w:t>
      </w:r>
    </w:p>
    <w:p w:rsidR="00E25CC6" w:rsidRDefault="00E25CC6">
      <w:pPr>
        <w:spacing w:after="0"/>
        <w:rPr>
          <w:rFonts w:ascii="Calibri" w:hAnsi="Calibri"/>
          <w:b/>
          <w:i/>
          <w:kern w:val="28"/>
          <w:sz w:val="24"/>
          <w:szCs w:val="22"/>
        </w:rPr>
      </w:pPr>
      <w:r>
        <w:br w:type="page"/>
      </w:r>
    </w:p>
    <w:p w:rsidR="00E25CC6" w:rsidRDefault="00E25CC6" w:rsidP="00566998">
      <w:pPr>
        <w:pStyle w:val="Heading3"/>
      </w:pPr>
      <w:r>
        <w:t xml:space="preserve">Asset initiatives </w:t>
      </w:r>
    </w:p>
    <w:p w:rsidR="00E25CC6" w:rsidRDefault="00E25CC6" w:rsidP="003B15A1">
      <w:pPr>
        <w:pStyle w:val="Tableheading"/>
      </w:pPr>
      <w:r>
        <w:t>Table 1.25:</w:t>
      </w:r>
      <w:r>
        <w:tab/>
        <w:t>Asset initiatives – Department of Treasury and Finance</w:t>
      </w:r>
    </w:p>
    <w:p w:rsidR="00E25CC6" w:rsidRDefault="00E25CC6" w:rsidP="009B036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19"/>
        <w:gridCol w:w="858"/>
        <w:gridCol w:w="859"/>
        <w:gridCol w:w="859"/>
        <w:gridCol w:w="859"/>
        <w:gridCol w:w="10"/>
        <w:gridCol w:w="283"/>
        <w:gridCol w:w="283"/>
        <w:gridCol w:w="285"/>
        <w:gridCol w:w="283"/>
        <w:gridCol w:w="283"/>
        <w:gridCol w:w="283"/>
        <w:gridCol w:w="12"/>
      </w:tblGrid>
      <w:tr w:rsidR="00E25CC6" w:rsidRPr="009B0368" w:rsidTr="001237C3">
        <w:trPr>
          <w:cantSplit/>
        </w:trPr>
        <w:tc>
          <w:tcPr>
            <w:tcW w:w="2621" w:type="dxa"/>
            <w:tcBorders>
              <w:top w:val="single" w:sz="4" w:space="0" w:color="auto"/>
              <w:left w:val="single" w:sz="4" w:space="0" w:color="auto"/>
              <w:bottom w:val="single" w:sz="4" w:space="0" w:color="auto"/>
              <w:right w:val="nil"/>
            </w:tcBorders>
            <w:shd w:val="clear" w:color="auto" w:fill="000000"/>
          </w:tcPr>
          <w:p w:rsidR="00E25CC6" w:rsidRPr="009B0368" w:rsidRDefault="00E25CC6" w:rsidP="009B0368">
            <w:pPr>
              <w:pStyle w:val="Tabletext"/>
              <w:rPr>
                <w:rFonts w:eastAsiaTheme="minorEastAsia"/>
                <w:lang w:eastAsia="en-AU"/>
              </w:rPr>
            </w:pPr>
            <w:r w:rsidRPr="009B0368">
              <w:rPr>
                <w:rFonts w:eastAsiaTheme="minorEastAsia"/>
                <w:lang w:eastAsia="en-AU"/>
              </w:rPr>
              <w:t xml:space="preserve"> </w:t>
            </w:r>
          </w:p>
        </w:tc>
        <w:tc>
          <w:tcPr>
            <w:tcW w:w="858"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2015</w:t>
            </w:r>
            <w:r>
              <w:rPr>
                <w:rFonts w:eastAsiaTheme="minorEastAsia"/>
                <w:lang w:eastAsia="en-AU"/>
              </w:rPr>
              <w:noBreakHyphen/>
            </w:r>
            <w:r w:rsidRPr="009B0368">
              <w:rPr>
                <w:rFonts w:eastAsiaTheme="minorEastAsia"/>
                <w:lang w:eastAsia="en-AU"/>
              </w:rPr>
              <w:t>16</w:t>
            </w:r>
          </w:p>
        </w:tc>
        <w:tc>
          <w:tcPr>
            <w:tcW w:w="859"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2016</w:t>
            </w:r>
            <w:r>
              <w:rPr>
                <w:rFonts w:eastAsiaTheme="minorEastAsia"/>
                <w:lang w:eastAsia="en-AU"/>
              </w:rPr>
              <w:noBreakHyphen/>
            </w:r>
            <w:r w:rsidRPr="009B0368">
              <w:rPr>
                <w:rFonts w:eastAsiaTheme="minorEastAsia"/>
                <w:lang w:eastAsia="en-AU"/>
              </w:rPr>
              <w:t>17</w:t>
            </w:r>
          </w:p>
        </w:tc>
        <w:tc>
          <w:tcPr>
            <w:tcW w:w="859"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2017</w:t>
            </w:r>
            <w:r>
              <w:rPr>
                <w:rFonts w:eastAsiaTheme="minorEastAsia"/>
                <w:lang w:eastAsia="en-AU"/>
              </w:rPr>
              <w:noBreakHyphen/>
            </w:r>
            <w:r w:rsidRPr="009B0368">
              <w:rPr>
                <w:rFonts w:eastAsiaTheme="minorEastAsia"/>
                <w:lang w:eastAsia="en-AU"/>
              </w:rPr>
              <w:t>18</w:t>
            </w:r>
          </w:p>
        </w:tc>
        <w:tc>
          <w:tcPr>
            <w:tcW w:w="859"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2018</w:t>
            </w:r>
            <w:r>
              <w:rPr>
                <w:rFonts w:eastAsiaTheme="minorEastAsia"/>
                <w:lang w:eastAsia="en-AU"/>
              </w:rPr>
              <w:noBreakHyphen/>
            </w:r>
            <w:r w:rsidRPr="009B0368">
              <w:rPr>
                <w:rFonts w:eastAsiaTheme="minorEastAsia"/>
                <w:lang w:eastAsia="en-AU"/>
              </w:rPr>
              <w:t>19</w:t>
            </w:r>
          </w:p>
        </w:tc>
        <w:tc>
          <w:tcPr>
            <w:tcW w:w="859" w:type="dxa"/>
            <w:gridSpan w:val="4"/>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2019</w:t>
            </w:r>
            <w:r>
              <w:rPr>
                <w:rFonts w:eastAsiaTheme="minorEastAsia"/>
                <w:lang w:eastAsia="en-AU"/>
              </w:rPr>
              <w:noBreakHyphen/>
            </w:r>
            <w:r w:rsidRPr="009B0368">
              <w:rPr>
                <w:rFonts w:eastAsiaTheme="minorEastAsia"/>
                <w:lang w:eastAsia="en-AU"/>
              </w:rPr>
              <w:t>20</w:t>
            </w:r>
          </w:p>
        </w:tc>
        <w:tc>
          <w:tcPr>
            <w:tcW w:w="861" w:type="dxa"/>
            <w:gridSpan w:val="4"/>
            <w:tcBorders>
              <w:top w:val="single" w:sz="4" w:space="0" w:color="auto"/>
              <w:left w:val="nil"/>
              <w:bottom w:val="single" w:sz="4" w:space="0" w:color="auto"/>
              <w:right w:val="single" w:sz="4" w:space="0" w:color="auto"/>
            </w:tcBorders>
            <w:shd w:val="clear" w:color="auto" w:fill="000000"/>
          </w:tcPr>
          <w:p w:rsidR="00E25CC6" w:rsidRPr="009B0368" w:rsidRDefault="00E25CC6" w:rsidP="009B0368">
            <w:pPr>
              <w:pStyle w:val="Tabletextheading"/>
              <w:rPr>
                <w:rFonts w:eastAsiaTheme="minorEastAsia" w:cs="Calibri"/>
                <w:iCs/>
                <w:sz w:val="19"/>
                <w:szCs w:val="19"/>
                <w:lang w:eastAsia="en-AU"/>
              </w:rPr>
            </w:pPr>
            <w:r w:rsidRPr="009B0368">
              <w:rPr>
                <w:rFonts w:eastAsiaTheme="minorEastAsia" w:cs="Calibri"/>
                <w:iCs/>
                <w:sz w:val="19"/>
                <w:szCs w:val="19"/>
                <w:lang w:eastAsia="en-AU"/>
              </w:rPr>
              <w:t>TEI</w:t>
            </w:r>
          </w:p>
        </w:tc>
      </w:tr>
      <w:tr w:rsidR="00E25CC6" w:rsidRPr="009B0368" w:rsidTr="001237C3">
        <w:trPr>
          <w:gridAfter w:val="1"/>
          <w:wAfter w:w="12" w:type="dxa"/>
          <w:cantSplit/>
        </w:trPr>
        <w:tc>
          <w:tcPr>
            <w:tcW w:w="6064" w:type="dxa"/>
            <w:gridSpan w:val="6"/>
            <w:tcBorders>
              <w:top w:val="single" w:sz="4" w:space="0" w:color="auto"/>
              <w:left w:val="nil"/>
              <w:bottom w:val="nil"/>
              <w:right w:val="nil"/>
            </w:tcBorders>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Deliver efficient whole of government common services to the Victorian public sector</w:t>
            </w:r>
          </w:p>
        </w:tc>
        <w:tc>
          <w:tcPr>
            <w:tcW w:w="283"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5"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single" w:sz="4" w:space="0" w:color="auto"/>
              <w:left w:val="nil"/>
              <w:bottom w:val="nil"/>
              <w:right w:val="nil"/>
            </w:tcBorders>
          </w:tcPr>
          <w:p w:rsidR="00E25CC6" w:rsidRPr="009B0368" w:rsidRDefault="00E25CC6" w:rsidP="009B0368">
            <w:pPr>
              <w:autoSpaceDE w:val="0"/>
              <w:autoSpaceDN w:val="0"/>
              <w:adjustRightInd w:val="0"/>
              <w:spacing w:after="0"/>
              <w:rPr>
                <w:rFonts w:ascii="Calibri" w:eastAsiaTheme="minorEastAsia" w:hAnsi="Calibri" w:cs="Calibri"/>
                <w:sz w:val="19"/>
                <w:szCs w:val="19"/>
                <w:lang w:eastAsia="en-AU"/>
              </w:rPr>
            </w:pPr>
            <w:r w:rsidRPr="009B0368">
              <w:rPr>
                <w:rFonts w:ascii="Calibri" w:eastAsiaTheme="minorEastAsia" w:hAnsi="Calibri" w:cs="Calibri"/>
                <w:sz w:val="19"/>
                <w:szCs w:val="19"/>
                <w:lang w:eastAsia="en-AU"/>
              </w:rPr>
              <w:t xml:space="preserve"> </w:t>
            </w:r>
          </w:p>
        </w:tc>
      </w:tr>
      <w:tr w:rsidR="00E25CC6" w:rsidRPr="009B0368" w:rsidTr="001237C3">
        <w:trPr>
          <w:cantSplit/>
        </w:trPr>
        <w:tc>
          <w:tcPr>
            <w:tcW w:w="2621"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Department of Treasury and Finance owned buildings capital maintenance funding</w:t>
            </w:r>
          </w:p>
        </w:tc>
        <w:tc>
          <w:tcPr>
            <w:tcW w:w="858"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59"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2.4</w:t>
            </w:r>
          </w:p>
        </w:tc>
        <w:tc>
          <w:tcPr>
            <w:tcW w:w="859"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2.7</w:t>
            </w:r>
          </w:p>
        </w:tc>
        <w:tc>
          <w:tcPr>
            <w:tcW w:w="859"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2.9</w:t>
            </w:r>
          </w:p>
        </w:tc>
        <w:tc>
          <w:tcPr>
            <w:tcW w:w="859" w:type="dxa"/>
            <w:gridSpan w:val="4"/>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3.1</w:t>
            </w:r>
          </w:p>
        </w:tc>
        <w:tc>
          <w:tcPr>
            <w:tcW w:w="861" w:type="dxa"/>
            <w:gridSpan w:val="4"/>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sz w:val="19"/>
                <w:szCs w:val="19"/>
                <w:lang w:eastAsia="en-AU"/>
              </w:rPr>
            </w:pPr>
            <w:r w:rsidRPr="009B0368">
              <w:rPr>
                <w:rFonts w:ascii="Calibri" w:eastAsiaTheme="minorEastAsia" w:hAnsi="Calibri" w:cs="Calibri"/>
                <w:sz w:val="19"/>
                <w:szCs w:val="19"/>
                <w:lang w:eastAsia="en-AU"/>
              </w:rPr>
              <w:t xml:space="preserve"> 11.1</w:t>
            </w:r>
          </w:p>
        </w:tc>
      </w:tr>
      <w:tr w:rsidR="00E25CC6" w:rsidRPr="009B0368" w:rsidTr="001237C3">
        <w:trPr>
          <w:gridAfter w:val="1"/>
          <w:wAfter w:w="12" w:type="dxa"/>
          <w:cantSplit/>
        </w:trPr>
        <w:tc>
          <w:tcPr>
            <w:tcW w:w="6066" w:type="dxa"/>
            <w:gridSpan w:val="6"/>
            <w:tcBorders>
              <w:top w:val="nil"/>
              <w:left w:val="nil"/>
              <w:bottom w:val="nil"/>
              <w:right w:val="nil"/>
            </w:tcBorders>
          </w:tcPr>
          <w:p w:rsidR="00E25CC6" w:rsidRPr="009B0368" w:rsidRDefault="00E25CC6" w:rsidP="009B0368">
            <w:pPr>
              <w:pStyle w:val="Tabletext"/>
              <w:rPr>
                <w:rFonts w:eastAsiaTheme="minorEastAsia"/>
                <w:b/>
                <w:bCs/>
                <w:color w:val="000000"/>
                <w:sz w:val="20"/>
                <w:lang w:eastAsia="en-AU"/>
              </w:rPr>
            </w:pPr>
            <w:r w:rsidRPr="009B0368">
              <w:rPr>
                <w:rFonts w:eastAsiaTheme="minorEastAsia"/>
                <w:b/>
                <w:bCs/>
                <w:color w:val="000000"/>
                <w:sz w:val="20"/>
                <w:lang w:eastAsia="en-AU"/>
              </w:rPr>
              <w:t>Sound financial management of Victoria</w:t>
            </w:r>
            <w:r>
              <w:rPr>
                <w:rFonts w:eastAsiaTheme="minorEastAsia"/>
                <w:b/>
                <w:bCs/>
                <w:color w:val="000000"/>
                <w:sz w:val="20"/>
                <w:lang w:eastAsia="en-AU"/>
              </w:rPr>
              <w:t>’</w:t>
            </w:r>
            <w:r w:rsidRPr="009B0368">
              <w:rPr>
                <w:rFonts w:eastAsiaTheme="minorEastAsia"/>
                <w:b/>
                <w:bCs/>
                <w:color w:val="000000"/>
                <w:sz w:val="20"/>
                <w:lang w:eastAsia="en-AU"/>
              </w:rPr>
              <w:t>s fiscal resources</w:t>
            </w:r>
          </w:p>
        </w:tc>
        <w:tc>
          <w:tcPr>
            <w:tcW w:w="283"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w:t>
            </w:r>
          </w:p>
        </w:tc>
        <w:tc>
          <w:tcPr>
            <w:tcW w:w="283" w:type="dxa"/>
            <w:tcBorders>
              <w:top w:val="nil"/>
              <w:left w:val="nil"/>
              <w:bottom w:val="nil"/>
              <w:right w:val="nil"/>
            </w:tcBorders>
          </w:tcPr>
          <w:p w:rsidR="00E25CC6" w:rsidRPr="009B0368" w:rsidRDefault="00E25CC6" w:rsidP="009B0368">
            <w:pPr>
              <w:autoSpaceDE w:val="0"/>
              <w:autoSpaceDN w:val="0"/>
              <w:adjustRightInd w:val="0"/>
              <w:spacing w:after="0"/>
              <w:rPr>
                <w:rFonts w:ascii="Calibri" w:eastAsiaTheme="minorEastAsia" w:hAnsi="Calibri" w:cs="Calibri"/>
                <w:sz w:val="19"/>
                <w:szCs w:val="19"/>
                <w:lang w:eastAsia="en-AU"/>
              </w:rPr>
            </w:pPr>
            <w:r w:rsidRPr="009B0368">
              <w:rPr>
                <w:rFonts w:ascii="Calibri" w:eastAsiaTheme="minorEastAsia" w:hAnsi="Calibri" w:cs="Calibri"/>
                <w:sz w:val="19"/>
                <w:szCs w:val="19"/>
                <w:lang w:eastAsia="en-AU"/>
              </w:rPr>
              <w:t xml:space="preserve"> </w:t>
            </w:r>
          </w:p>
        </w:tc>
      </w:tr>
      <w:tr w:rsidR="00E25CC6" w:rsidRPr="009B0368" w:rsidTr="001237C3">
        <w:trPr>
          <w:cantSplit/>
        </w:trPr>
        <w:tc>
          <w:tcPr>
            <w:tcW w:w="2621"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State Revenue Office Land Tax Compliance Program</w:t>
            </w:r>
          </w:p>
        </w:tc>
        <w:tc>
          <w:tcPr>
            <w:tcW w:w="858"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59"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0.8</w:t>
            </w:r>
          </w:p>
        </w:tc>
        <w:tc>
          <w:tcPr>
            <w:tcW w:w="859"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1.1</w:t>
            </w:r>
          </w:p>
        </w:tc>
        <w:tc>
          <w:tcPr>
            <w:tcW w:w="859"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 xml:space="preserve"> 0.8</w:t>
            </w:r>
          </w:p>
        </w:tc>
        <w:tc>
          <w:tcPr>
            <w:tcW w:w="859" w:type="dxa"/>
            <w:gridSpan w:val="4"/>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61" w:type="dxa"/>
            <w:gridSpan w:val="4"/>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sz w:val="19"/>
                <w:szCs w:val="19"/>
                <w:lang w:eastAsia="en-AU"/>
              </w:rPr>
            </w:pPr>
            <w:r w:rsidRPr="009B0368">
              <w:rPr>
                <w:rFonts w:ascii="Calibri" w:eastAsiaTheme="minorEastAsia" w:hAnsi="Calibri" w:cs="Calibri"/>
                <w:sz w:val="19"/>
                <w:szCs w:val="19"/>
                <w:lang w:eastAsia="en-AU"/>
              </w:rPr>
              <w:t xml:space="preserve"> 2.6</w:t>
            </w:r>
          </w:p>
        </w:tc>
      </w:tr>
      <w:tr w:rsidR="00E25CC6" w:rsidRPr="009B0368" w:rsidTr="001237C3">
        <w:trPr>
          <w:cantSplit/>
        </w:trPr>
        <w:tc>
          <w:tcPr>
            <w:tcW w:w="2621"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text"/>
              <w:rPr>
                <w:rFonts w:eastAsiaTheme="minorEastAsia"/>
                <w:b/>
                <w:bCs/>
                <w:color w:val="000000"/>
                <w:vertAlign w:val="superscript"/>
                <w:lang w:eastAsia="en-AU"/>
              </w:rPr>
            </w:pPr>
            <w:r w:rsidRPr="009B0368">
              <w:rPr>
                <w:rFonts w:eastAsiaTheme="minorEastAsia"/>
                <w:b/>
                <w:bCs/>
                <w:color w:val="000000"/>
                <w:lang w:eastAsia="en-AU"/>
              </w:rPr>
              <w:t xml:space="preserve">Total asset initiatives </w:t>
            </w:r>
            <w:r w:rsidRPr="009B0368">
              <w:rPr>
                <w:rFonts w:eastAsiaTheme="minorEastAsia"/>
                <w:b/>
                <w:bCs/>
                <w:color w:val="000000"/>
                <w:vertAlign w:val="superscript"/>
                <w:lang w:eastAsia="en-AU"/>
              </w:rPr>
              <w:t>(a)</w:t>
            </w:r>
          </w:p>
        </w:tc>
        <w:tc>
          <w:tcPr>
            <w:tcW w:w="858"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sidRPr="009B0368">
              <w:rPr>
                <w:rFonts w:eastAsiaTheme="minorEastAsia"/>
                <w:b/>
                <w:bCs/>
                <w:lang w:eastAsia="en-AU"/>
              </w:rPr>
              <w:t>..</w:t>
            </w:r>
          </w:p>
        </w:tc>
        <w:tc>
          <w:tcPr>
            <w:tcW w:w="859"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sidRPr="009B0368">
              <w:rPr>
                <w:rFonts w:eastAsiaTheme="minorEastAsia"/>
                <w:b/>
                <w:bCs/>
                <w:lang w:eastAsia="en-AU"/>
              </w:rPr>
              <w:t xml:space="preserve"> 3.2</w:t>
            </w:r>
          </w:p>
        </w:tc>
        <w:tc>
          <w:tcPr>
            <w:tcW w:w="859"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sidRPr="009B0368">
              <w:rPr>
                <w:rFonts w:eastAsiaTheme="minorEastAsia"/>
                <w:b/>
                <w:bCs/>
                <w:lang w:eastAsia="en-AU"/>
              </w:rPr>
              <w:t xml:space="preserve"> 3.8</w:t>
            </w:r>
          </w:p>
        </w:tc>
        <w:tc>
          <w:tcPr>
            <w:tcW w:w="859"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sidRPr="009B0368">
              <w:rPr>
                <w:rFonts w:eastAsiaTheme="minorEastAsia"/>
                <w:b/>
                <w:bCs/>
                <w:lang w:eastAsia="en-AU"/>
              </w:rPr>
              <w:t xml:space="preserve"> 3.6</w:t>
            </w:r>
          </w:p>
        </w:tc>
        <w:tc>
          <w:tcPr>
            <w:tcW w:w="859" w:type="dxa"/>
            <w:gridSpan w:val="4"/>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sidRPr="009B0368">
              <w:rPr>
                <w:rFonts w:eastAsiaTheme="minorEastAsia"/>
                <w:b/>
                <w:bCs/>
                <w:lang w:eastAsia="en-AU"/>
              </w:rPr>
              <w:t xml:space="preserve"> 3.1</w:t>
            </w:r>
          </w:p>
        </w:tc>
        <w:tc>
          <w:tcPr>
            <w:tcW w:w="861" w:type="dxa"/>
            <w:gridSpan w:val="4"/>
            <w:tcBorders>
              <w:top w:val="single" w:sz="6" w:space="0" w:color="auto"/>
              <w:left w:val="nil"/>
              <w:bottom w:val="single" w:sz="12" w:space="0" w:color="auto"/>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b/>
                <w:bCs/>
                <w:sz w:val="19"/>
                <w:szCs w:val="19"/>
                <w:lang w:eastAsia="en-AU"/>
              </w:rPr>
            </w:pPr>
            <w:r w:rsidRPr="009B0368">
              <w:rPr>
                <w:rFonts w:ascii="Calibri" w:eastAsiaTheme="minorEastAsia" w:hAnsi="Calibri" w:cs="Calibri"/>
                <w:b/>
                <w:bCs/>
                <w:sz w:val="19"/>
                <w:szCs w:val="19"/>
                <w:lang w:eastAsia="en-AU"/>
              </w:rPr>
              <w:t xml:space="preserve"> 13.7</w:t>
            </w:r>
          </w:p>
        </w:tc>
      </w:tr>
    </w:tbl>
    <w:p w:rsidR="00E25CC6" w:rsidRDefault="00E25CC6" w:rsidP="00566998">
      <w:pPr>
        <w:pStyle w:val="Source"/>
      </w:pPr>
      <w:r>
        <w:t xml:space="preserve">Source: Department of Treasury and Finance </w:t>
      </w:r>
      <w:r>
        <w:fldChar w:fldCharType="begin"/>
      </w:r>
      <w:r>
        <w:instrText xml:space="preserve"> XE "</w:instrText>
      </w:r>
      <w:r w:rsidRPr="00386096">
        <w:instrText>Department of Treasury and Finance:Asset initiatives</w:instrText>
      </w:r>
      <w:r>
        <w:instrText xml:space="preserve">" </w:instrText>
      </w:r>
      <w:r>
        <w:fldChar w:fldCharType="end"/>
      </w:r>
    </w:p>
    <w:p w:rsidR="00E25CC6" w:rsidRDefault="00E25CC6" w:rsidP="00566998">
      <w:pPr>
        <w:pStyle w:val="Notes"/>
      </w:pPr>
      <w:r>
        <w:t xml:space="preserve">Note: </w:t>
      </w:r>
    </w:p>
    <w:p w:rsidR="00E25CC6" w:rsidRDefault="00E25CC6" w:rsidP="00566998">
      <w:pPr>
        <w:pStyle w:val="Notes"/>
      </w:pPr>
      <w:r>
        <w:t>(a)</w:t>
      </w:r>
      <w:r>
        <w:tab/>
        <w:t>Tables may not add due to rounding.</w:t>
      </w:r>
    </w:p>
    <w:p w:rsidR="00E25CC6" w:rsidRDefault="00E25CC6" w:rsidP="003F5519">
      <w:pPr>
        <w:pStyle w:val="Source"/>
      </w:pPr>
    </w:p>
    <w:p w:rsidR="00E25CC6" w:rsidRPr="00BF1480" w:rsidRDefault="00E25CC6" w:rsidP="008508E2">
      <w:pPr>
        <w:pStyle w:val="Heading4"/>
        <w:rPr>
          <w:rFonts w:eastAsiaTheme="minorHAnsi"/>
        </w:rPr>
      </w:pPr>
      <w:r w:rsidRPr="00BF1480">
        <w:rPr>
          <w:rFonts w:eastAsiaTheme="minorHAnsi"/>
        </w:rPr>
        <w:t>Deliver efficient whole of government common services to the Victorian public sector</w:t>
      </w:r>
    </w:p>
    <w:p w:rsidR="00E25CC6" w:rsidRDefault="00E25CC6" w:rsidP="008508E2">
      <w:pPr>
        <w:pStyle w:val="Heading5"/>
      </w:pPr>
      <w:r w:rsidRPr="00877E44">
        <w:t>D</w:t>
      </w:r>
      <w:r>
        <w:t xml:space="preserve">epartment of </w:t>
      </w:r>
      <w:r w:rsidRPr="00877E44">
        <w:t>T</w:t>
      </w:r>
      <w:r>
        <w:t xml:space="preserve">reasury and </w:t>
      </w:r>
      <w:r w:rsidRPr="00877E44">
        <w:t>F</w:t>
      </w:r>
      <w:r>
        <w:t>inance</w:t>
      </w:r>
      <w:r w:rsidRPr="00877E44">
        <w:t xml:space="preserve"> owned building capital maintenance funding</w:t>
      </w:r>
    </w:p>
    <w:p w:rsidR="00E25CC6" w:rsidRPr="00411FB6" w:rsidRDefault="00E25CC6" w:rsidP="008508E2">
      <w:r>
        <w:t>Additional funding for a</w:t>
      </w:r>
      <w:r>
        <w:rPr>
          <w:bCs/>
          <w:szCs w:val="24"/>
        </w:rPr>
        <w:t xml:space="preserve">sset replacement and capital maintenance of essential services will assist to </w:t>
      </w:r>
      <w:r w:rsidRPr="00352EC9">
        <w:t xml:space="preserve">maintain the </w:t>
      </w:r>
      <w:r>
        <w:t xml:space="preserve">safe </w:t>
      </w:r>
      <w:r w:rsidRPr="00352EC9">
        <w:t xml:space="preserve">operation of the office buildings managed by </w:t>
      </w:r>
      <w:r w:rsidRPr="00411FB6">
        <w:t>the Department of Treasury and Financ</w:t>
      </w:r>
      <w:r>
        <w:t>e</w:t>
      </w:r>
      <w:r w:rsidRPr="00352EC9">
        <w:t xml:space="preserve"> on behalf of the </w:t>
      </w:r>
      <w:r w:rsidRPr="00411FB6">
        <w:t>Government.</w:t>
      </w:r>
      <w:r>
        <w:t xml:space="preserve"> </w:t>
      </w:r>
      <w:r>
        <w:fldChar w:fldCharType="begin"/>
      </w:r>
      <w:r>
        <w:instrText xml:space="preserve"> XE "</w:instrText>
      </w:r>
      <w:r w:rsidRPr="000F3B16">
        <w:instrText>Department of Treasury and Finance:Deliver efficient whole of governme</w:instrText>
      </w:r>
      <w:r>
        <w:instrText>nt</w:instrText>
      </w:r>
      <w:r w:rsidRPr="000F3B16">
        <w:instrText xml:space="preserve"> common services to the Victorian public sector</w:instrText>
      </w:r>
      <w:r>
        <w:instrText xml:space="preserve">" </w:instrText>
      </w:r>
      <w:r>
        <w:fldChar w:fldCharType="end"/>
      </w:r>
    </w:p>
    <w:p w:rsidR="00E25CC6" w:rsidRDefault="00E25CC6" w:rsidP="008508E2">
      <w:r w:rsidRPr="00411FB6">
        <w:t>This initiative contributes to the Department of Treasury and Finance</w:t>
      </w:r>
      <w:r>
        <w:t>’</w:t>
      </w:r>
      <w:r w:rsidRPr="00411FB6">
        <w:t>s Services to Government output.</w:t>
      </w:r>
    </w:p>
    <w:p w:rsidR="00E25CC6" w:rsidRDefault="00E25CC6" w:rsidP="00D77E71">
      <w:pPr>
        <w:pStyle w:val="Heading4"/>
      </w:pPr>
      <w:r>
        <w:t>Sound financial management of Victoria’s fiscal resources</w:t>
      </w:r>
    </w:p>
    <w:p w:rsidR="00E25CC6" w:rsidRPr="0062053D" w:rsidRDefault="00E25CC6" w:rsidP="0062053D">
      <w:pPr>
        <w:pStyle w:val="Heading5"/>
      </w:pPr>
      <w:r w:rsidRPr="0062053D">
        <w:t xml:space="preserve">State Revenue Office Land Tax Compliance Program </w:t>
      </w:r>
    </w:p>
    <w:p w:rsidR="00E25CC6" w:rsidRDefault="00E25CC6" w:rsidP="00980AA6">
      <w:pPr>
        <w:autoSpaceDE w:val="0"/>
        <w:autoSpaceDN w:val="0"/>
        <w:adjustRightInd w:val="0"/>
        <w:rPr>
          <w:rFonts w:eastAsiaTheme="minorHAnsi"/>
        </w:rPr>
      </w:pPr>
      <w:r>
        <w:rPr>
          <w:rFonts w:eastAsiaTheme="minorHAnsi"/>
        </w:rPr>
        <w:t>Refer to the output initiative for a description of this initiative.</w:t>
      </w:r>
    </w:p>
    <w:p w:rsidR="00E25CC6" w:rsidRDefault="00E25CC6">
      <w:pPr>
        <w:spacing w:after="0"/>
        <w:rPr>
          <w:rFonts w:ascii="Calibri" w:hAnsi="Calibri"/>
          <w:b/>
          <w:caps/>
          <w:sz w:val="26"/>
          <w:szCs w:val="22"/>
        </w:rPr>
      </w:pPr>
      <w:r>
        <w:br w:type="page"/>
      </w:r>
    </w:p>
    <w:p w:rsidR="00E25CC6" w:rsidRDefault="00E25CC6" w:rsidP="00FA2145">
      <w:pPr>
        <w:pStyle w:val="Heading1"/>
      </w:pPr>
      <w:bookmarkStart w:id="49" w:name="_Toc449109433"/>
      <w:r w:rsidRPr="00FA2145">
        <w:t>Parliament</w:t>
      </w:r>
      <w:bookmarkEnd w:id="49"/>
    </w:p>
    <w:p w:rsidR="00E25CC6" w:rsidRDefault="00E25CC6" w:rsidP="00BF1480">
      <w:pPr>
        <w:pStyle w:val="Heading3"/>
      </w:pPr>
      <w:r>
        <w:t>Output initiatives</w:t>
      </w:r>
    </w:p>
    <w:p w:rsidR="00E25CC6" w:rsidRDefault="00E25CC6" w:rsidP="003B15A1">
      <w:pPr>
        <w:pStyle w:val="Tableheading"/>
      </w:pPr>
      <w:r>
        <w:t>Table 1.26:</w:t>
      </w:r>
      <w:r>
        <w:tab/>
        <w:t>Output initiatives – Parliament</w:t>
      </w:r>
    </w:p>
    <w:p w:rsidR="00E25CC6" w:rsidRDefault="00E25CC6" w:rsidP="009B036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464"/>
        <w:gridCol w:w="862"/>
        <w:gridCol w:w="862"/>
        <w:gridCol w:w="863"/>
        <w:gridCol w:w="862"/>
        <w:gridCol w:w="863"/>
      </w:tblGrid>
      <w:tr w:rsidR="00E25CC6" w:rsidRPr="009B0368" w:rsidTr="009B0368">
        <w:trPr>
          <w:cantSplit/>
        </w:trPr>
        <w:tc>
          <w:tcPr>
            <w:tcW w:w="3464" w:type="dxa"/>
            <w:tcBorders>
              <w:top w:val="single" w:sz="4" w:space="0" w:color="auto"/>
              <w:left w:val="single" w:sz="4" w:space="0" w:color="auto"/>
              <w:bottom w:val="single" w:sz="4" w:space="0" w:color="auto"/>
              <w:right w:val="nil"/>
            </w:tcBorders>
            <w:shd w:val="clear" w:color="auto" w:fill="000000"/>
          </w:tcPr>
          <w:p w:rsidR="00E25CC6" w:rsidRPr="009B0368" w:rsidRDefault="00E25CC6" w:rsidP="009B0368">
            <w:pPr>
              <w:pStyle w:val="Tabletext"/>
              <w:rPr>
                <w:rFonts w:eastAsiaTheme="minorEastAsia"/>
                <w:lang w:eastAsia="en-AU"/>
              </w:rPr>
            </w:pPr>
            <w:r w:rsidRPr="009B0368">
              <w:rPr>
                <w:rFonts w:eastAsiaTheme="minorEastAsia"/>
                <w:lang w:eastAsia="en-AU"/>
              </w:rPr>
              <w:t xml:space="preserve"> </w:t>
            </w:r>
          </w:p>
        </w:tc>
        <w:tc>
          <w:tcPr>
            <w:tcW w:w="862"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2015</w:t>
            </w:r>
            <w:r>
              <w:rPr>
                <w:rFonts w:eastAsiaTheme="minorEastAsia"/>
                <w:lang w:eastAsia="en-AU"/>
              </w:rPr>
              <w:noBreakHyphen/>
            </w:r>
            <w:r w:rsidRPr="009B0368">
              <w:rPr>
                <w:rFonts w:eastAsiaTheme="minorEastAsia"/>
                <w:lang w:eastAsia="en-AU"/>
              </w:rPr>
              <w:t>16</w:t>
            </w:r>
          </w:p>
        </w:tc>
        <w:tc>
          <w:tcPr>
            <w:tcW w:w="862"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2016</w:t>
            </w:r>
            <w:r>
              <w:rPr>
                <w:rFonts w:eastAsiaTheme="minorEastAsia"/>
                <w:lang w:eastAsia="en-AU"/>
              </w:rPr>
              <w:noBreakHyphen/>
            </w:r>
            <w:r w:rsidRPr="009B0368">
              <w:rPr>
                <w:rFonts w:eastAsiaTheme="minorEastAsia"/>
                <w:lang w:eastAsia="en-AU"/>
              </w:rPr>
              <w:t>17</w:t>
            </w:r>
          </w:p>
        </w:tc>
        <w:tc>
          <w:tcPr>
            <w:tcW w:w="863"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2017</w:t>
            </w:r>
            <w:r>
              <w:rPr>
                <w:rFonts w:eastAsiaTheme="minorEastAsia"/>
                <w:lang w:eastAsia="en-AU"/>
              </w:rPr>
              <w:noBreakHyphen/>
            </w:r>
            <w:r w:rsidRPr="009B0368">
              <w:rPr>
                <w:rFonts w:eastAsiaTheme="minorEastAsia"/>
                <w:lang w:eastAsia="en-AU"/>
              </w:rPr>
              <w:t>18</w:t>
            </w:r>
          </w:p>
        </w:tc>
        <w:tc>
          <w:tcPr>
            <w:tcW w:w="862"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2018</w:t>
            </w:r>
            <w:r>
              <w:rPr>
                <w:rFonts w:eastAsiaTheme="minorEastAsia"/>
                <w:lang w:eastAsia="en-AU"/>
              </w:rPr>
              <w:noBreakHyphen/>
            </w:r>
            <w:r w:rsidRPr="009B0368">
              <w:rPr>
                <w:rFonts w:eastAsiaTheme="minorEastAsia"/>
                <w:lang w:eastAsia="en-AU"/>
              </w:rPr>
              <w:t>19</w:t>
            </w:r>
          </w:p>
        </w:tc>
        <w:tc>
          <w:tcPr>
            <w:tcW w:w="863" w:type="dxa"/>
            <w:tcBorders>
              <w:top w:val="single" w:sz="4" w:space="0" w:color="auto"/>
              <w:left w:val="nil"/>
              <w:bottom w:val="single" w:sz="4" w:space="0" w:color="auto"/>
              <w:right w:val="single" w:sz="4" w:space="0" w:color="auto"/>
            </w:tcBorders>
            <w:shd w:val="clear" w:color="auto" w:fill="000000"/>
          </w:tcPr>
          <w:p w:rsidR="00E25CC6" w:rsidRPr="009B0368" w:rsidRDefault="00E25CC6" w:rsidP="009B0368">
            <w:pPr>
              <w:pStyle w:val="Tabletextheading"/>
              <w:rPr>
                <w:rFonts w:eastAsiaTheme="minorEastAsia" w:cs="Calibri"/>
                <w:iCs/>
                <w:sz w:val="19"/>
                <w:szCs w:val="19"/>
                <w:lang w:eastAsia="en-AU"/>
              </w:rPr>
            </w:pPr>
            <w:r w:rsidRPr="009B0368">
              <w:rPr>
                <w:rFonts w:eastAsiaTheme="minorEastAsia" w:cs="Calibri"/>
                <w:iCs/>
                <w:sz w:val="19"/>
                <w:szCs w:val="19"/>
                <w:lang w:eastAsia="en-AU"/>
              </w:rPr>
              <w:t>2019</w:t>
            </w:r>
            <w:r>
              <w:rPr>
                <w:rFonts w:eastAsiaTheme="minorEastAsia" w:cs="Calibri"/>
                <w:iCs/>
                <w:sz w:val="19"/>
                <w:szCs w:val="19"/>
                <w:lang w:eastAsia="en-AU"/>
              </w:rPr>
              <w:noBreakHyphen/>
            </w:r>
            <w:r w:rsidRPr="009B0368">
              <w:rPr>
                <w:rFonts w:eastAsiaTheme="minorEastAsia" w:cs="Calibri"/>
                <w:iCs/>
                <w:sz w:val="19"/>
                <w:szCs w:val="19"/>
                <w:lang w:eastAsia="en-AU"/>
              </w:rPr>
              <w:t>20</w:t>
            </w:r>
          </w:p>
        </w:tc>
      </w:tr>
      <w:tr w:rsidR="00E25CC6" w:rsidRPr="009B0368" w:rsidTr="009B0368">
        <w:trPr>
          <w:cantSplit/>
        </w:trPr>
        <w:tc>
          <w:tcPr>
            <w:tcW w:w="3464" w:type="dxa"/>
            <w:tcBorders>
              <w:top w:val="single" w:sz="4" w:space="0" w:color="auto"/>
              <w:left w:val="nil"/>
              <w:bottom w:val="nil"/>
              <w:right w:val="nil"/>
            </w:tcBorders>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Legislative Council</w:t>
            </w:r>
          </w:p>
        </w:tc>
        <w:tc>
          <w:tcPr>
            <w:tcW w:w="862"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single" w:sz="4" w:space="0" w:color="auto"/>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Legislative Council committees</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0.4</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0.4</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0.4</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0.4</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Parliamentary Services</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Improve staff leave arrangements at Electorate Offices</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1.7</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1.8</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1.8</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1.9</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Increase in Members of Parliament funding to reflect state voter count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0.2</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0.2</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0.2</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0.2</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Remediation of office accommodation</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0.2</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0.2</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0.2</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Parliamentary Budget Office</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Parliamentary Budget Office</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4.4</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3.3</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3.3</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3.3</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Parliamentary Investigatory Committees</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 xml:space="preserve"> </w:t>
            </w:r>
          </w:p>
        </w:tc>
      </w:tr>
      <w:tr w:rsidR="00E25CC6" w:rsidRPr="009B0368" w:rsidTr="009B0368">
        <w:trPr>
          <w:cantSplit/>
        </w:trPr>
        <w:tc>
          <w:tcPr>
            <w:tcW w:w="3464"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Performance Audit of Victorian Auditor</w:t>
            </w:r>
            <w:r>
              <w:rPr>
                <w:rFonts w:eastAsiaTheme="minorEastAsia"/>
                <w:color w:val="000000"/>
                <w:lang w:eastAsia="en-AU"/>
              </w:rPr>
              <w:noBreakHyphen/>
            </w:r>
            <w:r w:rsidRPr="009B0368">
              <w:rPr>
                <w:rFonts w:eastAsiaTheme="minorEastAsia"/>
                <w:color w:val="000000"/>
                <w:lang w:eastAsia="en-AU"/>
              </w:rPr>
              <w:t>General</w:t>
            </w:r>
            <w:r>
              <w:rPr>
                <w:rFonts w:eastAsiaTheme="minorEastAsia"/>
                <w:color w:val="000000"/>
                <w:lang w:eastAsia="en-AU"/>
              </w:rPr>
              <w:t>’</w:t>
            </w:r>
            <w:r w:rsidRPr="009B0368">
              <w:rPr>
                <w:rFonts w:eastAsiaTheme="minorEastAsia"/>
                <w:color w:val="000000"/>
                <w:lang w:eastAsia="en-AU"/>
              </w:rPr>
              <w:t>s Office</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0.4</w:t>
            </w:r>
          </w:p>
        </w:tc>
        <w:tc>
          <w:tcPr>
            <w:tcW w:w="863"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2"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63"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19"/>
                <w:szCs w:val="19"/>
                <w:lang w:eastAsia="en-AU"/>
              </w:rPr>
            </w:pPr>
            <w:r w:rsidRPr="009B0368">
              <w:rPr>
                <w:rFonts w:ascii="Calibri" w:eastAsiaTheme="minorEastAsia" w:hAnsi="Calibri" w:cs="Calibri"/>
                <w:color w:val="000000"/>
                <w:sz w:val="19"/>
                <w:szCs w:val="19"/>
                <w:lang w:eastAsia="en-AU"/>
              </w:rPr>
              <w:t>..</w:t>
            </w:r>
          </w:p>
        </w:tc>
      </w:tr>
      <w:tr w:rsidR="00E25CC6" w:rsidRPr="009B0368" w:rsidTr="009B0368">
        <w:trPr>
          <w:cantSplit/>
        </w:trPr>
        <w:tc>
          <w:tcPr>
            <w:tcW w:w="3464"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text"/>
              <w:rPr>
                <w:rFonts w:eastAsiaTheme="minorEastAsia"/>
                <w:b/>
                <w:bCs/>
                <w:color w:val="000000"/>
                <w:vertAlign w:val="superscript"/>
                <w:lang w:eastAsia="en-AU"/>
              </w:rPr>
            </w:pPr>
            <w:r w:rsidRPr="009B0368">
              <w:rPr>
                <w:rFonts w:eastAsiaTheme="minorEastAsia"/>
                <w:b/>
                <w:bCs/>
                <w:color w:val="000000"/>
                <w:lang w:eastAsia="en-AU"/>
              </w:rPr>
              <w:t xml:space="preserve">Total output initiatives </w:t>
            </w:r>
            <w:r w:rsidRPr="009B0368">
              <w:rPr>
                <w:rFonts w:eastAsiaTheme="minorEastAsia"/>
                <w:b/>
                <w:bCs/>
                <w:color w:val="000000"/>
                <w:vertAlign w:val="superscript"/>
                <w:lang w:eastAsia="en-AU"/>
              </w:rPr>
              <w:t>(a)</w:t>
            </w:r>
          </w:p>
        </w:tc>
        <w:tc>
          <w:tcPr>
            <w:tcW w:w="862"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w:t>
            </w:r>
          </w:p>
        </w:tc>
        <w:tc>
          <w:tcPr>
            <w:tcW w:w="862"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7.1</w:t>
            </w:r>
          </w:p>
        </w:tc>
        <w:tc>
          <w:tcPr>
            <w:tcW w:w="863"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5.8</w:t>
            </w:r>
          </w:p>
        </w:tc>
        <w:tc>
          <w:tcPr>
            <w:tcW w:w="862"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5.9</w:t>
            </w:r>
          </w:p>
        </w:tc>
        <w:tc>
          <w:tcPr>
            <w:tcW w:w="863" w:type="dxa"/>
            <w:tcBorders>
              <w:top w:val="single" w:sz="6" w:space="0" w:color="auto"/>
              <w:left w:val="nil"/>
              <w:bottom w:val="single" w:sz="12" w:space="0" w:color="auto"/>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b/>
                <w:bCs/>
                <w:color w:val="000000"/>
                <w:sz w:val="19"/>
                <w:szCs w:val="19"/>
                <w:lang w:eastAsia="en-AU"/>
              </w:rPr>
            </w:pPr>
            <w:r w:rsidRPr="009B0368">
              <w:rPr>
                <w:rFonts w:ascii="Calibri" w:eastAsiaTheme="minorEastAsia" w:hAnsi="Calibri" w:cs="Calibri"/>
                <w:b/>
                <w:bCs/>
                <w:color w:val="000000"/>
                <w:sz w:val="19"/>
                <w:szCs w:val="19"/>
                <w:lang w:eastAsia="en-AU"/>
              </w:rPr>
              <w:t xml:space="preserve"> 5.9</w:t>
            </w:r>
          </w:p>
        </w:tc>
      </w:tr>
    </w:tbl>
    <w:p w:rsidR="00E25CC6" w:rsidRDefault="00E25CC6" w:rsidP="00566998">
      <w:pPr>
        <w:pStyle w:val="Source"/>
      </w:pPr>
      <w:r>
        <w:t>Source: Department of Treasury and Finance</w:t>
      </w:r>
      <w:r>
        <w:fldChar w:fldCharType="begin"/>
      </w:r>
      <w:r>
        <w:instrText xml:space="preserve"> XE "</w:instrText>
      </w:r>
      <w:r w:rsidRPr="007656E0">
        <w:instrText>Parliament:Output initiatives</w:instrText>
      </w:r>
      <w:r>
        <w:instrText xml:space="preserve">" </w:instrText>
      </w:r>
      <w:r>
        <w:fldChar w:fldCharType="end"/>
      </w:r>
    </w:p>
    <w:p w:rsidR="00E25CC6" w:rsidRDefault="00E25CC6" w:rsidP="00A57D24">
      <w:pPr>
        <w:pStyle w:val="Notes"/>
      </w:pPr>
      <w:r>
        <w:t xml:space="preserve">Note: </w:t>
      </w:r>
    </w:p>
    <w:p w:rsidR="00E25CC6" w:rsidRDefault="00E25CC6" w:rsidP="00A57D24">
      <w:pPr>
        <w:pStyle w:val="Notes"/>
      </w:pPr>
      <w:r>
        <w:t>(a)</w:t>
      </w:r>
      <w:r>
        <w:tab/>
        <w:t>Tables may not add due to rounding.</w:t>
      </w:r>
    </w:p>
    <w:p w:rsidR="00E25CC6" w:rsidRPr="00437CA8" w:rsidRDefault="00E25CC6" w:rsidP="00A57D24">
      <w:pPr>
        <w:pStyle w:val="Notes"/>
      </w:pPr>
    </w:p>
    <w:p w:rsidR="00E25CC6" w:rsidRPr="00785FAE" w:rsidRDefault="00E25CC6" w:rsidP="00BF1480">
      <w:pPr>
        <w:pStyle w:val="Heading4"/>
      </w:pPr>
      <w:r w:rsidRPr="00785FAE">
        <w:t>Legislative Council</w:t>
      </w:r>
    </w:p>
    <w:p w:rsidR="00E25CC6" w:rsidRPr="00785FAE" w:rsidRDefault="00E25CC6" w:rsidP="0062053D">
      <w:pPr>
        <w:pStyle w:val="Heading5"/>
      </w:pPr>
      <w:r w:rsidRPr="00785FAE">
        <w:t>Legislative Council committees</w:t>
      </w:r>
      <w:r>
        <w:fldChar w:fldCharType="begin"/>
      </w:r>
      <w:r>
        <w:instrText xml:space="preserve"> XE "</w:instrText>
      </w:r>
      <w:r w:rsidRPr="0099448A">
        <w:instrText>Parliament:Legislative Council</w:instrText>
      </w:r>
      <w:r>
        <w:instrText xml:space="preserve">" </w:instrText>
      </w:r>
      <w:r>
        <w:fldChar w:fldCharType="end"/>
      </w:r>
    </w:p>
    <w:p w:rsidR="00E25CC6" w:rsidRPr="00B829EF" w:rsidRDefault="00E25CC6" w:rsidP="003F72F0">
      <w:pPr>
        <w:keepNext/>
        <w:tabs>
          <w:tab w:val="left" w:pos="504"/>
        </w:tabs>
        <w:spacing w:before="120" w:after="60"/>
        <w:outlineLvl w:val="4"/>
      </w:pPr>
      <w:r>
        <w:t>A</w:t>
      </w:r>
      <w:r w:rsidRPr="00B829EF">
        <w:t>dditional fund</w:t>
      </w:r>
      <w:r>
        <w:t>ing will</w:t>
      </w:r>
      <w:r w:rsidRPr="00B829EF">
        <w:t xml:space="preserve"> meet </w:t>
      </w:r>
      <w:r>
        <w:t xml:space="preserve">increasing reporting requirements of </w:t>
      </w:r>
      <w:r w:rsidRPr="00B829EF">
        <w:t xml:space="preserve">Legislative Council Committees. This will ensure that the Committee system can continue to operate </w:t>
      </w:r>
      <w:r>
        <w:t xml:space="preserve">effectively </w:t>
      </w:r>
      <w:r w:rsidRPr="00B829EF">
        <w:t xml:space="preserve">and </w:t>
      </w:r>
      <w:r>
        <w:t>assist Parliament to meet its responsibilities.</w:t>
      </w:r>
    </w:p>
    <w:p w:rsidR="00E25CC6" w:rsidRPr="00566998" w:rsidRDefault="00E25CC6" w:rsidP="00566998">
      <w:r w:rsidRPr="00B829EF">
        <w:t>This initiative contributes to Parliament</w:t>
      </w:r>
      <w:r>
        <w:t>’</w:t>
      </w:r>
      <w:r w:rsidRPr="00B829EF">
        <w:t xml:space="preserve">s </w:t>
      </w:r>
      <w:r w:rsidRPr="00375D60">
        <w:t>Procedural Support, Documentation Preparation and Provision of Information for Council</w:t>
      </w:r>
      <w:r>
        <w:t xml:space="preserve"> output.</w:t>
      </w:r>
    </w:p>
    <w:p w:rsidR="00E25CC6" w:rsidRPr="00785FAE" w:rsidRDefault="00E25CC6" w:rsidP="00BF1480">
      <w:pPr>
        <w:pStyle w:val="Heading4"/>
      </w:pPr>
      <w:bookmarkStart w:id="50" w:name="Parl_ParScvces"/>
      <w:r w:rsidRPr="00785FAE">
        <w:t>Parliamentary Services</w:t>
      </w:r>
    </w:p>
    <w:p w:rsidR="00E25CC6" w:rsidRPr="00785FAE" w:rsidRDefault="00E25CC6" w:rsidP="0062053D">
      <w:pPr>
        <w:pStyle w:val="Heading5"/>
      </w:pPr>
      <w:r w:rsidRPr="00785FAE">
        <w:t xml:space="preserve">Improve </w:t>
      </w:r>
      <w:r>
        <w:t>s</w:t>
      </w:r>
      <w:r w:rsidRPr="00785FAE">
        <w:t xml:space="preserve">taff </w:t>
      </w:r>
      <w:r>
        <w:t xml:space="preserve">leave arrangements at </w:t>
      </w:r>
      <w:r w:rsidRPr="00785FAE">
        <w:t>Electorate Offices</w:t>
      </w:r>
      <w:r>
        <w:t xml:space="preserve"> </w:t>
      </w:r>
    </w:p>
    <w:p w:rsidR="00E25CC6" w:rsidRPr="00B829EF" w:rsidRDefault="00E25CC6" w:rsidP="003F72F0">
      <w:pPr>
        <w:rPr>
          <w:b/>
        </w:rPr>
      </w:pPr>
      <w:r w:rsidRPr="00B829EF">
        <w:t>Parliament will receive additional funding</w:t>
      </w:r>
      <w:r>
        <w:t xml:space="preserve"> to improve staff leave arrangements in</w:t>
      </w:r>
      <w:r w:rsidRPr="00B829EF">
        <w:t xml:space="preserve"> </w:t>
      </w:r>
      <w:r>
        <w:t>Members’ electorate offices</w:t>
      </w:r>
      <w:r w:rsidRPr="00B829EF">
        <w:t xml:space="preserve">. </w:t>
      </w:r>
    </w:p>
    <w:p w:rsidR="00E25CC6" w:rsidRPr="00B829EF" w:rsidRDefault="00E25CC6" w:rsidP="003F72F0">
      <w:pPr>
        <w:rPr>
          <w:i/>
        </w:rPr>
      </w:pPr>
      <w:r w:rsidRPr="00B829EF">
        <w:t>This initiative contributes to Parliament</w:t>
      </w:r>
      <w:r>
        <w:t>’</w:t>
      </w:r>
      <w:r w:rsidRPr="00B829EF">
        <w:t xml:space="preserve">s </w:t>
      </w:r>
      <w:r w:rsidRPr="00375D60">
        <w:t>Provision of Information and Resources to Parliament</w:t>
      </w:r>
      <w:r w:rsidRPr="00B829EF">
        <w:t xml:space="preserve"> output.</w:t>
      </w:r>
    </w:p>
    <w:p w:rsidR="00E25CC6" w:rsidRDefault="00E25CC6">
      <w:pPr>
        <w:spacing w:after="0"/>
        <w:rPr>
          <w:rFonts w:ascii="Calibri" w:hAnsi="Calibri"/>
          <w:b/>
        </w:rPr>
      </w:pPr>
      <w:r>
        <w:br w:type="page"/>
      </w:r>
    </w:p>
    <w:p w:rsidR="00E25CC6" w:rsidRPr="00785FAE" w:rsidRDefault="00E25CC6" w:rsidP="0062053D">
      <w:pPr>
        <w:pStyle w:val="Heading5"/>
        <w:rPr>
          <w:rFonts w:asciiTheme="minorHAnsi" w:hAnsiTheme="minorHAnsi"/>
        </w:rPr>
      </w:pPr>
      <w:r w:rsidRPr="00785FAE">
        <w:t xml:space="preserve">Increase in Members of Parliament </w:t>
      </w:r>
      <w:r>
        <w:t>funding to reflect</w:t>
      </w:r>
      <w:r w:rsidRPr="00785FAE">
        <w:t xml:space="preserve"> state voter count</w:t>
      </w:r>
    </w:p>
    <w:p w:rsidR="00E25CC6" w:rsidRPr="00B829EF" w:rsidRDefault="00E25CC6" w:rsidP="00553994">
      <w:r w:rsidRPr="00D74A64">
        <w:t xml:space="preserve">Parliament will receive additional funding to increase the electorate office and </w:t>
      </w:r>
      <w:r w:rsidRPr="00B829EF">
        <w:t>communication budgets for Members of Parliament as a result of an increase in the state registered voter count.</w:t>
      </w:r>
    </w:p>
    <w:p w:rsidR="00E25CC6" w:rsidRPr="00B829EF" w:rsidRDefault="00E25CC6" w:rsidP="00553994">
      <w:r w:rsidRPr="00B829EF">
        <w:t>This initiative contributes to Parliament</w:t>
      </w:r>
      <w:r>
        <w:t>’</w:t>
      </w:r>
      <w:r w:rsidRPr="00B829EF">
        <w:t xml:space="preserve">s </w:t>
      </w:r>
      <w:r w:rsidRPr="00375D60">
        <w:t>Provision of Information and Resources to Parliament</w:t>
      </w:r>
      <w:r w:rsidRPr="00B829EF">
        <w:t xml:space="preserve"> output.</w:t>
      </w:r>
    </w:p>
    <w:p w:rsidR="00E25CC6" w:rsidRPr="00785FAE" w:rsidRDefault="00E25CC6" w:rsidP="0062053D">
      <w:pPr>
        <w:pStyle w:val="Heading5"/>
      </w:pPr>
      <w:r>
        <w:t>Remediation of o</w:t>
      </w:r>
      <w:r w:rsidRPr="00785FAE">
        <w:t xml:space="preserve">ffice </w:t>
      </w:r>
      <w:r>
        <w:t>a</w:t>
      </w:r>
      <w:r w:rsidRPr="00785FAE">
        <w:t>cco</w:t>
      </w:r>
      <w:r>
        <w:t xml:space="preserve">mmodation </w:t>
      </w:r>
    </w:p>
    <w:p w:rsidR="00E25CC6" w:rsidRPr="00B829EF" w:rsidRDefault="00E25CC6" w:rsidP="003F72F0">
      <w:pPr>
        <w:rPr>
          <w:i/>
        </w:rPr>
      </w:pPr>
      <w:r w:rsidRPr="00B829EF">
        <w:t xml:space="preserve">Refer to the asset initiative for a </w:t>
      </w:r>
      <w:r>
        <w:t>description of this initiative.</w:t>
      </w:r>
      <w:bookmarkEnd w:id="50"/>
      <w:r>
        <w:fldChar w:fldCharType="begin"/>
      </w:r>
      <w:r>
        <w:instrText xml:space="preserve"> XE "</w:instrText>
      </w:r>
      <w:r w:rsidRPr="005C4EA3">
        <w:instrText xml:space="preserve">Parliament:Parliamentary </w:instrText>
      </w:r>
      <w:r>
        <w:instrText>s</w:instrText>
      </w:r>
      <w:r w:rsidRPr="005C4EA3">
        <w:instrText>ervices</w:instrText>
      </w:r>
      <w:r>
        <w:instrText xml:space="preserve">" </w:instrText>
      </w:r>
      <w:r>
        <w:fldChar w:fldCharType="end"/>
      </w:r>
    </w:p>
    <w:p w:rsidR="00E25CC6" w:rsidRPr="00785FAE" w:rsidRDefault="00E25CC6" w:rsidP="00BF1480">
      <w:pPr>
        <w:pStyle w:val="Heading4"/>
      </w:pPr>
      <w:r w:rsidRPr="00785FAE">
        <w:t>Parliamentary Budget Office</w:t>
      </w:r>
    </w:p>
    <w:p w:rsidR="00E25CC6" w:rsidRPr="00785FAE" w:rsidRDefault="00E25CC6" w:rsidP="0062053D">
      <w:pPr>
        <w:pStyle w:val="Heading5"/>
      </w:pPr>
      <w:r w:rsidRPr="00785FAE">
        <w:t>Parliamentary Budget Office</w:t>
      </w:r>
      <w:r>
        <w:fldChar w:fldCharType="begin"/>
      </w:r>
      <w:r>
        <w:instrText xml:space="preserve"> XE "</w:instrText>
      </w:r>
      <w:r w:rsidRPr="00FD3895">
        <w:instrText>Parliament:Parliamentary Budget Office</w:instrText>
      </w:r>
      <w:r>
        <w:instrText xml:space="preserve">" </w:instrText>
      </w:r>
      <w:r>
        <w:fldChar w:fldCharType="end"/>
      </w:r>
    </w:p>
    <w:p w:rsidR="00E25CC6" w:rsidRPr="00B829EF" w:rsidRDefault="00E25CC6" w:rsidP="00553994">
      <w:r w:rsidRPr="00B829EF">
        <w:t>The Parliamentary Budget Office will be established as a permanent standing body to prepare policy costings and provide financial advice to Members of Parliament. These functions will be accessible to all parties and individual members throughout the full term of the Parliament.</w:t>
      </w:r>
      <w:r>
        <w:t xml:space="preserve"> </w:t>
      </w:r>
      <w:r>
        <w:fldChar w:fldCharType="begin"/>
      </w:r>
      <w:r>
        <w:instrText xml:space="preserve"> XE "</w:instrText>
      </w:r>
      <w:r w:rsidRPr="006D6624">
        <w:instrText xml:space="preserve">Parliament:Parliamentary </w:instrText>
      </w:r>
      <w:r>
        <w:instrText>i</w:instrText>
      </w:r>
      <w:r w:rsidRPr="006D6624">
        <w:instrText xml:space="preserve">nvestigatory </w:instrText>
      </w:r>
      <w:r>
        <w:instrText>c</w:instrText>
      </w:r>
      <w:r w:rsidRPr="006D6624">
        <w:instrText>ommittees</w:instrText>
      </w:r>
      <w:r>
        <w:instrText xml:space="preserve">" </w:instrText>
      </w:r>
      <w:r>
        <w:fldChar w:fldCharType="end"/>
      </w:r>
    </w:p>
    <w:p w:rsidR="00E25CC6" w:rsidRPr="00B829EF" w:rsidRDefault="00E25CC6" w:rsidP="00553994">
      <w:r w:rsidRPr="00B829EF">
        <w:t>This initiative delivers on the Government</w:t>
      </w:r>
      <w:r>
        <w:t>’</w:t>
      </w:r>
      <w:r w:rsidRPr="00B829EF">
        <w:t xml:space="preserve">s election commitment as published in </w:t>
      </w:r>
      <w:r w:rsidRPr="00553994">
        <w:t>Labor</w:t>
      </w:r>
      <w:r>
        <w:t>’</w:t>
      </w:r>
      <w:r w:rsidRPr="00553994">
        <w:t>s Financial Statement 2014</w:t>
      </w:r>
      <w:r>
        <w:t>.</w:t>
      </w:r>
    </w:p>
    <w:p w:rsidR="00E25CC6" w:rsidRDefault="00E25CC6" w:rsidP="00553994">
      <w:pPr>
        <w:rPr>
          <w:rFonts w:eastAsiaTheme="minorHAnsi" w:cs="Arial"/>
          <w:color w:val="000000"/>
          <w:szCs w:val="22"/>
        </w:rPr>
      </w:pPr>
      <w:r w:rsidRPr="00B829EF">
        <w:t>This initiative contributes to the Parliament</w:t>
      </w:r>
      <w:r>
        <w:t>’</w:t>
      </w:r>
      <w:r w:rsidRPr="00B829EF">
        <w:t>s Parliamentary Budget Office output</w:t>
      </w:r>
      <w:r w:rsidRPr="00B829EF">
        <w:rPr>
          <w:rFonts w:eastAsiaTheme="minorHAnsi" w:cs="Arial"/>
          <w:color w:val="000000"/>
          <w:szCs w:val="22"/>
        </w:rPr>
        <w:t>.</w:t>
      </w:r>
    </w:p>
    <w:p w:rsidR="00E25CC6" w:rsidRPr="00375D60" w:rsidRDefault="00E25CC6" w:rsidP="00BF1480">
      <w:pPr>
        <w:pStyle w:val="Heading4"/>
      </w:pPr>
      <w:r w:rsidRPr="00375D60">
        <w:t>Parliamentary Investigatory Committees</w:t>
      </w:r>
    </w:p>
    <w:p w:rsidR="00E25CC6" w:rsidRPr="0062053D" w:rsidRDefault="00E25CC6" w:rsidP="0062053D">
      <w:pPr>
        <w:pStyle w:val="Heading5"/>
      </w:pPr>
      <w:r w:rsidRPr="0062053D">
        <w:t>Performance Audit of Victorian Auditor</w:t>
      </w:r>
      <w:r>
        <w:noBreakHyphen/>
      </w:r>
      <w:r w:rsidRPr="0062053D">
        <w:t>General</w:t>
      </w:r>
      <w:r>
        <w:t>’</w:t>
      </w:r>
      <w:r w:rsidRPr="0062053D">
        <w:t>s Office</w:t>
      </w:r>
    </w:p>
    <w:p w:rsidR="00E25CC6" w:rsidRPr="00B829EF" w:rsidRDefault="00E25CC6" w:rsidP="00553994">
      <w:r w:rsidRPr="00B829EF">
        <w:t>Parliament will receive funding to undertake an independent performance audit of the Victorian</w:t>
      </w:r>
      <w:r>
        <w:noBreakHyphen/>
      </w:r>
      <w:r w:rsidRPr="00B829EF">
        <w:t>Auditor General</w:t>
      </w:r>
      <w:r>
        <w:t>’</w:t>
      </w:r>
      <w:r w:rsidRPr="00B829EF">
        <w:t>s Office in compliance with the requirements under section</w:t>
      </w:r>
      <w:r>
        <w:t> </w:t>
      </w:r>
      <w:r w:rsidRPr="00B829EF">
        <w:t xml:space="preserve">19 of the </w:t>
      </w:r>
      <w:r w:rsidRPr="00B7540B">
        <w:rPr>
          <w:i/>
        </w:rPr>
        <w:t>Audit Act 1994</w:t>
      </w:r>
      <w:r w:rsidRPr="00B829EF">
        <w:t>.</w:t>
      </w:r>
    </w:p>
    <w:p w:rsidR="00E25CC6" w:rsidRDefault="00E25CC6" w:rsidP="00553994">
      <w:pPr>
        <w:rPr>
          <w:rFonts w:eastAsiaTheme="minorHAnsi" w:cs="Arial"/>
          <w:color w:val="000000"/>
          <w:szCs w:val="22"/>
        </w:rPr>
      </w:pPr>
      <w:r w:rsidRPr="00B829EF">
        <w:t>This initiative contributes to Parliament</w:t>
      </w:r>
      <w:r>
        <w:t>’</w:t>
      </w:r>
      <w:r w:rsidRPr="00B829EF">
        <w:t xml:space="preserve">s </w:t>
      </w:r>
      <w:r w:rsidRPr="00375D60">
        <w:t>Reports tabled and papers published</w:t>
      </w:r>
      <w:r w:rsidRPr="00B829EF">
        <w:t xml:space="preserve"> output.</w:t>
      </w:r>
    </w:p>
    <w:p w:rsidR="00E25CC6" w:rsidRDefault="00E25CC6">
      <w:pPr>
        <w:spacing w:after="0"/>
        <w:rPr>
          <w:rFonts w:ascii="Calibri" w:hAnsi="Calibri"/>
          <w:b/>
          <w:i/>
          <w:kern w:val="28"/>
          <w:sz w:val="24"/>
          <w:szCs w:val="22"/>
        </w:rPr>
      </w:pPr>
      <w:r>
        <w:br w:type="page"/>
      </w:r>
    </w:p>
    <w:p w:rsidR="00E25CC6" w:rsidRDefault="00E25CC6" w:rsidP="00BF1480">
      <w:pPr>
        <w:pStyle w:val="Heading3"/>
      </w:pPr>
      <w:r w:rsidRPr="0017515F">
        <w:t>A</w:t>
      </w:r>
      <w:r>
        <w:t>sset initiatives</w:t>
      </w:r>
    </w:p>
    <w:p w:rsidR="00E25CC6" w:rsidRDefault="00E25CC6" w:rsidP="003B15A1">
      <w:pPr>
        <w:pStyle w:val="Tableheading"/>
      </w:pPr>
      <w:r>
        <w:t>Table 1.27:</w:t>
      </w:r>
      <w:r>
        <w:tab/>
        <w:t xml:space="preserve">Asset initiatives – Parliament </w:t>
      </w:r>
    </w:p>
    <w:p w:rsidR="00E25CC6" w:rsidRPr="00046AA9" w:rsidRDefault="00E25CC6" w:rsidP="00046AA9">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558"/>
        <w:gridCol w:w="869"/>
        <w:gridCol w:w="870"/>
        <w:gridCol w:w="870"/>
        <w:gridCol w:w="869"/>
        <w:gridCol w:w="870"/>
        <w:gridCol w:w="870"/>
      </w:tblGrid>
      <w:tr w:rsidR="00E25CC6" w:rsidRPr="00046AA9" w:rsidTr="00046AA9">
        <w:trPr>
          <w:tblHeader/>
        </w:trPr>
        <w:tc>
          <w:tcPr>
            <w:tcW w:w="2558" w:type="dxa"/>
            <w:tcBorders>
              <w:bottom w:val="single" w:sz="4" w:space="0" w:color="auto"/>
              <w:right w:val="nil"/>
            </w:tcBorders>
            <w:shd w:val="clear" w:color="auto" w:fill="000000"/>
            <w:vAlign w:val="bottom"/>
          </w:tcPr>
          <w:p w:rsidR="00E25CC6" w:rsidRPr="00046AA9" w:rsidRDefault="00E25CC6" w:rsidP="00046AA9">
            <w:pPr>
              <w:pStyle w:val="Tabletext"/>
              <w:rPr>
                <w:rFonts w:eastAsiaTheme="minorEastAsia"/>
                <w:color w:val="FFFFFF"/>
                <w:lang w:eastAsia="en-AU"/>
              </w:rPr>
            </w:pPr>
            <w:r w:rsidRPr="00046AA9">
              <w:rPr>
                <w:rFonts w:eastAsiaTheme="minorEastAsia"/>
                <w:color w:val="FFFFFF"/>
                <w:lang w:eastAsia="en-AU"/>
              </w:rPr>
              <w:t xml:space="preserve"> </w:t>
            </w:r>
          </w:p>
        </w:tc>
        <w:tc>
          <w:tcPr>
            <w:tcW w:w="869"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2015</w:t>
            </w:r>
            <w:r>
              <w:rPr>
                <w:rFonts w:eastAsiaTheme="minorEastAsia"/>
                <w:color w:val="FFFFFF"/>
                <w:sz w:val="19"/>
                <w:lang w:eastAsia="en-AU"/>
              </w:rPr>
              <w:noBreakHyphen/>
            </w:r>
            <w:r w:rsidRPr="00046AA9">
              <w:rPr>
                <w:rFonts w:eastAsiaTheme="minorEastAsia"/>
                <w:color w:val="FFFFFF"/>
                <w:sz w:val="19"/>
                <w:lang w:eastAsia="en-AU"/>
              </w:rPr>
              <w:t>16</w:t>
            </w:r>
          </w:p>
        </w:tc>
        <w:tc>
          <w:tcPr>
            <w:tcW w:w="87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2016</w:t>
            </w:r>
            <w:r>
              <w:rPr>
                <w:rFonts w:eastAsiaTheme="minorEastAsia"/>
                <w:color w:val="FFFFFF"/>
                <w:sz w:val="19"/>
                <w:lang w:eastAsia="en-AU"/>
              </w:rPr>
              <w:noBreakHyphen/>
            </w:r>
            <w:r w:rsidRPr="00046AA9">
              <w:rPr>
                <w:rFonts w:eastAsiaTheme="minorEastAsia"/>
                <w:color w:val="FFFFFF"/>
                <w:sz w:val="19"/>
                <w:lang w:eastAsia="en-AU"/>
              </w:rPr>
              <w:t>17</w:t>
            </w:r>
          </w:p>
        </w:tc>
        <w:tc>
          <w:tcPr>
            <w:tcW w:w="87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2017</w:t>
            </w:r>
            <w:r>
              <w:rPr>
                <w:rFonts w:eastAsiaTheme="minorEastAsia"/>
                <w:color w:val="FFFFFF"/>
                <w:sz w:val="19"/>
                <w:lang w:eastAsia="en-AU"/>
              </w:rPr>
              <w:noBreakHyphen/>
            </w:r>
            <w:r w:rsidRPr="00046AA9">
              <w:rPr>
                <w:rFonts w:eastAsiaTheme="minorEastAsia"/>
                <w:color w:val="FFFFFF"/>
                <w:sz w:val="19"/>
                <w:lang w:eastAsia="en-AU"/>
              </w:rPr>
              <w:t>18</w:t>
            </w:r>
          </w:p>
        </w:tc>
        <w:tc>
          <w:tcPr>
            <w:tcW w:w="869"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2018</w:t>
            </w:r>
            <w:r>
              <w:rPr>
                <w:rFonts w:eastAsiaTheme="minorEastAsia"/>
                <w:color w:val="FFFFFF"/>
                <w:sz w:val="19"/>
                <w:lang w:eastAsia="en-AU"/>
              </w:rPr>
              <w:noBreakHyphen/>
            </w:r>
            <w:r w:rsidRPr="00046AA9">
              <w:rPr>
                <w:rFonts w:eastAsiaTheme="minorEastAsia"/>
                <w:color w:val="FFFFFF"/>
                <w:sz w:val="19"/>
                <w:lang w:eastAsia="en-AU"/>
              </w:rPr>
              <w:t>19</w:t>
            </w:r>
          </w:p>
        </w:tc>
        <w:tc>
          <w:tcPr>
            <w:tcW w:w="870"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2019</w:t>
            </w:r>
            <w:r>
              <w:rPr>
                <w:rFonts w:eastAsiaTheme="minorEastAsia"/>
                <w:color w:val="FFFFFF"/>
                <w:sz w:val="19"/>
                <w:lang w:eastAsia="en-AU"/>
              </w:rPr>
              <w:noBreakHyphen/>
            </w:r>
            <w:r w:rsidRPr="00046AA9">
              <w:rPr>
                <w:rFonts w:eastAsiaTheme="minorEastAsia"/>
                <w:color w:val="FFFFFF"/>
                <w:sz w:val="19"/>
                <w:lang w:eastAsia="en-AU"/>
              </w:rPr>
              <w:t>20</w:t>
            </w:r>
          </w:p>
        </w:tc>
        <w:tc>
          <w:tcPr>
            <w:tcW w:w="870" w:type="dxa"/>
            <w:tcBorders>
              <w:left w:val="nil"/>
              <w:bottom w:val="single" w:sz="4" w:space="0" w:color="auto"/>
            </w:tcBorders>
            <w:shd w:val="clear" w:color="auto" w:fill="000000"/>
            <w:vAlign w:val="bottom"/>
          </w:tcPr>
          <w:p w:rsidR="00E25CC6" w:rsidRPr="00046AA9" w:rsidRDefault="00E25CC6" w:rsidP="00046AA9">
            <w:pPr>
              <w:pStyle w:val="Tabletextheading"/>
              <w:rPr>
                <w:rFonts w:eastAsiaTheme="minorEastAsia" w:cs="Calibri"/>
                <w:iCs/>
                <w:color w:val="FFFFFF"/>
                <w:sz w:val="19"/>
                <w:szCs w:val="19"/>
                <w:lang w:eastAsia="en-AU"/>
              </w:rPr>
            </w:pPr>
            <w:r w:rsidRPr="00046AA9">
              <w:rPr>
                <w:rFonts w:eastAsiaTheme="minorEastAsia" w:cs="Calibri"/>
                <w:iCs/>
                <w:color w:val="FFFFFF"/>
                <w:sz w:val="19"/>
                <w:szCs w:val="19"/>
                <w:lang w:eastAsia="en-AU"/>
              </w:rPr>
              <w:t>TEI</w:t>
            </w:r>
          </w:p>
        </w:tc>
      </w:tr>
      <w:tr w:rsidR="00E25CC6" w:rsidRPr="00046AA9" w:rsidTr="00046AA9">
        <w:tc>
          <w:tcPr>
            <w:tcW w:w="2558" w:type="dxa"/>
            <w:tcBorders>
              <w:top w:val="single" w:sz="4" w:space="0" w:color="auto"/>
              <w:left w:val="nil"/>
              <w:bottom w:val="nil"/>
              <w:right w:val="nil"/>
            </w:tcBorders>
            <w:shd w:val="solid" w:color="FFFFFF" w:fill="auto"/>
          </w:tcPr>
          <w:p w:rsidR="00E25CC6" w:rsidRPr="00046AA9" w:rsidRDefault="00E25CC6" w:rsidP="00046AA9">
            <w:pPr>
              <w:pStyle w:val="Tabletext"/>
              <w:rPr>
                <w:rFonts w:eastAsiaTheme="minorEastAsia"/>
                <w:b/>
                <w:bCs/>
                <w:color w:val="000000"/>
                <w:lang w:eastAsia="en-AU"/>
              </w:rPr>
            </w:pPr>
            <w:r w:rsidRPr="00046AA9">
              <w:rPr>
                <w:rFonts w:eastAsiaTheme="minorEastAsia"/>
                <w:b/>
                <w:bCs/>
                <w:color w:val="000000"/>
                <w:lang w:eastAsia="en-AU"/>
              </w:rPr>
              <w:t>Parliamentary Services</w:t>
            </w:r>
          </w:p>
        </w:tc>
        <w:tc>
          <w:tcPr>
            <w:tcW w:w="869" w:type="dxa"/>
            <w:tcBorders>
              <w:top w:val="single" w:sz="4" w:space="0" w:color="auto"/>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70" w:type="dxa"/>
            <w:tcBorders>
              <w:top w:val="single" w:sz="4" w:space="0" w:color="auto"/>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70" w:type="dxa"/>
            <w:tcBorders>
              <w:top w:val="single" w:sz="4" w:space="0" w:color="auto"/>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69" w:type="dxa"/>
            <w:tcBorders>
              <w:top w:val="single" w:sz="4" w:space="0" w:color="auto"/>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70" w:type="dxa"/>
            <w:tcBorders>
              <w:top w:val="single" w:sz="4" w:space="0" w:color="auto"/>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 xml:space="preserve"> </w:t>
            </w:r>
          </w:p>
        </w:tc>
        <w:tc>
          <w:tcPr>
            <w:tcW w:w="870" w:type="dxa"/>
            <w:tcBorders>
              <w:top w:val="single" w:sz="4" w:space="0" w:color="auto"/>
              <w:left w:val="nil"/>
              <w:bottom w:val="nil"/>
              <w:right w:val="nil"/>
            </w:tcBorders>
          </w:tcPr>
          <w:p w:rsidR="00E25CC6" w:rsidRPr="00046AA9" w:rsidRDefault="00E25CC6" w:rsidP="00046AA9">
            <w:pPr>
              <w:autoSpaceDE w:val="0"/>
              <w:autoSpaceDN w:val="0"/>
              <w:adjustRightInd w:val="0"/>
              <w:spacing w:after="0"/>
              <w:rPr>
                <w:rFonts w:ascii="Calibri" w:eastAsiaTheme="minorEastAsia" w:hAnsi="Calibri" w:cs="Calibri"/>
                <w:color w:val="FFFFFF"/>
                <w:sz w:val="19"/>
                <w:szCs w:val="19"/>
                <w:lang w:eastAsia="en-AU"/>
              </w:rPr>
            </w:pPr>
            <w:r w:rsidRPr="00046AA9">
              <w:rPr>
                <w:rFonts w:ascii="Calibri" w:eastAsiaTheme="minorEastAsia" w:hAnsi="Calibri" w:cs="Calibri"/>
                <w:color w:val="FFFFFF"/>
                <w:sz w:val="19"/>
                <w:szCs w:val="19"/>
                <w:lang w:eastAsia="en-AU"/>
              </w:rPr>
              <w:t xml:space="preserve"> </w:t>
            </w:r>
          </w:p>
        </w:tc>
      </w:tr>
      <w:tr w:rsidR="00E25CC6" w:rsidRPr="00046AA9" w:rsidTr="00046AA9">
        <w:tc>
          <w:tcPr>
            <w:tcW w:w="2558" w:type="dxa"/>
            <w:tcBorders>
              <w:top w:val="nil"/>
              <w:left w:val="nil"/>
              <w:bottom w:val="nil"/>
              <w:right w:val="nil"/>
            </w:tcBorders>
            <w:shd w:val="solid" w:color="FFFFFF" w:fill="auto"/>
          </w:tcPr>
          <w:p w:rsidR="00E25CC6" w:rsidRPr="00046AA9" w:rsidRDefault="00E25CC6" w:rsidP="00046AA9">
            <w:pPr>
              <w:pStyle w:val="Tabletext"/>
              <w:rPr>
                <w:rFonts w:eastAsiaTheme="minorEastAsia"/>
                <w:color w:val="000000"/>
                <w:lang w:eastAsia="en-AU"/>
              </w:rPr>
            </w:pPr>
            <w:r w:rsidRPr="00046AA9">
              <w:rPr>
                <w:rFonts w:eastAsiaTheme="minorEastAsia"/>
                <w:color w:val="000000"/>
                <w:lang w:eastAsia="en-AU"/>
              </w:rPr>
              <w:t>Remediation of office accommodation</w:t>
            </w:r>
          </w:p>
        </w:tc>
        <w:tc>
          <w:tcPr>
            <w:tcW w:w="869" w:type="dxa"/>
            <w:tcBorders>
              <w:top w:val="nil"/>
              <w:left w:val="nil"/>
              <w:bottom w:val="nil"/>
              <w:right w:val="nil"/>
            </w:tcBorders>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w:t>
            </w:r>
          </w:p>
        </w:tc>
        <w:tc>
          <w:tcPr>
            <w:tcW w:w="870" w:type="dxa"/>
            <w:tcBorders>
              <w:top w:val="nil"/>
              <w:left w:val="nil"/>
              <w:bottom w:val="nil"/>
              <w:right w:val="nil"/>
            </w:tcBorders>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28.7</w:t>
            </w:r>
          </w:p>
        </w:tc>
        <w:tc>
          <w:tcPr>
            <w:tcW w:w="870" w:type="dxa"/>
            <w:tcBorders>
              <w:top w:val="nil"/>
              <w:left w:val="nil"/>
              <w:bottom w:val="nil"/>
              <w:right w:val="nil"/>
            </w:tcBorders>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16.8</w:t>
            </w:r>
          </w:p>
        </w:tc>
        <w:tc>
          <w:tcPr>
            <w:tcW w:w="869" w:type="dxa"/>
            <w:tcBorders>
              <w:top w:val="nil"/>
              <w:left w:val="nil"/>
              <w:bottom w:val="nil"/>
              <w:right w:val="nil"/>
            </w:tcBorders>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w:t>
            </w:r>
          </w:p>
        </w:tc>
        <w:tc>
          <w:tcPr>
            <w:tcW w:w="870" w:type="dxa"/>
            <w:tcBorders>
              <w:top w:val="nil"/>
              <w:left w:val="nil"/>
              <w:bottom w:val="nil"/>
              <w:right w:val="nil"/>
            </w:tcBorders>
          </w:tcPr>
          <w:p w:rsidR="00E25CC6" w:rsidRPr="00046AA9" w:rsidRDefault="00E25CC6" w:rsidP="00046AA9">
            <w:pPr>
              <w:pStyle w:val="TableofFigures"/>
              <w:rPr>
                <w:rFonts w:eastAsiaTheme="minorEastAsia"/>
                <w:color w:val="000000"/>
                <w:sz w:val="19"/>
                <w:lang w:eastAsia="en-AU"/>
              </w:rPr>
            </w:pPr>
            <w:r w:rsidRPr="00046AA9">
              <w:rPr>
                <w:rFonts w:eastAsiaTheme="minorEastAsia"/>
                <w:color w:val="000000"/>
                <w:sz w:val="19"/>
                <w:lang w:eastAsia="en-AU"/>
              </w:rPr>
              <w:t>..</w:t>
            </w:r>
          </w:p>
        </w:tc>
        <w:tc>
          <w:tcPr>
            <w:tcW w:w="870" w:type="dxa"/>
            <w:tcBorders>
              <w:top w:val="nil"/>
              <w:left w:val="nil"/>
              <w:bottom w:val="nil"/>
              <w:right w:val="nil"/>
            </w:tcBorders>
          </w:tcPr>
          <w:p w:rsidR="00E25CC6" w:rsidRPr="00046AA9" w:rsidRDefault="00E25CC6" w:rsidP="00046AA9">
            <w:pPr>
              <w:autoSpaceDE w:val="0"/>
              <w:autoSpaceDN w:val="0"/>
              <w:adjustRightInd w:val="0"/>
              <w:spacing w:after="0"/>
              <w:jc w:val="right"/>
              <w:rPr>
                <w:rFonts w:ascii="Calibri" w:eastAsiaTheme="minorEastAsia" w:hAnsi="Calibri" w:cs="Calibri"/>
                <w:color w:val="000000"/>
                <w:sz w:val="19"/>
                <w:szCs w:val="19"/>
                <w:lang w:eastAsia="en-AU"/>
              </w:rPr>
            </w:pPr>
            <w:r w:rsidRPr="00046AA9">
              <w:rPr>
                <w:rFonts w:ascii="Calibri" w:eastAsiaTheme="minorEastAsia" w:hAnsi="Calibri" w:cs="Calibri"/>
                <w:color w:val="000000"/>
                <w:sz w:val="19"/>
                <w:szCs w:val="19"/>
                <w:lang w:eastAsia="en-AU"/>
              </w:rPr>
              <w:t>45.5</w:t>
            </w:r>
          </w:p>
        </w:tc>
      </w:tr>
      <w:tr w:rsidR="00E25CC6" w:rsidRPr="00046AA9" w:rsidTr="00046AA9">
        <w:tc>
          <w:tcPr>
            <w:tcW w:w="2558"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text"/>
              <w:rPr>
                <w:rFonts w:eastAsiaTheme="minorEastAsia"/>
                <w:b/>
                <w:bCs/>
                <w:color w:val="000000"/>
                <w:vertAlign w:val="superscript"/>
                <w:lang w:eastAsia="en-AU"/>
              </w:rPr>
            </w:pPr>
            <w:r w:rsidRPr="00046AA9">
              <w:rPr>
                <w:rFonts w:eastAsiaTheme="minorEastAsia"/>
                <w:b/>
                <w:bCs/>
                <w:color w:val="000000"/>
                <w:lang w:eastAsia="en-AU"/>
              </w:rPr>
              <w:t xml:space="preserve">Total asset initiatives </w:t>
            </w:r>
            <w:r w:rsidRPr="00046AA9">
              <w:rPr>
                <w:rFonts w:eastAsiaTheme="minorEastAsia"/>
                <w:b/>
                <w:bCs/>
                <w:color w:val="000000"/>
                <w:vertAlign w:val="superscript"/>
                <w:lang w:eastAsia="en-AU"/>
              </w:rPr>
              <w:t>(a)</w:t>
            </w:r>
          </w:p>
        </w:tc>
        <w:tc>
          <w:tcPr>
            <w:tcW w:w="869"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w:t>
            </w:r>
          </w:p>
        </w:tc>
        <w:tc>
          <w:tcPr>
            <w:tcW w:w="870"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28.7</w:t>
            </w:r>
          </w:p>
        </w:tc>
        <w:tc>
          <w:tcPr>
            <w:tcW w:w="870"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16.8</w:t>
            </w:r>
          </w:p>
        </w:tc>
        <w:tc>
          <w:tcPr>
            <w:tcW w:w="869"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w:t>
            </w:r>
          </w:p>
        </w:tc>
        <w:tc>
          <w:tcPr>
            <w:tcW w:w="870"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color w:val="000000"/>
                <w:sz w:val="19"/>
                <w:lang w:eastAsia="en-AU"/>
              </w:rPr>
            </w:pPr>
            <w:r w:rsidRPr="00046AA9">
              <w:rPr>
                <w:rFonts w:eastAsiaTheme="minorEastAsia"/>
                <w:b/>
                <w:bCs/>
                <w:color w:val="000000"/>
                <w:sz w:val="19"/>
                <w:lang w:eastAsia="en-AU"/>
              </w:rPr>
              <w:t>..</w:t>
            </w:r>
          </w:p>
        </w:tc>
        <w:tc>
          <w:tcPr>
            <w:tcW w:w="870" w:type="dxa"/>
            <w:tcBorders>
              <w:top w:val="single" w:sz="6" w:space="0" w:color="auto"/>
              <w:left w:val="nil"/>
              <w:bottom w:val="single" w:sz="12" w:space="0" w:color="auto"/>
              <w:right w:val="nil"/>
            </w:tcBorders>
            <w:shd w:val="solid" w:color="FFFFFF" w:fill="auto"/>
          </w:tcPr>
          <w:p w:rsidR="00E25CC6" w:rsidRPr="00046AA9" w:rsidRDefault="00E25CC6" w:rsidP="00046AA9">
            <w:pPr>
              <w:autoSpaceDE w:val="0"/>
              <w:autoSpaceDN w:val="0"/>
              <w:adjustRightInd w:val="0"/>
              <w:spacing w:after="0"/>
              <w:jc w:val="right"/>
              <w:rPr>
                <w:rFonts w:ascii="Calibri" w:eastAsiaTheme="minorEastAsia" w:hAnsi="Calibri" w:cs="Calibri"/>
                <w:b/>
                <w:bCs/>
                <w:color w:val="000000"/>
                <w:sz w:val="19"/>
                <w:szCs w:val="19"/>
                <w:lang w:eastAsia="en-AU"/>
              </w:rPr>
            </w:pPr>
            <w:r w:rsidRPr="00046AA9">
              <w:rPr>
                <w:rFonts w:ascii="Calibri" w:eastAsiaTheme="minorEastAsia" w:hAnsi="Calibri" w:cs="Calibri"/>
                <w:b/>
                <w:bCs/>
                <w:color w:val="000000"/>
                <w:sz w:val="19"/>
                <w:szCs w:val="19"/>
                <w:lang w:eastAsia="en-AU"/>
              </w:rPr>
              <w:t>45.5</w:t>
            </w:r>
          </w:p>
        </w:tc>
      </w:tr>
    </w:tbl>
    <w:p w:rsidR="00E25CC6" w:rsidRDefault="00E25CC6" w:rsidP="00566998">
      <w:pPr>
        <w:pStyle w:val="Source"/>
      </w:pPr>
      <w:r>
        <w:t xml:space="preserve">Source: Department of Treasury and Finance </w:t>
      </w:r>
      <w:r>
        <w:fldChar w:fldCharType="begin"/>
      </w:r>
      <w:r>
        <w:instrText xml:space="preserve"> XE "</w:instrText>
      </w:r>
      <w:r w:rsidRPr="009832F5">
        <w:instrText>Parliament:Asset initiatives</w:instrText>
      </w:r>
      <w:r>
        <w:instrText xml:space="preserve">" </w:instrText>
      </w:r>
      <w:r>
        <w:fldChar w:fldCharType="end"/>
      </w:r>
    </w:p>
    <w:p w:rsidR="00E25CC6" w:rsidRDefault="00E25CC6" w:rsidP="00566998">
      <w:pPr>
        <w:pStyle w:val="Notes"/>
      </w:pPr>
      <w:r>
        <w:t xml:space="preserve">Note: </w:t>
      </w:r>
    </w:p>
    <w:p w:rsidR="00E25CC6" w:rsidRPr="00CD63A7" w:rsidRDefault="00E25CC6" w:rsidP="00566998">
      <w:pPr>
        <w:pStyle w:val="Notes"/>
      </w:pPr>
      <w:r>
        <w:t>(a)</w:t>
      </w:r>
      <w:r>
        <w:tab/>
        <w:t>Tables may not add due to rounding.</w:t>
      </w:r>
    </w:p>
    <w:p w:rsidR="00E25CC6" w:rsidRDefault="00E25CC6" w:rsidP="003F5519">
      <w:pPr>
        <w:pStyle w:val="Source"/>
      </w:pPr>
    </w:p>
    <w:p w:rsidR="00E25CC6" w:rsidRPr="00785FAE" w:rsidRDefault="00E25CC6" w:rsidP="00BF1480">
      <w:pPr>
        <w:pStyle w:val="Heading4"/>
      </w:pPr>
      <w:r w:rsidRPr="00785FAE">
        <w:t>Parliamentary Services</w:t>
      </w:r>
    </w:p>
    <w:p w:rsidR="00E25CC6" w:rsidRPr="0017515F" w:rsidRDefault="00E25CC6" w:rsidP="0062053D">
      <w:pPr>
        <w:pStyle w:val="Heading5"/>
      </w:pPr>
      <w:r w:rsidRPr="0017515F">
        <w:rPr>
          <w:lang w:eastAsia="en-AU"/>
        </w:rPr>
        <w:t xml:space="preserve">Remediation </w:t>
      </w:r>
      <w:r>
        <w:rPr>
          <w:lang w:eastAsia="en-AU"/>
        </w:rPr>
        <w:t>of office</w:t>
      </w:r>
      <w:r w:rsidRPr="0017515F">
        <w:rPr>
          <w:lang w:eastAsia="en-AU"/>
        </w:rPr>
        <w:t xml:space="preserve"> accommodation </w:t>
      </w:r>
    </w:p>
    <w:p w:rsidR="00E25CC6" w:rsidRPr="0017515F" w:rsidRDefault="00E25CC6" w:rsidP="00553994">
      <w:r w:rsidRPr="0017515F">
        <w:t>A new office accommodation building will be constructed behind Parliament House for Members of Parliament and support staff. This will replace the existing outdated timber pre</w:t>
      </w:r>
      <w:r>
        <w:noBreakHyphen/>
      </w:r>
      <w:r w:rsidRPr="0017515F">
        <w:t>fabricated office complex which faces functionality and workplace health and safety issues</w:t>
      </w:r>
      <w:r w:rsidRPr="0017515F">
        <w:rPr>
          <w:rFonts w:ascii="Calibri" w:eastAsiaTheme="minorHAnsi" w:hAnsi="Calibri" w:cs="Calibri"/>
          <w:sz w:val="20"/>
        </w:rPr>
        <w:t>.</w:t>
      </w:r>
    </w:p>
    <w:p w:rsidR="00E25CC6" w:rsidRDefault="00E25CC6" w:rsidP="00553994">
      <w:r w:rsidRPr="0017515F">
        <w:t>This initiative contributes to Parliament</w:t>
      </w:r>
      <w:r>
        <w:t>’</w:t>
      </w:r>
      <w:r w:rsidRPr="0017515F">
        <w:t xml:space="preserve">s </w:t>
      </w:r>
      <w:r w:rsidRPr="00375D60">
        <w:t>Provision of Information and Resources to Parliament</w:t>
      </w:r>
      <w:r w:rsidRPr="0017515F">
        <w:t xml:space="preserve"> Output.</w:t>
      </w:r>
      <w:r>
        <w:t xml:space="preserve"> </w:t>
      </w:r>
    </w:p>
    <w:p w:rsidR="00E25CC6" w:rsidRDefault="00E25CC6" w:rsidP="00566998"/>
    <w:p w:rsidR="00E25CC6" w:rsidRDefault="00E25CC6" w:rsidP="00566998">
      <w:pPr>
        <w:rPr>
          <w:rFonts w:ascii="Calibri" w:hAnsi="Calibri"/>
          <w:b/>
          <w:caps/>
          <w:sz w:val="26"/>
          <w:szCs w:val="22"/>
        </w:rPr>
      </w:pPr>
      <w:r>
        <w:t xml:space="preserve"> </w:t>
      </w:r>
      <w:r>
        <w:br w:type="page"/>
      </w:r>
    </w:p>
    <w:p w:rsidR="00E25CC6" w:rsidRPr="00F16216" w:rsidRDefault="00E25CC6" w:rsidP="00FA2145">
      <w:pPr>
        <w:pStyle w:val="Heading1"/>
      </w:pPr>
      <w:bookmarkStart w:id="51" w:name="_Toc449109434"/>
      <w:r w:rsidRPr="00F16216">
        <w:t>Courts</w:t>
      </w:r>
      <w:bookmarkEnd w:id="51"/>
    </w:p>
    <w:p w:rsidR="00E25CC6" w:rsidRDefault="00E25CC6" w:rsidP="00BF1480">
      <w:pPr>
        <w:pStyle w:val="Heading3"/>
      </w:pPr>
      <w:r>
        <w:t>Output i</w:t>
      </w:r>
      <w:r w:rsidRPr="008704FC">
        <w:t xml:space="preserve">nitiatives </w:t>
      </w:r>
    </w:p>
    <w:p w:rsidR="00E25CC6" w:rsidRDefault="00E25CC6" w:rsidP="00C63E94">
      <w:pPr>
        <w:pStyle w:val="Tableheading"/>
      </w:pPr>
      <w:r>
        <w:t>Table 1.28:</w:t>
      </w:r>
      <w:r>
        <w:tab/>
        <w:t>Output initiatives – Courts</w:t>
      </w:r>
    </w:p>
    <w:p w:rsidR="00E25CC6" w:rsidRDefault="00E25CC6" w:rsidP="009B036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578"/>
        <w:gridCol w:w="839"/>
        <w:gridCol w:w="840"/>
        <w:gridCol w:w="839"/>
        <w:gridCol w:w="840"/>
        <w:gridCol w:w="840"/>
      </w:tblGrid>
      <w:tr w:rsidR="00E25CC6" w:rsidRPr="009B0368" w:rsidTr="009B0368">
        <w:trPr>
          <w:cantSplit/>
        </w:trPr>
        <w:tc>
          <w:tcPr>
            <w:tcW w:w="3578" w:type="dxa"/>
            <w:tcBorders>
              <w:top w:val="single" w:sz="4" w:space="0" w:color="auto"/>
              <w:left w:val="single" w:sz="4" w:space="0" w:color="auto"/>
              <w:bottom w:val="single" w:sz="4" w:space="0" w:color="auto"/>
              <w:right w:val="nil"/>
            </w:tcBorders>
            <w:shd w:val="clear" w:color="auto" w:fill="000000"/>
          </w:tcPr>
          <w:p w:rsidR="00E25CC6" w:rsidRPr="009B0368" w:rsidRDefault="00E25CC6" w:rsidP="009B0368">
            <w:pPr>
              <w:pStyle w:val="Tabletext"/>
              <w:rPr>
                <w:rFonts w:eastAsiaTheme="minorEastAsia"/>
                <w:lang w:eastAsia="en-AU"/>
              </w:rPr>
            </w:pPr>
            <w:r w:rsidRPr="009B0368">
              <w:rPr>
                <w:rFonts w:eastAsiaTheme="minorEastAsia"/>
                <w:lang w:eastAsia="en-AU"/>
              </w:rPr>
              <w:t xml:space="preserve"> </w:t>
            </w:r>
          </w:p>
        </w:tc>
        <w:tc>
          <w:tcPr>
            <w:tcW w:w="839"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2015</w:t>
            </w:r>
            <w:r>
              <w:rPr>
                <w:rFonts w:eastAsiaTheme="minorEastAsia"/>
                <w:lang w:eastAsia="en-AU"/>
              </w:rPr>
              <w:noBreakHyphen/>
            </w:r>
            <w:r w:rsidRPr="009B0368">
              <w:rPr>
                <w:rFonts w:eastAsiaTheme="minorEastAsia"/>
                <w:lang w:eastAsia="en-AU"/>
              </w:rPr>
              <w:t>16</w:t>
            </w:r>
          </w:p>
        </w:tc>
        <w:tc>
          <w:tcPr>
            <w:tcW w:w="840"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2016</w:t>
            </w:r>
            <w:r>
              <w:rPr>
                <w:rFonts w:eastAsiaTheme="minorEastAsia"/>
                <w:lang w:eastAsia="en-AU"/>
              </w:rPr>
              <w:noBreakHyphen/>
            </w:r>
            <w:r w:rsidRPr="009B0368">
              <w:rPr>
                <w:rFonts w:eastAsiaTheme="minorEastAsia"/>
                <w:lang w:eastAsia="en-AU"/>
              </w:rPr>
              <w:t>17</w:t>
            </w:r>
          </w:p>
        </w:tc>
        <w:tc>
          <w:tcPr>
            <w:tcW w:w="839"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2017</w:t>
            </w:r>
            <w:r>
              <w:rPr>
                <w:rFonts w:eastAsiaTheme="minorEastAsia"/>
                <w:lang w:eastAsia="en-AU"/>
              </w:rPr>
              <w:noBreakHyphen/>
            </w:r>
            <w:r w:rsidRPr="009B0368">
              <w:rPr>
                <w:rFonts w:eastAsiaTheme="minorEastAsia"/>
                <w:lang w:eastAsia="en-AU"/>
              </w:rPr>
              <w:t>18</w:t>
            </w:r>
          </w:p>
        </w:tc>
        <w:tc>
          <w:tcPr>
            <w:tcW w:w="840"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2018</w:t>
            </w:r>
            <w:r>
              <w:rPr>
                <w:rFonts w:eastAsiaTheme="minorEastAsia"/>
                <w:lang w:eastAsia="en-AU"/>
              </w:rPr>
              <w:noBreakHyphen/>
            </w:r>
            <w:r w:rsidRPr="009B0368">
              <w:rPr>
                <w:rFonts w:eastAsiaTheme="minorEastAsia"/>
                <w:lang w:eastAsia="en-AU"/>
              </w:rPr>
              <w:t>19</w:t>
            </w:r>
          </w:p>
        </w:tc>
        <w:tc>
          <w:tcPr>
            <w:tcW w:w="840" w:type="dxa"/>
            <w:tcBorders>
              <w:top w:val="single" w:sz="4" w:space="0" w:color="auto"/>
              <w:left w:val="nil"/>
              <w:bottom w:val="single" w:sz="4" w:space="0" w:color="auto"/>
              <w:right w:val="single" w:sz="4" w:space="0" w:color="auto"/>
            </w:tcBorders>
            <w:shd w:val="clear" w:color="auto" w:fill="000000"/>
          </w:tcPr>
          <w:p w:rsidR="00E25CC6" w:rsidRPr="009B0368" w:rsidRDefault="00E25CC6" w:rsidP="009B0368">
            <w:pPr>
              <w:pStyle w:val="Tabletextheading"/>
              <w:rPr>
                <w:rFonts w:eastAsiaTheme="minorEastAsia" w:cs="Calibri"/>
                <w:iCs/>
                <w:lang w:eastAsia="en-AU"/>
              </w:rPr>
            </w:pPr>
            <w:r w:rsidRPr="009B0368">
              <w:rPr>
                <w:rFonts w:eastAsiaTheme="minorEastAsia" w:cs="Calibri"/>
                <w:iCs/>
                <w:lang w:eastAsia="en-AU"/>
              </w:rPr>
              <w:t>2019</w:t>
            </w:r>
            <w:r>
              <w:rPr>
                <w:rFonts w:eastAsiaTheme="minorEastAsia" w:cs="Calibri"/>
                <w:iCs/>
                <w:lang w:eastAsia="en-AU"/>
              </w:rPr>
              <w:noBreakHyphen/>
            </w:r>
            <w:r w:rsidRPr="009B0368">
              <w:rPr>
                <w:rFonts w:eastAsiaTheme="minorEastAsia" w:cs="Calibri"/>
                <w:iCs/>
                <w:lang w:eastAsia="en-AU"/>
              </w:rPr>
              <w:t>20</w:t>
            </w:r>
          </w:p>
        </w:tc>
      </w:tr>
      <w:tr w:rsidR="00E25CC6" w:rsidRPr="009B0368" w:rsidTr="009B0368">
        <w:trPr>
          <w:cantSplit/>
        </w:trPr>
        <w:tc>
          <w:tcPr>
            <w:tcW w:w="3578" w:type="dxa"/>
            <w:tcBorders>
              <w:top w:val="single" w:sz="4" w:space="0" w:color="auto"/>
              <w:left w:val="nil"/>
              <w:bottom w:val="nil"/>
              <w:right w:val="nil"/>
            </w:tcBorders>
          </w:tcPr>
          <w:p w:rsidR="00E25CC6" w:rsidRPr="009B0368" w:rsidRDefault="00E25CC6" w:rsidP="009B0368">
            <w:pPr>
              <w:pStyle w:val="Tabletext"/>
              <w:rPr>
                <w:rFonts w:eastAsiaTheme="minorEastAsia"/>
                <w:b/>
                <w:bCs/>
                <w:color w:val="000000"/>
                <w:lang w:eastAsia="en-AU"/>
              </w:rPr>
            </w:pPr>
            <w:r w:rsidRPr="009B0368">
              <w:rPr>
                <w:rFonts w:eastAsiaTheme="minorEastAsia"/>
                <w:b/>
                <w:bCs/>
                <w:color w:val="000000"/>
                <w:lang w:eastAsia="en-AU"/>
              </w:rPr>
              <w:t>Courts</w:t>
            </w:r>
          </w:p>
        </w:tc>
        <w:tc>
          <w:tcPr>
            <w:tcW w:w="839"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0"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39"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0" w:type="dxa"/>
            <w:tcBorders>
              <w:top w:val="single" w:sz="4" w:space="0" w:color="auto"/>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w:t>
            </w:r>
          </w:p>
        </w:tc>
        <w:tc>
          <w:tcPr>
            <w:tcW w:w="840" w:type="dxa"/>
            <w:tcBorders>
              <w:top w:val="single" w:sz="4" w:space="0" w:color="auto"/>
              <w:left w:val="nil"/>
              <w:bottom w:val="nil"/>
              <w:right w:val="nil"/>
            </w:tcBorders>
            <w:shd w:val="solid" w:color="FFFFFF" w:fill="auto"/>
          </w:tcPr>
          <w:p w:rsidR="00E25CC6" w:rsidRPr="009B0368" w:rsidRDefault="00E25CC6" w:rsidP="009B0368">
            <w:pPr>
              <w:autoSpaceDE w:val="0"/>
              <w:autoSpaceDN w:val="0"/>
              <w:adjustRightInd w:val="0"/>
              <w:spacing w:after="0"/>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w:t>
            </w:r>
          </w:p>
        </w:tc>
      </w:tr>
      <w:tr w:rsidR="00E25CC6" w:rsidRPr="009B0368" w:rsidTr="009B0368">
        <w:trPr>
          <w:cantSplit/>
        </w:trPr>
        <w:tc>
          <w:tcPr>
            <w:tcW w:w="357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 xml:space="preserve">A modern and sustainable delivery model for the Victorian Civil and Administrative Tribunal </w:t>
            </w:r>
          </w:p>
        </w:tc>
        <w:tc>
          <w:tcPr>
            <w:tcW w:w="839"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0"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w:t>
            </w:r>
          </w:p>
        </w:tc>
        <w:tc>
          <w:tcPr>
            <w:tcW w:w="839"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w:t>
            </w:r>
          </w:p>
        </w:tc>
        <w:tc>
          <w:tcPr>
            <w:tcW w:w="840"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w:t>
            </w:r>
          </w:p>
        </w:tc>
        <w:tc>
          <w:tcPr>
            <w:tcW w:w="840"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1.0</w:t>
            </w:r>
          </w:p>
        </w:tc>
      </w:tr>
      <w:tr w:rsidR="00E25CC6" w:rsidRPr="009B0368" w:rsidTr="009B0368">
        <w:trPr>
          <w:cantSplit/>
        </w:trPr>
        <w:tc>
          <w:tcPr>
            <w:tcW w:w="3578" w:type="dxa"/>
            <w:tcBorders>
              <w:top w:val="nil"/>
              <w:left w:val="nil"/>
              <w:bottom w:val="nil"/>
              <w:right w:val="nil"/>
            </w:tcBorders>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Court safety and security</w:t>
            </w:r>
          </w:p>
        </w:tc>
        <w:tc>
          <w:tcPr>
            <w:tcW w:w="839"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0"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9.9</w:t>
            </w:r>
          </w:p>
        </w:tc>
        <w:tc>
          <w:tcPr>
            <w:tcW w:w="839"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13.3</w:t>
            </w:r>
          </w:p>
        </w:tc>
        <w:tc>
          <w:tcPr>
            <w:tcW w:w="840"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13.7</w:t>
            </w:r>
          </w:p>
        </w:tc>
        <w:tc>
          <w:tcPr>
            <w:tcW w:w="840" w:type="dxa"/>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 xml:space="preserve"> 14.0</w:t>
            </w:r>
          </w:p>
        </w:tc>
      </w:tr>
      <w:tr w:rsidR="00E25CC6" w:rsidRPr="009B0368" w:rsidTr="009B0368">
        <w:trPr>
          <w:cantSplit/>
        </w:trPr>
        <w:tc>
          <w:tcPr>
            <w:tcW w:w="3578" w:type="dxa"/>
            <w:tcBorders>
              <w:top w:val="nil"/>
              <w:left w:val="nil"/>
              <w:bottom w:val="nil"/>
              <w:right w:val="nil"/>
            </w:tcBorders>
          </w:tcPr>
          <w:p w:rsidR="00E25CC6" w:rsidRPr="009B0368" w:rsidRDefault="00E25CC6" w:rsidP="0017685A">
            <w:pPr>
              <w:pStyle w:val="Tabletext"/>
              <w:rPr>
                <w:rFonts w:eastAsiaTheme="minorEastAsia"/>
                <w:color w:val="000000"/>
                <w:lang w:eastAsia="en-AU"/>
              </w:rPr>
            </w:pPr>
            <w:r w:rsidRPr="009B0368">
              <w:rPr>
                <w:rFonts w:eastAsiaTheme="minorEastAsia"/>
                <w:color w:val="000000"/>
                <w:lang w:eastAsia="en-AU"/>
              </w:rPr>
              <w:t>Integrated court case management system</w:t>
            </w:r>
            <w:r>
              <w:rPr>
                <w:rFonts w:eastAsiaTheme="minorEastAsia"/>
                <w:color w:val="000000"/>
                <w:lang w:eastAsia="en-AU"/>
              </w:rPr>
              <w:t xml:space="preserve"> – </w:t>
            </w:r>
            <w:r w:rsidRPr="009B0368">
              <w:rPr>
                <w:rFonts w:eastAsiaTheme="minorEastAsia"/>
                <w:color w:val="000000"/>
                <w:lang w:eastAsia="en-AU"/>
              </w:rPr>
              <w:t>planning</w:t>
            </w:r>
          </w:p>
        </w:tc>
        <w:tc>
          <w:tcPr>
            <w:tcW w:w="839"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0"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1.0</w:t>
            </w:r>
          </w:p>
        </w:tc>
        <w:tc>
          <w:tcPr>
            <w:tcW w:w="839"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0" w:type="dxa"/>
            <w:tcBorders>
              <w:top w:val="nil"/>
              <w:left w:val="nil"/>
              <w:bottom w:val="nil"/>
              <w:right w:val="nil"/>
            </w:tcBorders>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0" w:type="dxa"/>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9B0368">
        <w:trPr>
          <w:cantSplit/>
        </w:trPr>
        <w:tc>
          <w:tcPr>
            <w:tcW w:w="3578" w:type="dxa"/>
            <w:tcBorders>
              <w:top w:val="nil"/>
              <w:left w:val="nil"/>
              <w:bottom w:val="nil"/>
              <w:right w:val="nil"/>
            </w:tcBorders>
            <w:shd w:val="solid" w:color="FFFFFF" w:fill="auto"/>
          </w:tcPr>
          <w:p w:rsidR="00E25CC6" w:rsidRPr="009B0368" w:rsidRDefault="00E25CC6" w:rsidP="009B0368">
            <w:pPr>
              <w:pStyle w:val="Tabletext"/>
              <w:rPr>
                <w:rFonts w:eastAsiaTheme="minorEastAsia"/>
                <w:color w:val="000000"/>
                <w:lang w:eastAsia="en-AU"/>
              </w:rPr>
            </w:pPr>
            <w:r w:rsidRPr="009B0368">
              <w:rPr>
                <w:rFonts w:eastAsiaTheme="minorEastAsia"/>
                <w:color w:val="000000"/>
                <w:lang w:eastAsia="en-AU"/>
              </w:rPr>
              <w:t xml:space="preserve">Sustainable transport of deceased persons services </w:t>
            </w:r>
          </w:p>
        </w:tc>
        <w:tc>
          <w:tcPr>
            <w:tcW w:w="839"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w:t>
            </w:r>
          </w:p>
        </w:tc>
        <w:tc>
          <w:tcPr>
            <w:tcW w:w="840"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3.0</w:t>
            </w:r>
          </w:p>
        </w:tc>
        <w:tc>
          <w:tcPr>
            <w:tcW w:w="839"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3.3</w:t>
            </w:r>
          </w:p>
        </w:tc>
        <w:tc>
          <w:tcPr>
            <w:tcW w:w="840"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color w:val="000000"/>
                <w:lang w:eastAsia="en-AU"/>
              </w:rPr>
            </w:pPr>
            <w:r w:rsidRPr="009B0368">
              <w:rPr>
                <w:rFonts w:eastAsiaTheme="minorEastAsia"/>
                <w:color w:val="000000"/>
                <w:lang w:eastAsia="en-AU"/>
              </w:rPr>
              <w:t xml:space="preserve"> 3.6</w:t>
            </w:r>
          </w:p>
        </w:tc>
        <w:tc>
          <w:tcPr>
            <w:tcW w:w="840"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sidRPr="009B0368">
              <w:rPr>
                <w:rFonts w:ascii="Calibri" w:eastAsiaTheme="minorEastAsia" w:hAnsi="Calibri" w:cs="Calibri"/>
                <w:color w:val="000000"/>
                <w:sz w:val="20"/>
                <w:lang w:eastAsia="en-AU"/>
              </w:rPr>
              <w:t>..</w:t>
            </w:r>
          </w:p>
        </w:tc>
      </w:tr>
      <w:tr w:rsidR="00E25CC6" w:rsidRPr="009B0368" w:rsidTr="009B0368">
        <w:trPr>
          <w:cantSplit/>
        </w:trPr>
        <w:tc>
          <w:tcPr>
            <w:tcW w:w="3578"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text"/>
              <w:rPr>
                <w:rFonts w:eastAsiaTheme="minorEastAsia"/>
                <w:b/>
                <w:bCs/>
                <w:color w:val="000000"/>
                <w:vertAlign w:val="superscript"/>
                <w:lang w:eastAsia="en-AU"/>
              </w:rPr>
            </w:pPr>
            <w:r w:rsidRPr="009B0368">
              <w:rPr>
                <w:rFonts w:eastAsiaTheme="minorEastAsia"/>
                <w:b/>
                <w:bCs/>
                <w:color w:val="000000"/>
                <w:lang w:eastAsia="en-AU"/>
              </w:rPr>
              <w:t xml:space="preserve">Total output initiatives </w:t>
            </w:r>
            <w:r w:rsidRPr="009B0368">
              <w:rPr>
                <w:rFonts w:eastAsiaTheme="minorEastAsia"/>
                <w:b/>
                <w:bCs/>
                <w:color w:val="000000"/>
                <w:vertAlign w:val="superscript"/>
                <w:lang w:eastAsia="en-AU"/>
              </w:rPr>
              <w:t>(a)</w:t>
            </w:r>
          </w:p>
        </w:tc>
        <w:tc>
          <w:tcPr>
            <w:tcW w:w="839"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w:t>
            </w:r>
          </w:p>
        </w:tc>
        <w:tc>
          <w:tcPr>
            <w:tcW w:w="840"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14.9</w:t>
            </w:r>
          </w:p>
        </w:tc>
        <w:tc>
          <w:tcPr>
            <w:tcW w:w="839"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17.6</w:t>
            </w:r>
          </w:p>
        </w:tc>
        <w:tc>
          <w:tcPr>
            <w:tcW w:w="840"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color w:val="000000"/>
                <w:lang w:eastAsia="en-AU"/>
              </w:rPr>
            </w:pPr>
            <w:r w:rsidRPr="009B0368">
              <w:rPr>
                <w:rFonts w:eastAsiaTheme="minorEastAsia"/>
                <w:b/>
                <w:bCs/>
                <w:color w:val="000000"/>
                <w:lang w:eastAsia="en-AU"/>
              </w:rPr>
              <w:t xml:space="preserve"> 18.2</w:t>
            </w:r>
          </w:p>
        </w:tc>
        <w:tc>
          <w:tcPr>
            <w:tcW w:w="840" w:type="dxa"/>
            <w:tcBorders>
              <w:top w:val="single" w:sz="6" w:space="0" w:color="auto"/>
              <w:left w:val="nil"/>
              <w:bottom w:val="single" w:sz="12" w:space="0" w:color="auto"/>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b/>
                <w:bCs/>
                <w:color w:val="000000"/>
                <w:sz w:val="20"/>
                <w:lang w:eastAsia="en-AU"/>
              </w:rPr>
            </w:pPr>
            <w:r w:rsidRPr="009B0368">
              <w:rPr>
                <w:rFonts w:ascii="Calibri" w:eastAsiaTheme="minorEastAsia" w:hAnsi="Calibri" w:cs="Calibri"/>
                <w:b/>
                <w:bCs/>
                <w:color w:val="000000"/>
                <w:sz w:val="20"/>
                <w:lang w:eastAsia="en-AU"/>
              </w:rPr>
              <w:t xml:space="preserve"> 15.0</w:t>
            </w:r>
          </w:p>
        </w:tc>
      </w:tr>
    </w:tbl>
    <w:p w:rsidR="00E25CC6" w:rsidRDefault="00E25CC6" w:rsidP="00D94ED5">
      <w:pPr>
        <w:pStyle w:val="Source"/>
      </w:pPr>
      <w:r>
        <w:t xml:space="preserve">Source: Department of Treasury and Finance </w:t>
      </w:r>
      <w:r>
        <w:fldChar w:fldCharType="begin"/>
      </w:r>
      <w:r>
        <w:instrText xml:space="preserve"> XE "</w:instrText>
      </w:r>
      <w:r w:rsidRPr="004E5840">
        <w:instrText>Courts:Output initiatives</w:instrText>
      </w:r>
      <w:r>
        <w:instrText xml:space="preserve">" </w:instrText>
      </w:r>
      <w:r>
        <w:fldChar w:fldCharType="end"/>
      </w:r>
    </w:p>
    <w:p w:rsidR="00E25CC6" w:rsidRDefault="00E25CC6" w:rsidP="00566998">
      <w:pPr>
        <w:pStyle w:val="Notes"/>
      </w:pPr>
      <w:r>
        <w:t xml:space="preserve">Note: </w:t>
      </w:r>
    </w:p>
    <w:p w:rsidR="00E25CC6" w:rsidRPr="00CD63A7" w:rsidRDefault="00E25CC6" w:rsidP="00566998">
      <w:pPr>
        <w:pStyle w:val="Notes"/>
      </w:pPr>
      <w:r>
        <w:t>(a)</w:t>
      </w:r>
      <w:r>
        <w:tab/>
        <w:t>Tables may not add due to rounding.</w:t>
      </w:r>
    </w:p>
    <w:p w:rsidR="00E25CC6" w:rsidRPr="000E4BF7" w:rsidRDefault="00E25CC6" w:rsidP="003F5519">
      <w:pPr>
        <w:pStyle w:val="Source"/>
      </w:pPr>
    </w:p>
    <w:p w:rsidR="00E25CC6" w:rsidRPr="008704FC" w:rsidRDefault="00E25CC6" w:rsidP="00BF1480">
      <w:pPr>
        <w:pStyle w:val="Heading4"/>
      </w:pPr>
      <w:r w:rsidRPr="008704FC">
        <w:t>Courts</w:t>
      </w:r>
    </w:p>
    <w:p w:rsidR="00E25CC6" w:rsidRPr="008704FC" w:rsidRDefault="00E25CC6" w:rsidP="0062053D">
      <w:pPr>
        <w:pStyle w:val="Heading5"/>
      </w:pPr>
      <w:r w:rsidRPr="008704FC">
        <w:t xml:space="preserve">A modern and sustainable delivery model for </w:t>
      </w:r>
      <w:r>
        <w:t xml:space="preserve">the </w:t>
      </w:r>
      <w:r w:rsidRPr="008704FC">
        <w:t>V</w:t>
      </w:r>
      <w:r>
        <w:t xml:space="preserve">ictorian </w:t>
      </w:r>
      <w:r w:rsidRPr="008704FC">
        <w:t>C</w:t>
      </w:r>
      <w:r>
        <w:t xml:space="preserve">ivil and Administrative </w:t>
      </w:r>
      <w:r w:rsidRPr="008704FC">
        <w:t>T</w:t>
      </w:r>
      <w:r>
        <w:t>ribunal</w:t>
      </w:r>
    </w:p>
    <w:p w:rsidR="00E25CC6" w:rsidRPr="008704FC" w:rsidRDefault="00E25CC6" w:rsidP="00991E1D">
      <w:r w:rsidRPr="008704FC">
        <w:t xml:space="preserve">VCAT </w:t>
      </w:r>
      <w:r>
        <w:t>improve the quality and efficiency of its administrative services to litigants through a number of digital and other service enhancements</w:t>
      </w:r>
      <w:r w:rsidRPr="008704FC">
        <w:t>.</w:t>
      </w:r>
    </w:p>
    <w:p w:rsidR="00E25CC6" w:rsidRPr="008704FC" w:rsidRDefault="00E25CC6" w:rsidP="00991E1D">
      <w:r w:rsidRPr="008704FC">
        <w:t>This initiative contributes to the Courts output.</w:t>
      </w:r>
    </w:p>
    <w:p w:rsidR="00E25CC6" w:rsidRPr="008704FC" w:rsidRDefault="00E25CC6" w:rsidP="008704FC">
      <w:pPr>
        <w:pStyle w:val="Heading5"/>
        <w:rPr>
          <w:lang w:eastAsia="en-AU"/>
        </w:rPr>
      </w:pPr>
      <w:r>
        <w:rPr>
          <w:lang w:eastAsia="en-AU"/>
        </w:rPr>
        <w:t>Court s</w:t>
      </w:r>
      <w:r w:rsidRPr="008704FC">
        <w:rPr>
          <w:lang w:eastAsia="en-AU"/>
        </w:rPr>
        <w:t xml:space="preserve">afety and </w:t>
      </w:r>
      <w:r>
        <w:rPr>
          <w:lang w:eastAsia="en-AU"/>
        </w:rPr>
        <w:t>s</w:t>
      </w:r>
      <w:r w:rsidRPr="008704FC">
        <w:rPr>
          <w:lang w:eastAsia="en-AU"/>
        </w:rPr>
        <w:t>ecurity</w:t>
      </w:r>
    </w:p>
    <w:p w:rsidR="00E25CC6" w:rsidRPr="008704FC" w:rsidRDefault="00E25CC6" w:rsidP="008704FC">
      <w:pPr>
        <w:rPr>
          <w:rFonts w:cs="Garamond"/>
          <w:color w:val="000000"/>
          <w:szCs w:val="22"/>
          <w:lang w:eastAsia="en-AU"/>
        </w:rPr>
      </w:pPr>
      <w:r w:rsidRPr="008704FC">
        <w:t>Refer to the asset initiative for a description of this initiative.</w:t>
      </w:r>
      <w:r w:rsidRPr="008704FC">
        <w:rPr>
          <w:rFonts w:cs="Garamond"/>
          <w:color w:val="000000"/>
          <w:szCs w:val="22"/>
          <w:lang w:eastAsia="en-AU"/>
        </w:rPr>
        <w:t xml:space="preserve"> </w:t>
      </w:r>
    </w:p>
    <w:p w:rsidR="00E25CC6" w:rsidRPr="008704FC" w:rsidRDefault="00E25CC6" w:rsidP="008704FC">
      <w:pPr>
        <w:pStyle w:val="Heading5"/>
      </w:pPr>
      <w:r w:rsidRPr="008704FC">
        <w:t xml:space="preserve">Integrated court case management system </w:t>
      </w:r>
      <w:r>
        <w:t>–</w:t>
      </w:r>
      <w:r w:rsidRPr="008704FC">
        <w:t xml:space="preserve"> planning</w:t>
      </w:r>
      <w:r>
        <w:t xml:space="preserve"> </w:t>
      </w:r>
    </w:p>
    <w:p w:rsidR="00E25CC6" w:rsidRPr="008704FC" w:rsidRDefault="00E25CC6" w:rsidP="008704FC">
      <w:r w:rsidRPr="008704FC">
        <w:t>Funding is provided to commence p</w:t>
      </w:r>
      <w:r>
        <w:t>lanning for the development of</w:t>
      </w:r>
      <w:r w:rsidRPr="008704FC">
        <w:t xml:space="preserve"> new </w:t>
      </w:r>
      <w:r>
        <w:t xml:space="preserve">integrated </w:t>
      </w:r>
      <w:r w:rsidRPr="008704FC">
        <w:t>contemporary case management system</w:t>
      </w:r>
      <w:r>
        <w:t>s</w:t>
      </w:r>
      <w:r w:rsidRPr="008704FC">
        <w:t xml:space="preserve"> in the Children</w:t>
      </w:r>
      <w:r>
        <w:t>’</w:t>
      </w:r>
      <w:r w:rsidRPr="008704FC">
        <w:t>s, Magistrates</w:t>
      </w:r>
      <w:r>
        <w:t>’</w:t>
      </w:r>
      <w:r w:rsidRPr="008704FC">
        <w:t xml:space="preserve"> and County Courts to deliver effective justice to the community and meet </w:t>
      </w:r>
      <w:r>
        <w:t>the growing demand on Courts. N</w:t>
      </w:r>
      <w:r w:rsidRPr="008704FC">
        <w:t>ew case management system</w:t>
      </w:r>
      <w:r>
        <w:t>s</w:t>
      </w:r>
      <w:r w:rsidRPr="008704FC">
        <w:t xml:space="preserve"> will improve community safety by addressing critical information gaps between courts and other justice agencies, improve community access to courts services and enable the courts to more effectively manage growing demand.</w:t>
      </w:r>
    </w:p>
    <w:p w:rsidR="00E25CC6" w:rsidRPr="008704FC" w:rsidRDefault="00E25CC6" w:rsidP="00276056">
      <w:r w:rsidRPr="008704FC">
        <w:rPr>
          <w:lang w:eastAsia="en-AU"/>
        </w:rPr>
        <w:t>This initiative contributes to the Courts output.</w:t>
      </w:r>
    </w:p>
    <w:p w:rsidR="00E25CC6" w:rsidRDefault="00E25CC6">
      <w:pPr>
        <w:spacing w:after="0"/>
        <w:rPr>
          <w:rFonts w:ascii="Calibri" w:hAnsi="Calibri"/>
          <w:b/>
        </w:rPr>
      </w:pPr>
      <w:r>
        <w:br w:type="page"/>
      </w:r>
    </w:p>
    <w:p w:rsidR="00E25CC6" w:rsidRPr="008704FC" w:rsidRDefault="00E25CC6" w:rsidP="008704FC">
      <w:pPr>
        <w:pStyle w:val="Heading5"/>
      </w:pPr>
      <w:r w:rsidRPr="008704FC">
        <w:t>Sustainable transport of deceased persons services</w:t>
      </w:r>
    </w:p>
    <w:p w:rsidR="00E25CC6" w:rsidRPr="008704FC" w:rsidRDefault="00E25CC6" w:rsidP="008704FC">
      <w:r w:rsidRPr="008704FC">
        <w:t xml:space="preserve">The Coroners Court of Victoria will be provided with additional resources to operate the removal and transport of deceased persons service effectively throughout Victoria. Having an effective transport service will allow the Coroners Court to focus on investigating the causes of sudden and unexpected deaths and provide closure to families of the deceased. </w:t>
      </w:r>
    </w:p>
    <w:p w:rsidR="00E25CC6" w:rsidRPr="008704FC" w:rsidRDefault="00E25CC6" w:rsidP="008704FC">
      <w:r w:rsidRPr="008704FC">
        <w:t>This initiative contributes to the Courts output.</w:t>
      </w:r>
    </w:p>
    <w:p w:rsidR="00E25CC6" w:rsidRDefault="00E25CC6" w:rsidP="00BF1480">
      <w:pPr>
        <w:pStyle w:val="Heading3"/>
      </w:pPr>
      <w:r w:rsidRPr="008704FC">
        <w:t xml:space="preserve">Asset </w:t>
      </w:r>
      <w:r>
        <w:t>initiatives</w:t>
      </w:r>
      <w:r w:rsidRPr="008704FC">
        <w:t xml:space="preserve"> </w:t>
      </w:r>
    </w:p>
    <w:p w:rsidR="00E25CC6" w:rsidRDefault="00E25CC6" w:rsidP="00C63E94">
      <w:pPr>
        <w:pStyle w:val="Tableheading"/>
      </w:pPr>
      <w:r>
        <w:t>Table 1.29:</w:t>
      </w:r>
      <w:r>
        <w:tab/>
        <w:t>Asset initiatives – Courts</w:t>
      </w:r>
    </w:p>
    <w:p w:rsidR="00E25CC6" w:rsidRPr="00046AA9" w:rsidRDefault="00E25CC6" w:rsidP="00046AA9">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2656"/>
        <w:gridCol w:w="853"/>
        <w:gridCol w:w="853"/>
        <w:gridCol w:w="854"/>
        <w:gridCol w:w="853"/>
        <w:gridCol w:w="853"/>
        <w:gridCol w:w="854"/>
      </w:tblGrid>
      <w:tr w:rsidR="00E25CC6" w:rsidRPr="00046AA9" w:rsidTr="00046AA9">
        <w:trPr>
          <w:tblHeader/>
        </w:trPr>
        <w:tc>
          <w:tcPr>
            <w:tcW w:w="2656" w:type="dxa"/>
            <w:tcBorders>
              <w:bottom w:val="single" w:sz="4" w:space="0" w:color="auto"/>
              <w:right w:val="nil"/>
            </w:tcBorders>
            <w:shd w:val="clear" w:color="auto" w:fill="000000"/>
            <w:vAlign w:val="bottom"/>
          </w:tcPr>
          <w:p w:rsidR="00E25CC6" w:rsidRPr="00046AA9" w:rsidRDefault="00E25CC6" w:rsidP="00046AA9">
            <w:pPr>
              <w:pStyle w:val="Tabletext"/>
              <w:rPr>
                <w:rFonts w:eastAsiaTheme="minorEastAsia"/>
                <w:color w:val="FFFFFF"/>
                <w:lang w:eastAsia="en-AU"/>
              </w:rPr>
            </w:pPr>
            <w:r>
              <w:rPr>
                <w:rFonts w:eastAsiaTheme="minorEastAsia"/>
                <w:color w:val="FFFFFF"/>
                <w:lang w:eastAsia="en-AU"/>
              </w:rPr>
              <w:t xml:space="preserve"> </w:t>
            </w:r>
          </w:p>
        </w:tc>
        <w:tc>
          <w:tcPr>
            <w:tcW w:w="853"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2015</w:t>
            </w:r>
            <w:r>
              <w:rPr>
                <w:rFonts w:eastAsiaTheme="minorEastAsia"/>
                <w:color w:val="FFFFFF"/>
                <w:sz w:val="19"/>
                <w:lang w:eastAsia="en-AU"/>
              </w:rPr>
              <w:noBreakHyphen/>
            </w:r>
            <w:r w:rsidRPr="00046AA9">
              <w:rPr>
                <w:rFonts w:eastAsiaTheme="minorEastAsia"/>
                <w:color w:val="FFFFFF"/>
                <w:sz w:val="19"/>
                <w:lang w:eastAsia="en-AU"/>
              </w:rPr>
              <w:t>16</w:t>
            </w:r>
          </w:p>
        </w:tc>
        <w:tc>
          <w:tcPr>
            <w:tcW w:w="853"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2016</w:t>
            </w:r>
            <w:r>
              <w:rPr>
                <w:rFonts w:eastAsiaTheme="minorEastAsia"/>
                <w:color w:val="FFFFFF"/>
                <w:sz w:val="19"/>
                <w:lang w:eastAsia="en-AU"/>
              </w:rPr>
              <w:noBreakHyphen/>
            </w:r>
            <w:r w:rsidRPr="00046AA9">
              <w:rPr>
                <w:rFonts w:eastAsiaTheme="minorEastAsia"/>
                <w:color w:val="FFFFFF"/>
                <w:sz w:val="19"/>
                <w:lang w:eastAsia="en-AU"/>
              </w:rPr>
              <w:t>17</w:t>
            </w:r>
          </w:p>
        </w:tc>
        <w:tc>
          <w:tcPr>
            <w:tcW w:w="854"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2017</w:t>
            </w:r>
            <w:r>
              <w:rPr>
                <w:rFonts w:eastAsiaTheme="minorEastAsia"/>
                <w:color w:val="FFFFFF"/>
                <w:sz w:val="19"/>
                <w:lang w:eastAsia="en-AU"/>
              </w:rPr>
              <w:noBreakHyphen/>
            </w:r>
            <w:r w:rsidRPr="00046AA9">
              <w:rPr>
                <w:rFonts w:eastAsiaTheme="minorEastAsia"/>
                <w:color w:val="FFFFFF"/>
                <w:sz w:val="19"/>
                <w:lang w:eastAsia="en-AU"/>
              </w:rPr>
              <w:t>18</w:t>
            </w:r>
          </w:p>
        </w:tc>
        <w:tc>
          <w:tcPr>
            <w:tcW w:w="853"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2018</w:t>
            </w:r>
            <w:r>
              <w:rPr>
                <w:rFonts w:eastAsiaTheme="minorEastAsia"/>
                <w:color w:val="FFFFFF"/>
                <w:sz w:val="19"/>
                <w:lang w:eastAsia="en-AU"/>
              </w:rPr>
              <w:noBreakHyphen/>
            </w:r>
            <w:r w:rsidRPr="00046AA9">
              <w:rPr>
                <w:rFonts w:eastAsiaTheme="minorEastAsia"/>
                <w:color w:val="FFFFFF"/>
                <w:sz w:val="19"/>
                <w:lang w:eastAsia="en-AU"/>
              </w:rPr>
              <w:t>19</w:t>
            </w:r>
          </w:p>
        </w:tc>
        <w:tc>
          <w:tcPr>
            <w:tcW w:w="853" w:type="dxa"/>
            <w:tcBorders>
              <w:left w:val="nil"/>
              <w:bottom w:val="single" w:sz="4" w:space="0" w:color="auto"/>
              <w:right w:val="nil"/>
            </w:tcBorders>
            <w:shd w:val="clear" w:color="auto" w:fill="000000"/>
            <w:vAlign w:val="bottom"/>
          </w:tcPr>
          <w:p w:rsidR="00E25CC6" w:rsidRPr="00046AA9" w:rsidRDefault="00E25CC6" w:rsidP="00046AA9">
            <w:pPr>
              <w:pStyle w:val="Tabletextheading"/>
              <w:rPr>
                <w:rFonts w:eastAsiaTheme="minorEastAsia"/>
                <w:color w:val="FFFFFF"/>
                <w:sz w:val="19"/>
                <w:lang w:eastAsia="en-AU"/>
              </w:rPr>
            </w:pPr>
            <w:r w:rsidRPr="00046AA9">
              <w:rPr>
                <w:rFonts w:eastAsiaTheme="minorEastAsia"/>
                <w:color w:val="FFFFFF"/>
                <w:sz w:val="19"/>
                <w:lang w:eastAsia="en-AU"/>
              </w:rPr>
              <w:t>2019</w:t>
            </w:r>
            <w:r>
              <w:rPr>
                <w:rFonts w:eastAsiaTheme="minorEastAsia"/>
                <w:color w:val="FFFFFF"/>
                <w:sz w:val="19"/>
                <w:lang w:eastAsia="en-AU"/>
              </w:rPr>
              <w:noBreakHyphen/>
            </w:r>
            <w:r w:rsidRPr="00046AA9">
              <w:rPr>
                <w:rFonts w:eastAsiaTheme="minorEastAsia"/>
                <w:color w:val="FFFFFF"/>
                <w:sz w:val="19"/>
                <w:lang w:eastAsia="en-AU"/>
              </w:rPr>
              <w:t>20</w:t>
            </w:r>
          </w:p>
        </w:tc>
        <w:tc>
          <w:tcPr>
            <w:tcW w:w="854" w:type="dxa"/>
            <w:tcBorders>
              <w:left w:val="nil"/>
              <w:bottom w:val="single" w:sz="4" w:space="0" w:color="auto"/>
            </w:tcBorders>
            <w:shd w:val="clear" w:color="auto" w:fill="000000"/>
            <w:vAlign w:val="bottom"/>
          </w:tcPr>
          <w:p w:rsidR="00E25CC6" w:rsidRPr="00046AA9" w:rsidRDefault="00E25CC6" w:rsidP="00046AA9">
            <w:pPr>
              <w:pStyle w:val="Tabletextheading"/>
              <w:rPr>
                <w:rFonts w:eastAsiaTheme="minorEastAsia" w:cs="Calibri"/>
                <w:iCs/>
                <w:color w:val="FFFFFF"/>
                <w:sz w:val="19"/>
                <w:lang w:eastAsia="en-AU"/>
              </w:rPr>
            </w:pPr>
            <w:r w:rsidRPr="00046AA9">
              <w:rPr>
                <w:rFonts w:eastAsiaTheme="minorEastAsia" w:cs="Calibri"/>
                <w:iCs/>
                <w:color w:val="FFFFFF"/>
                <w:sz w:val="19"/>
                <w:lang w:eastAsia="en-AU"/>
              </w:rPr>
              <w:t>TEI</w:t>
            </w:r>
          </w:p>
        </w:tc>
      </w:tr>
      <w:tr w:rsidR="00E25CC6" w:rsidRPr="00046AA9" w:rsidTr="00046AA9">
        <w:tc>
          <w:tcPr>
            <w:tcW w:w="2656" w:type="dxa"/>
            <w:tcBorders>
              <w:top w:val="single" w:sz="4" w:space="0" w:color="auto"/>
              <w:left w:val="nil"/>
              <w:bottom w:val="nil"/>
              <w:right w:val="nil"/>
            </w:tcBorders>
          </w:tcPr>
          <w:p w:rsidR="00E25CC6" w:rsidRPr="00046AA9" w:rsidRDefault="00E25CC6" w:rsidP="00046AA9">
            <w:pPr>
              <w:pStyle w:val="Tabletext"/>
              <w:rPr>
                <w:rFonts w:eastAsiaTheme="minorEastAsia"/>
                <w:b/>
                <w:bCs/>
                <w:lang w:eastAsia="en-AU"/>
              </w:rPr>
            </w:pPr>
            <w:r w:rsidRPr="00046AA9">
              <w:rPr>
                <w:rFonts w:eastAsiaTheme="minorEastAsia"/>
                <w:b/>
                <w:bCs/>
                <w:lang w:eastAsia="en-AU"/>
              </w:rPr>
              <w:t>Courts</w:t>
            </w:r>
          </w:p>
        </w:tc>
        <w:tc>
          <w:tcPr>
            <w:tcW w:w="853" w:type="dxa"/>
            <w:tcBorders>
              <w:top w:val="single" w:sz="4" w:space="0" w:color="auto"/>
              <w:left w:val="nil"/>
              <w:bottom w:val="nil"/>
              <w:right w:val="nil"/>
            </w:tcBorders>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 xml:space="preserve"> </w:t>
            </w:r>
          </w:p>
        </w:tc>
        <w:tc>
          <w:tcPr>
            <w:tcW w:w="853" w:type="dxa"/>
            <w:tcBorders>
              <w:top w:val="single" w:sz="4" w:space="0" w:color="auto"/>
              <w:left w:val="nil"/>
              <w:bottom w:val="nil"/>
              <w:right w:val="nil"/>
            </w:tcBorders>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 xml:space="preserve"> </w:t>
            </w:r>
          </w:p>
        </w:tc>
        <w:tc>
          <w:tcPr>
            <w:tcW w:w="854" w:type="dxa"/>
            <w:tcBorders>
              <w:top w:val="single" w:sz="4" w:space="0" w:color="auto"/>
              <w:left w:val="nil"/>
              <w:bottom w:val="nil"/>
              <w:right w:val="nil"/>
            </w:tcBorders>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 xml:space="preserve"> </w:t>
            </w:r>
          </w:p>
        </w:tc>
        <w:tc>
          <w:tcPr>
            <w:tcW w:w="853" w:type="dxa"/>
            <w:tcBorders>
              <w:top w:val="single" w:sz="4" w:space="0" w:color="auto"/>
              <w:left w:val="nil"/>
              <w:bottom w:val="nil"/>
              <w:right w:val="nil"/>
            </w:tcBorders>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 xml:space="preserve"> </w:t>
            </w:r>
          </w:p>
        </w:tc>
        <w:tc>
          <w:tcPr>
            <w:tcW w:w="853" w:type="dxa"/>
            <w:tcBorders>
              <w:top w:val="single" w:sz="4" w:space="0" w:color="auto"/>
              <w:left w:val="nil"/>
              <w:bottom w:val="nil"/>
              <w:right w:val="nil"/>
            </w:tcBorders>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 xml:space="preserve"> </w:t>
            </w:r>
          </w:p>
        </w:tc>
        <w:tc>
          <w:tcPr>
            <w:tcW w:w="854" w:type="dxa"/>
            <w:tcBorders>
              <w:top w:val="single" w:sz="4" w:space="0" w:color="auto"/>
              <w:left w:val="nil"/>
              <w:bottom w:val="nil"/>
              <w:right w:val="nil"/>
            </w:tcBorders>
          </w:tcPr>
          <w:p w:rsidR="00E25CC6" w:rsidRPr="00046AA9" w:rsidRDefault="00E25CC6" w:rsidP="00046AA9">
            <w:pPr>
              <w:autoSpaceDE w:val="0"/>
              <w:autoSpaceDN w:val="0"/>
              <w:adjustRightInd w:val="0"/>
              <w:spacing w:after="0"/>
              <w:rPr>
                <w:rFonts w:ascii="Calibri" w:eastAsiaTheme="minorEastAsia" w:hAnsi="Calibri" w:cs="Calibri"/>
                <w:b/>
                <w:bCs/>
                <w:sz w:val="19"/>
                <w:lang w:eastAsia="en-AU"/>
              </w:rPr>
            </w:pPr>
            <w:r w:rsidRPr="00046AA9">
              <w:rPr>
                <w:rFonts w:ascii="Calibri" w:eastAsiaTheme="minorEastAsia" w:hAnsi="Calibri" w:cs="Calibri"/>
                <w:b/>
                <w:bCs/>
                <w:sz w:val="19"/>
                <w:lang w:eastAsia="en-AU"/>
              </w:rPr>
              <w:t xml:space="preserve"> </w:t>
            </w:r>
          </w:p>
        </w:tc>
      </w:tr>
      <w:tr w:rsidR="00E25CC6" w:rsidRPr="00046AA9" w:rsidTr="00046AA9">
        <w:tc>
          <w:tcPr>
            <w:tcW w:w="2656" w:type="dxa"/>
            <w:tcBorders>
              <w:top w:val="nil"/>
              <w:left w:val="nil"/>
              <w:bottom w:val="nil"/>
              <w:right w:val="nil"/>
            </w:tcBorders>
          </w:tcPr>
          <w:p w:rsidR="00E25CC6" w:rsidRPr="00046AA9" w:rsidRDefault="00E25CC6" w:rsidP="00046AA9">
            <w:pPr>
              <w:pStyle w:val="Tabletext"/>
              <w:rPr>
                <w:rFonts w:eastAsiaTheme="minorEastAsia"/>
                <w:lang w:eastAsia="en-AU"/>
              </w:rPr>
            </w:pPr>
            <w:r w:rsidRPr="00046AA9">
              <w:rPr>
                <w:rFonts w:eastAsiaTheme="minorEastAsia"/>
                <w:lang w:eastAsia="en-AU"/>
              </w:rPr>
              <w:t>Court Safety and Security</w:t>
            </w:r>
          </w:p>
        </w:tc>
        <w:tc>
          <w:tcPr>
            <w:tcW w:w="853" w:type="dxa"/>
            <w:tcBorders>
              <w:top w:val="nil"/>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w:t>
            </w:r>
          </w:p>
        </w:tc>
        <w:tc>
          <w:tcPr>
            <w:tcW w:w="853" w:type="dxa"/>
            <w:tcBorders>
              <w:top w:val="nil"/>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3.7</w:t>
            </w:r>
          </w:p>
        </w:tc>
        <w:tc>
          <w:tcPr>
            <w:tcW w:w="854" w:type="dxa"/>
            <w:tcBorders>
              <w:top w:val="nil"/>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3.5</w:t>
            </w:r>
          </w:p>
        </w:tc>
        <w:tc>
          <w:tcPr>
            <w:tcW w:w="853" w:type="dxa"/>
            <w:tcBorders>
              <w:top w:val="nil"/>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w:t>
            </w:r>
          </w:p>
        </w:tc>
        <w:tc>
          <w:tcPr>
            <w:tcW w:w="853" w:type="dxa"/>
            <w:tcBorders>
              <w:top w:val="nil"/>
              <w:left w:val="nil"/>
              <w:bottom w:val="nil"/>
              <w:right w:val="nil"/>
            </w:tcBorders>
          </w:tcPr>
          <w:p w:rsidR="00E25CC6" w:rsidRPr="00046AA9" w:rsidRDefault="00E25CC6" w:rsidP="00046AA9">
            <w:pPr>
              <w:pStyle w:val="TableofFigures"/>
              <w:rPr>
                <w:rFonts w:eastAsiaTheme="minorEastAsia"/>
                <w:sz w:val="19"/>
                <w:lang w:eastAsia="en-AU"/>
              </w:rPr>
            </w:pPr>
            <w:r w:rsidRPr="00046AA9">
              <w:rPr>
                <w:rFonts w:eastAsiaTheme="minorEastAsia"/>
                <w:sz w:val="19"/>
                <w:lang w:eastAsia="en-AU"/>
              </w:rPr>
              <w:t>..</w:t>
            </w:r>
          </w:p>
        </w:tc>
        <w:tc>
          <w:tcPr>
            <w:tcW w:w="854" w:type="dxa"/>
            <w:tcBorders>
              <w:top w:val="nil"/>
              <w:left w:val="nil"/>
              <w:bottom w:val="nil"/>
              <w:right w:val="nil"/>
            </w:tcBorders>
          </w:tcPr>
          <w:p w:rsidR="00E25CC6" w:rsidRPr="00046AA9" w:rsidRDefault="00E25CC6" w:rsidP="00046AA9">
            <w:pPr>
              <w:autoSpaceDE w:val="0"/>
              <w:autoSpaceDN w:val="0"/>
              <w:adjustRightInd w:val="0"/>
              <w:spacing w:after="0"/>
              <w:jc w:val="right"/>
              <w:rPr>
                <w:rFonts w:ascii="Calibri" w:eastAsiaTheme="minorEastAsia" w:hAnsi="Calibri" w:cs="Calibri"/>
                <w:sz w:val="19"/>
                <w:lang w:eastAsia="en-AU"/>
              </w:rPr>
            </w:pPr>
            <w:r w:rsidRPr="00046AA9">
              <w:rPr>
                <w:rFonts w:ascii="Calibri" w:eastAsiaTheme="minorEastAsia" w:hAnsi="Calibri" w:cs="Calibri"/>
                <w:sz w:val="19"/>
                <w:lang w:eastAsia="en-AU"/>
              </w:rPr>
              <w:t>7.3</w:t>
            </w:r>
          </w:p>
        </w:tc>
      </w:tr>
      <w:tr w:rsidR="00E25CC6" w:rsidRPr="00046AA9" w:rsidTr="00046AA9">
        <w:tc>
          <w:tcPr>
            <w:tcW w:w="2656"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text"/>
              <w:rPr>
                <w:rFonts w:eastAsiaTheme="minorEastAsia"/>
                <w:b/>
                <w:bCs/>
                <w:vertAlign w:val="superscript"/>
                <w:lang w:eastAsia="en-AU"/>
              </w:rPr>
            </w:pPr>
            <w:r w:rsidRPr="00046AA9">
              <w:rPr>
                <w:rFonts w:eastAsiaTheme="minorEastAsia"/>
                <w:b/>
                <w:bCs/>
                <w:lang w:eastAsia="en-AU"/>
              </w:rPr>
              <w:t xml:space="preserve">Total asset initiatives </w:t>
            </w:r>
            <w:r w:rsidRPr="00046AA9">
              <w:rPr>
                <w:rFonts w:eastAsiaTheme="minorEastAsia"/>
                <w:b/>
                <w:bCs/>
                <w:vertAlign w:val="superscript"/>
                <w:lang w:eastAsia="en-AU"/>
              </w:rPr>
              <w:t>(a)</w:t>
            </w:r>
          </w:p>
        </w:tc>
        <w:tc>
          <w:tcPr>
            <w:tcW w:w="853"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w:t>
            </w:r>
          </w:p>
        </w:tc>
        <w:tc>
          <w:tcPr>
            <w:tcW w:w="853"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3.7</w:t>
            </w:r>
          </w:p>
        </w:tc>
        <w:tc>
          <w:tcPr>
            <w:tcW w:w="854"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3.5</w:t>
            </w:r>
          </w:p>
        </w:tc>
        <w:tc>
          <w:tcPr>
            <w:tcW w:w="853"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w:t>
            </w:r>
          </w:p>
        </w:tc>
        <w:tc>
          <w:tcPr>
            <w:tcW w:w="853" w:type="dxa"/>
            <w:tcBorders>
              <w:top w:val="single" w:sz="6" w:space="0" w:color="auto"/>
              <w:left w:val="nil"/>
              <w:bottom w:val="single" w:sz="12" w:space="0" w:color="auto"/>
              <w:right w:val="nil"/>
            </w:tcBorders>
            <w:shd w:val="solid" w:color="FFFFFF" w:fill="auto"/>
          </w:tcPr>
          <w:p w:rsidR="00E25CC6" w:rsidRPr="00046AA9" w:rsidRDefault="00E25CC6" w:rsidP="00046AA9">
            <w:pPr>
              <w:pStyle w:val="TableofFigures"/>
              <w:rPr>
                <w:rFonts w:eastAsiaTheme="minorEastAsia"/>
                <w:b/>
                <w:bCs/>
                <w:sz w:val="19"/>
                <w:lang w:eastAsia="en-AU"/>
              </w:rPr>
            </w:pPr>
            <w:r w:rsidRPr="00046AA9">
              <w:rPr>
                <w:rFonts w:eastAsiaTheme="minorEastAsia"/>
                <w:b/>
                <w:bCs/>
                <w:sz w:val="19"/>
                <w:lang w:eastAsia="en-AU"/>
              </w:rPr>
              <w:t>..</w:t>
            </w:r>
          </w:p>
        </w:tc>
        <w:tc>
          <w:tcPr>
            <w:tcW w:w="854" w:type="dxa"/>
            <w:tcBorders>
              <w:top w:val="single" w:sz="6" w:space="0" w:color="auto"/>
              <w:left w:val="nil"/>
              <w:bottom w:val="single" w:sz="12" w:space="0" w:color="auto"/>
              <w:right w:val="nil"/>
            </w:tcBorders>
            <w:shd w:val="solid" w:color="FFFFFF" w:fill="auto"/>
          </w:tcPr>
          <w:p w:rsidR="00E25CC6" w:rsidRPr="00046AA9" w:rsidRDefault="00E25CC6" w:rsidP="00046AA9">
            <w:pPr>
              <w:autoSpaceDE w:val="0"/>
              <w:autoSpaceDN w:val="0"/>
              <w:adjustRightInd w:val="0"/>
              <w:spacing w:after="0"/>
              <w:jc w:val="right"/>
              <w:rPr>
                <w:rFonts w:ascii="Calibri" w:eastAsiaTheme="minorEastAsia" w:hAnsi="Calibri" w:cs="Calibri"/>
                <w:b/>
                <w:bCs/>
                <w:sz w:val="19"/>
                <w:lang w:eastAsia="en-AU"/>
              </w:rPr>
            </w:pPr>
            <w:r w:rsidRPr="00046AA9">
              <w:rPr>
                <w:rFonts w:ascii="Calibri" w:eastAsiaTheme="minorEastAsia" w:hAnsi="Calibri" w:cs="Calibri"/>
                <w:b/>
                <w:bCs/>
                <w:sz w:val="19"/>
                <w:lang w:eastAsia="en-AU"/>
              </w:rPr>
              <w:t>7.3</w:t>
            </w:r>
          </w:p>
        </w:tc>
      </w:tr>
    </w:tbl>
    <w:p w:rsidR="00E25CC6" w:rsidRDefault="00E25CC6" w:rsidP="00D94ED5">
      <w:pPr>
        <w:pStyle w:val="Source"/>
      </w:pPr>
      <w:r>
        <w:t xml:space="preserve">Source: Department of Treasury and Finance </w:t>
      </w:r>
      <w:r>
        <w:fldChar w:fldCharType="begin"/>
      </w:r>
      <w:r>
        <w:instrText xml:space="preserve"> XE "</w:instrText>
      </w:r>
      <w:r w:rsidRPr="00591EF8">
        <w:instrText>Courts:Asset initiatives</w:instrText>
      </w:r>
      <w:r>
        <w:instrText xml:space="preserve">" </w:instrText>
      </w:r>
      <w:r>
        <w:fldChar w:fldCharType="end"/>
      </w:r>
    </w:p>
    <w:p w:rsidR="00E25CC6" w:rsidRDefault="00E25CC6" w:rsidP="00566998">
      <w:pPr>
        <w:pStyle w:val="Notes"/>
      </w:pPr>
      <w:r>
        <w:t xml:space="preserve">Note: </w:t>
      </w:r>
    </w:p>
    <w:p w:rsidR="00E25CC6" w:rsidRPr="00CD63A7" w:rsidRDefault="00E25CC6" w:rsidP="00566998">
      <w:pPr>
        <w:pStyle w:val="Notes"/>
      </w:pPr>
      <w:r>
        <w:t>(a)</w:t>
      </w:r>
      <w:r>
        <w:tab/>
        <w:t>Tables may not add due to rounding.</w:t>
      </w:r>
    </w:p>
    <w:p w:rsidR="00E25CC6" w:rsidRDefault="00E25CC6" w:rsidP="003F5519">
      <w:pPr>
        <w:pStyle w:val="Source"/>
      </w:pPr>
    </w:p>
    <w:p w:rsidR="00E25CC6" w:rsidRPr="000E4BF7" w:rsidRDefault="00E25CC6" w:rsidP="00BD5F81">
      <w:pPr>
        <w:pStyle w:val="Heading4"/>
      </w:pPr>
      <w:r w:rsidRPr="008704FC">
        <w:t>Courts</w:t>
      </w:r>
    </w:p>
    <w:p w:rsidR="00E25CC6" w:rsidRPr="008704FC" w:rsidRDefault="00E25CC6" w:rsidP="008704FC">
      <w:pPr>
        <w:pStyle w:val="Heading5"/>
        <w:rPr>
          <w:lang w:eastAsia="en-AU"/>
        </w:rPr>
      </w:pPr>
      <w:r w:rsidRPr="008704FC">
        <w:rPr>
          <w:lang w:eastAsia="en-AU"/>
        </w:rPr>
        <w:t xml:space="preserve">Court </w:t>
      </w:r>
      <w:r>
        <w:rPr>
          <w:lang w:eastAsia="en-AU"/>
        </w:rPr>
        <w:t>s</w:t>
      </w:r>
      <w:r w:rsidRPr="008704FC">
        <w:rPr>
          <w:lang w:eastAsia="en-AU"/>
        </w:rPr>
        <w:t xml:space="preserve">afety and </w:t>
      </w:r>
      <w:r>
        <w:rPr>
          <w:lang w:eastAsia="en-AU"/>
        </w:rPr>
        <w:t>s</w:t>
      </w:r>
      <w:r w:rsidRPr="008704FC">
        <w:rPr>
          <w:lang w:eastAsia="en-AU"/>
        </w:rPr>
        <w:t>ecurity</w:t>
      </w:r>
      <w:r>
        <w:rPr>
          <w:lang w:eastAsia="en-AU"/>
        </w:rPr>
        <w:t xml:space="preserve"> </w:t>
      </w:r>
    </w:p>
    <w:p w:rsidR="00E25CC6" w:rsidRDefault="00E25CC6" w:rsidP="00227F18">
      <w:pPr>
        <w:rPr>
          <w:lang w:eastAsia="en-AU"/>
        </w:rPr>
      </w:pPr>
      <w:r>
        <w:rPr>
          <w:lang w:eastAsia="en-AU"/>
        </w:rPr>
        <w:t>The Government will deliver court safety and security improvements for those who attend and work at Victorian Courts and Tribunals. This will include 16 priority court upgrades, including separate waiting areas for victims and perpetrators, improvements to registry counters and secure screening, interview rooms and entrance modifications. The Government will expand the court security officer model to increase court security officer presence to 40 courts which currently have no formal security support and ensure that there is a security presence available at all Victorian Court and Tribunal sittings.</w:t>
      </w:r>
    </w:p>
    <w:p w:rsidR="00E25CC6" w:rsidRDefault="00E25CC6" w:rsidP="008704FC">
      <w:r w:rsidRPr="008704FC">
        <w:rPr>
          <w:lang w:eastAsia="en-AU"/>
        </w:rPr>
        <w:t>This initiative contributes to the Courts output.</w:t>
      </w:r>
    </w:p>
    <w:p w:rsidR="00E25CC6" w:rsidRDefault="00E25CC6">
      <w:pPr>
        <w:spacing w:after="0"/>
        <w:rPr>
          <w:rFonts w:ascii="Calibri" w:hAnsi="Calibri"/>
          <w:b/>
          <w:caps/>
          <w:sz w:val="26"/>
          <w:szCs w:val="22"/>
        </w:rPr>
      </w:pPr>
      <w:r>
        <w:br w:type="page"/>
      </w:r>
    </w:p>
    <w:p w:rsidR="00E25CC6" w:rsidRPr="00F16216" w:rsidRDefault="00E25CC6" w:rsidP="00F16216">
      <w:pPr>
        <w:pStyle w:val="Heading1"/>
      </w:pPr>
      <w:bookmarkStart w:id="52" w:name="_Toc449109435"/>
      <w:r w:rsidRPr="00F16216">
        <w:t>Revenue Initiatives</w:t>
      </w:r>
      <w:bookmarkEnd w:id="52"/>
    </w:p>
    <w:p w:rsidR="00E25CC6" w:rsidRDefault="00E25CC6" w:rsidP="00C63E94">
      <w:pPr>
        <w:pStyle w:val="Tableheading"/>
      </w:pPr>
      <w:r>
        <w:t>Table 1.30:</w:t>
      </w:r>
      <w:r>
        <w:tab/>
        <w:t xml:space="preserve">Revenue initiatives </w:t>
      </w:r>
    </w:p>
    <w:p w:rsidR="00E25CC6" w:rsidRDefault="00E25CC6" w:rsidP="009B0368">
      <w:pPr>
        <w:pStyle w:val="million"/>
        <w:rPr>
          <w:rFonts w:ascii="Times New Roman" w:hAnsi="Times New Roman"/>
          <w:sz w:val="20"/>
          <w:lang w:eastAsia="en-AU"/>
        </w:rPr>
      </w:pPr>
      <w:r>
        <w:t>($ million)</w:t>
      </w:r>
    </w:p>
    <w:tbl>
      <w:tblPr>
        <w:tblW w:w="7776" w:type="dxa"/>
        <w:tblInd w:w="29" w:type="dxa"/>
        <w:tblLayout w:type="fixed"/>
        <w:tblCellMar>
          <w:left w:w="43" w:type="dxa"/>
          <w:right w:w="43" w:type="dxa"/>
        </w:tblCellMar>
        <w:tblLook w:val="0000" w:firstRow="0" w:lastRow="0" w:firstColumn="0" w:lastColumn="0" w:noHBand="0" w:noVBand="0"/>
      </w:tblPr>
      <w:tblGrid>
        <w:gridCol w:w="3454"/>
        <w:gridCol w:w="864"/>
        <w:gridCol w:w="864"/>
        <w:gridCol w:w="865"/>
        <w:gridCol w:w="864"/>
        <w:gridCol w:w="865"/>
      </w:tblGrid>
      <w:tr w:rsidR="00E25CC6" w:rsidRPr="009B0368" w:rsidTr="009B0368">
        <w:trPr>
          <w:cantSplit/>
        </w:trPr>
        <w:tc>
          <w:tcPr>
            <w:tcW w:w="3454" w:type="dxa"/>
            <w:tcBorders>
              <w:top w:val="single" w:sz="4" w:space="0" w:color="auto"/>
              <w:left w:val="single" w:sz="4" w:space="0" w:color="auto"/>
              <w:bottom w:val="single" w:sz="4" w:space="0" w:color="auto"/>
              <w:right w:val="nil"/>
            </w:tcBorders>
            <w:shd w:val="clear" w:color="auto" w:fill="000000"/>
          </w:tcPr>
          <w:p w:rsidR="00E25CC6" w:rsidRPr="009B0368" w:rsidRDefault="00E25CC6" w:rsidP="009B0368">
            <w:pPr>
              <w:pStyle w:val="Tabletext"/>
              <w:rPr>
                <w:rFonts w:eastAsiaTheme="minorEastAsia"/>
                <w:lang w:eastAsia="en-AU"/>
              </w:rPr>
            </w:pPr>
          </w:p>
        </w:tc>
        <w:tc>
          <w:tcPr>
            <w:tcW w:w="864"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2015</w:t>
            </w:r>
            <w:r>
              <w:rPr>
                <w:rFonts w:eastAsiaTheme="minorEastAsia"/>
                <w:lang w:eastAsia="en-AU"/>
              </w:rPr>
              <w:noBreakHyphen/>
            </w:r>
            <w:r w:rsidRPr="009B0368">
              <w:rPr>
                <w:rFonts w:eastAsiaTheme="minorEastAsia"/>
                <w:lang w:eastAsia="en-AU"/>
              </w:rPr>
              <w:t>16</w:t>
            </w:r>
          </w:p>
        </w:tc>
        <w:tc>
          <w:tcPr>
            <w:tcW w:w="864"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2016</w:t>
            </w:r>
            <w:r>
              <w:rPr>
                <w:rFonts w:eastAsiaTheme="minorEastAsia"/>
                <w:lang w:eastAsia="en-AU"/>
              </w:rPr>
              <w:noBreakHyphen/>
            </w:r>
            <w:r w:rsidRPr="009B0368">
              <w:rPr>
                <w:rFonts w:eastAsiaTheme="minorEastAsia"/>
                <w:lang w:eastAsia="en-AU"/>
              </w:rPr>
              <w:t>17</w:t>
            </w:r>
          </w:p>
        </w:tc>
        <w:tc>
          <w:tcPr>
            <w:tcW w:w="865"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2017</w:t>
            </w:r>
            <w:r>
              <w:rPr>
                <w:rFonts w:eastAsiaTheme="minorEastAsia"/>
                <w:lang w:eastAsia="en-AU"/>
              </w:rPr>
              <w:noBreakHyphen/>
            </w:r>
            <w:r w:rsidRPr="009B0368">
              <w:rPr>
                <w:rFonts w:eastAsiaTheme="minorEastAsia"/>
                <w:lang w:eastAsia="en-AU"/>
              </w:rPr>
              <w:t>18</w:t>
            </w:r>
          </w:p>
        </w:tc>
        <w:tc>
          <w:tcPr>
            <w:tcW w:w="864" w:type="dxa"/>
            <w:tcBorders>
              <w:top w:val="single" w:sz="4" w:space="0" w:color="auto"/>
              <w:left w:val="nil"/>
              <w:bottom w:val="single" w:sz="4" w:space="0" w:color="auto"/>
              <w:right w:val="nil"/>
            </w:tcBorders>
            <w:shd w:val="clear" w:color="auto" w:fill="000000"/>
          </w:tcPr>
          <w:p w:rsidR="00E25CC6" w:rsidRPr="009B0368" w:rsidRDefault="00E25CC6" w:rsidP="009B0368">
            <w:pPr>
              <w:pStyle w:val="Tabletextheading"/>
              <w:rPr>
                <w:rFonts w:eastAsiaTheme="minorEastAsia"/>
                <w:lang w:eastAsia="en-AU"/>
              </w:rPr>
            </w:pPr>
            <w:r w:rsidRPr="009B0368">
              <w:rPr>
                <w:rFonts w:eastAsiaTheme="minorEastAsia"/>
                <w:lang w:eastAsia="en-AU"/>
              </w:rPr>
              <w:t>2018</w:t>
            </w:r>
            <w:r>
              <w:rPr>
                <w:rFonts w:eastAsiaTheme="minorEastAsia"/>
                <w:lang w:eastAsia="en-AU"/>
              </w:rPr>
              <w:noBreakHyphen/>
            </w:r>
            <w:r w:rsidRPr="009B0368">
              <w:rPr>
                <w:rFonts w:eastAsiaTheme="minorEastAsia"/>
                <w:lang w:eastAsia="en-AU"/>
              </w:rPr>
              <w:t>19</w:t>
            </w:r>
          </w:p>
        </w:tc>
        <w:tc>
          <w:tcPr>
            <w:tcW w:w="865" w:type="dxa"/>
            <w:tcBorders>
              <w:top w:val="single" w:sz="4" w:space="0" w:color="auto"/>
              <w:left w:val="nil"/>
              <w:bottom w:val="single" w:sz="4" w:space="0" w:color="auto"/>
              <w:right w:val="single" w:sz="4" w:space="0" w:color="auto"/>
            </w:tcBorders>
            <w:shd w:val="clear" w:color="auto" w:fill="000000"/>
          </w:tcPr>
          <w:p w:rsidR="00E25CC6" w:rsidRPr="009B0368" w:rsidRDefault="00E25CC6" w:rsidP="009B0368">
            <w:pPr>
              <w:pStyle w:val="Tabletextheading"/>
              <w:rPr>
                <w:rFonts w:eastAsiaTheme="minorEastAsia" w:cs="Calibri"/>
                <w:iCs/>
                <w:lang w:eastAsia="en-AU"/>
              </w:rPr>
            </w:pPr>
            <w:r w:rsidRPr="009B0368">
              <w:rPr>
                <w:rFonts w:eastAsiaTheme="minorEastAsia" w:cs="Calibri"/>
                <w:iCs/>
                <w:lang w:eastAsia="en-AU"/>
              </w:rPr>
              <w:t>2019</w:t>
            </w:r>
            <w:r>
              <w:rPr>
                <w:rFonts w:eastAsiaTheme="minorEastAsia" w:cs="Calibri"/>
                <w:iCs/>
                <w:lang w:eastAsia="en-AU"/>
              </w:rPr>
              <w:noBreakHyphen/>
            </w:r>
            <w:r w:rsidRPr="009B0368">
              <w:rPr>
                <w:rFonts w:eastAsiaTheme="minorEastAsia" w:cs="Calibri"/>
                <w:iCs/>
                <w:lang w:eastAsia="en-AU"/>
              </w:rPr>
              <w:t>20</w:t>
            </w:r>
          </w:p>
        </w:tc>
      </w:tr>
      <w:tr w:rsidR="00E25CC6" w:rsidRPr="009B0368" w:rsidTr="009B0368">
        <w:trPr>
          <w:cantSplit/>
        </w:trPr>
        <w:tc>
          <w:tcPr>
            <w:tcW w:w="3454" w:type="dxa"/>
            <w:tcBorders>
              <w:top w:val="single" w:sz="4" w:space="0" w:color="auto"/>
              <w:left w:val="nil"/>
              <w:bottom w:val="nil"/>
              <w:right w:val="nil"/>
            </w:tcBorders>
          </w:tcPr>
          <w:p w:rsidR="00E25CC6" w:rsidRPr="009B0368" w:rsidRDefault="00E25CC6" w:rsidP="009B0368">
            <w:pPr>
              <w:pStyle w:val="Tabletext"/>
              <w:rPr>
                <w:rFonts w:eastAsiaTheme="minorEastAsia"/>
                <w:lang w:eastAsia="en-AU"/>
              </w:rPr>
            </w:pPr>
            <w:r w:rsidRPr="009B0368">
              <w:rPr>
                <w:rFonts w:eastAsiaTheme="minorEastAsia"/>
                <w:lang w:eastAsia="en-AU"/>
              </w:rPr>
              <w:t>Absentee landowner surcharge</w:t>
            </w:r>
          </w:p>
        </w:tc>
        <w:tc>
          <w:tcPr>
            <w:tcW w:w="864"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64"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28.0</w:t>
            </w:r>
          </w:p>
        </w:tc>
        <w:tc>
          <w:tcPr>
            <w:tcW w:w="865"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26.0</w:t>
            </w:r>
          </w:p>
        </w:tc>
        <w:tc>
          <w:tcPr>
            <w:tcW w:w="864" w:type="dxa"/>
            <w:tcBorders>
              <w:top w:val="single" w:sz="4" w:space="0" w:color="auto"/>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30.0</w:t>
            </w:r>
          </w:p>
        </w:tc>
        <w:tc>
          <w:tcPr>
            <w:tcW w:w="865" w:type="dxa"/>
            <w:tcBorders>
              <w:top w:val="single" w:sz="4" w:space="0" w:color="auto"/>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20"/>
                <w:lang w:eastAsia="en-AU"/>
              </w:rPr>
              <w:t>28.0</w:t>
            </w:r>
          </w:p>
        </w:tc>
      </w:tr>
      <w:tr w:rsidR="00E25CC6" w:rsidRPr="009B0368" w:rsidTr="009B0368">
        <w:trPr>
          <w:cantSplit/>
        </w:trPr>
        <w:tc>
          <w:tcPr>
            <w:tcW w:w="3454" w:type="dxa"/>
            <w:tcBorders>
              <w:top w:val="nil"/>
              <w:left w:val="nil"/>
              <w:bottom w:val="nil"/>
              <w:right w:val="nil"/>
            </w:tcBorders>
            <w:shd w:val="solid" w:color="FFFFFF" w:fill="auto"/>
          </w:tcPr>
          <w:p w:rsidR="00E25CC6" w:rsidRPr="009B0368" w:rsidRDefault="00E25CC6" w:rsidP="009B0368">
            <w:pPr>
              <w:pStyle w:val="Tabletext"/>
              <w:rPr>
                <w:rFonts w:eastAsiaTheme="minorEastAsia"/>
                <w:lang w:eastAsia="en-AU"/>
              </w:rPr>
            </w:pPr>
            <w:r w:rsidRPr="009B0368">
              <w:rPr>
                <w:rFonts w:eastAsiaTheme="minorEastAsia"/>
                <w:lang w:eastAsia="en-AU"/>
              </w:rPr>
              <w:t>Brown coal royalty</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36.0</w:t>
            </w:r>
          </w:p>
        </w:tc>
        <w:tc>
          <w:tcPr>
            <w:tcW w:w="86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72.0</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72.0</w:t>
            </w:r>
          </w:p>
        </w:tc>
        <w:tc>
          <w:tcPr>
            <w:tcW w:w="865"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20"/>
                <w:lang w:eastAsia="en-AU"/>
              </w:rPr>
              <w:t>72.0</w:t>
            </w:r>
          </w:p>
        </w:tc>
      </w:tr>
      <w:tr w:rsidR="00E25CC6" w:rsidRPr="009B0368" w:rsidTr="009B0368">
        <w:trPr>
          <w:cantSplit/>
        </w:trPr>
        <w:tc>
          <w:tcPr>
            <w:tcW w:w="3454" w:type="dxa"/>
            <w:tcBorders>
              <w:top w:val="nil"/>
              <w:left w:val="nil"/>
              <w:bottom w:val="nil"/>
              <w:right w:val="nil"/>
            </w:tcBorders>
          </w:tcPr>
          <w:p w:rsidR="00E25CC6" w:rsidRPr="009B0368" w:rsidRDefault="00E25CC6" w:rsidP="009B0368">
            <w:pPr>
              <w:pStyle w:val="Tabletext"/>
              <w:rPr>
                <w:rFonts w:eastAsiaTheme="minorEastAsia"/>
                <w:lang w:eastAsia="en-AU"/>
              </w:rPr>
            </w:pPr>
            <w:r w:rsidRPr="009B0368">
              <w:rPr>
                <w:rFonts w:eastAsiaTheme="minorEastAsia"/>
                <w:lang w:eastAsia="en-AU"/>
              </w:rPr>
              <w:t>Land tax exemption for Primary Production Land in Urban Zone</w:t>
            </w:r>
          </w:p>
        </w:tc>
        <w:tc>
          <w:tcPr>
            <w:tcW w:w="864"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64" w:type="dxa"/>
            <w:tcBorders>
              <w:top w:val="nil"/>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(3.0)</w:t>
            </w:r>
          </w:p>
        </w:tc>
        <w:tc>
          <w:tcPr>
            <w:tcW w:w="865" w:type="dxa"/>
            <w:tcBorders>
              <w:top w:val="nil"/>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(3.0)</w:t>
            </w:r>
          </w:p>
        </w:tc>
        <w:tc>
          <w:tcPr>
            <w:tcW w:w="864" w:type="dxa"/>
            <w:tcBorders>
              <w:top w:val="nil"/>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(4.0)</w:t>
            </w:r>
          </w:p>
        </w:tc>
        <w:tc>
          <w:tcPr>
            <w:tcW w:w="865" w:type="dxa"/>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20"/>
                <w:lang w:eastAsia="en-AU"/>
              </w:rPr>
              <w:t>(4.0)</w:t>
            </w:r>
          </w:p>
        </w:tc>
      </w:tr>
      <w:tr w:rsidR="00E25CC6" w:rsidRPr="009B0368" w:rsidTr="009B0368">
        <w:trPr>
          <w:cantSplit/>
        </w:trPr>
        <w:tc>
          <w:tcPr>
            <w:tcW w:w="3454" w:type="dxa"/>
            <w:tcBorders>
              <w:top w:val="nil"/>
              <w:left w:val="nil"/>
              <w:bottom w:val="nil"/>
              <w:right w:val="nil"/>
            </w:tcBorders>
          </w:tcPr>
          <w:p w:rsidR="00E25CC6" w:rsidRPr="009B0368" w:rsidRDefault="00E25CC6" w:rsidP="009B0368">
            <w:pPr>
              <w:pStyle w:val="Tabletext"/>
              <w:rPr>
                <w:rFonts w:eastAsiaTheme="minorEastAsia"/>
                <w:lang w:eastAsia="en-AU"/>
              </w:rPr>
            </w:pPr>
            <w:r w:rsidRPr="009B0368">
              <w:rPr>
                <w:rFonts w:eastAsiaTheme="minorEastAsia"/>
                <w:lang w:eastAsia="en-AU"/>
              </w:rPr>
              <w:t>Land transfer duty surcharge on foreign buyers of residential property</w:t>
            </w:r>
          </w:p>
        </w:tc>
        <w:tc>
          <w:tcPr>
            <w:tcW w:w="864" w:type="dxa"/>
            <w:tcBorders>
              <w:top w:val="nil"/>
              <w:left w:val="nil"/>
              <w:bottom w:val="nil"/>
              <w:right w:val="nil"/>
            </w:tcBorders>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64" w:type="dxa"/>
            <w:tcBorders>
              <w:top w:val="nil"/>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53.0</w:t>
            </w:r>
          </w:p>
        </w:tc>
        <w:tc>
          <w:tcPr>
            <w:tcW w:w="865" w:type="dxa"/>
            <w:tcBorders>
              <w:top w:val="nil"/>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88.0</w:t>
            </w:r>
          </w:p>
        </w:tc>
        <w:tc>
          <w:tcPr>
            <w:tcW w:w="864" w:type="dxa"/>
            <w:tcBorders>
              <w:top w:val="nil"/>
              <w:left w:val="nil"/>
              <w:bottom w:val="nil"/>
              <w:right w:val="nil"/>
            </w:tcBorders>
          </w:tcPr>
          <w:p w:rsidR="00E25CC6" w:rsidRPr="009B0368" w:rsidRDefault="00E25CC6" w:rsidP="009B0368">
            <w:pPr>
              <w:pStyle w:val="TableofFigures"/>
              <w:rPr>
                <w:rFonts w:eastAsiaTheme="minorEastAsia"/>
                <w:lang w:eastAsia="en-AU"/>
              </w:rPr>
            </w:pPr>
            <w:r>
              <w:rPr>
                <w:rFonts w:eastAsiaTheme="minorEastAsia"/>
                <w:lang w:eastAsia="en-AU"/>
              </w:rPr>
              <w:t>107.0</w:t>
            </w:r>
          </w:p>
        </w:tc>
        <w:tc>
          <w:tcPr>
            <w:tcW w:w="865" w:type="dxa"/>
            <w:tcBorders>
              <w:top w:val="nil"/>
              <w:left w:val="nil"/>
              <w:bottom w:val="nil"/>
              <w:right w:val="nil"/>
            </w:tcBorders>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20"/>
                <w:lang w:eastAsia="en-AU"/>
              </w:rPr>
              <w:t>126.0</w:t>
            </w:r>
          </w:p>
        </w:tc>
      </w:tr>
      <w:tr w:rsidR="00E25CC6" w:rsidRPr="009B0368" w:rsidTr="009B0368">
        <w:trPr>
          <w:cantSplit/>
        </w:trPr>
        <w:tc>
          <w:tcPr>
            <w:tcW w:w="3454" w:type="dxa"/>
            <w:tcBorders>
              <w:top w:val="nil"/>
              <w:left w:val="nil"/>
              <w:bottom w:val="nil"/>
              <w:right w:val="nil"/>
            </w:tcBorders>
            <w:shd w:val="solid" w:color="FFFFFF" w:fill="auto"/>
          </w:tcPr>
          <w:p w:rsidR="00E25CC6" w:rsidRPr="009B0368" w:rsidRDefault="00E25CC6" w:rsidP="009B0368">
            <w:pPr>
              <w:pStyle w:val="Tabletext"/>
              <w:rPr>
                <w:rFonts w:eastAsiaTheme="minorEastAsia"/>
                <w:lang w:eastAsia="en-AU"/>
              </w:rPr>
            </w:pPr>
            <w:r w:rsidRPr="009B0368">
              <w:rPr>
                <w:rFonts w:eastAsiaTheme="minorEastAsia"/>
                <w:lang w:eastAsia="en-AU"/>
              </w:rPr>
              <w:t>Payroll tax threshold increase</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(26.0)</w:t>
            </w:r>
          </w:p>
        </w:tc>
        <w:tc>
          <w:tcPr>
            <w:tcW w:w="86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(55.0)</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(86.0)</w:t>
            </w:r>
          </w:p>
        </w:tc>
        <w:tc>
          <w:tcPr>
            <w:tcW w:w="865"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20"/>
                <w:lang w:eastAsia="en-AU"/>
              </w:rPr>
              <w:t>(119.0)</w:t>
            </w:r>
          </w:p>
        </w:tc>
      </w:tr>
      <w:tr w:rsidR="00E25CC6" w:rsidRPr="009B0368" w:rsidTr="009B0368">
        <w:trPr>
          <w:cantSplit/>
        </w:trPr>
        <w:tc>
          <w:tcPr>
            <w:tcW w:w="3454" w:type="dxa"/>
            <w:tcBorders>
              <w:top w:val="nil"/>
              <w:left w:val="nil"/>
              <w:bottom w:val="nil"/>
              <w:right w:val="nil"/>
            </w:tcBorders>
            <w:shd w:val="solid" w:color="FFFFFF" w:fill="auto"/>
          </w:tcPr>
          <w:p w:rsidR="00E25CC6" w:rsidRPr="009B0368" w:rsidRDefault="00E25CC6" w:rsidP="009B0368">
            <w:pPr>
              <w:pStyle w:val="Tabletext"/>
              <w:rPr>
                <w:rFonts w:eastAsiaTheme="minorEastAsia"/>
                <w:lang w:eastAsia="en-AU"/>
              </w:rPr>
            </w:pPr>
            <w:r w:rsidRPr="009B0368">
              <w:rPr>
                <w:rFonts w:eastAsiaTheme="minorEastAsia"/>
                <w:lang w:eastAsia="en-AU"/>
              </w:rPr>
              <w:t>Payroll tax exemption</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(3.0)</w:t>
            </w:r>
          </w:p>
        </w:tc>
        <w:tc>
          <w:tcPr>
            <w:tcW w:w="86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(6.0)</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(8.0)</w:t>
            </w:r>
          </w:p>
        </w:tc>
        <w:tc>
          <w:tcPr>
            <w:tcW w:w="865"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20"/>
                <w:lang w:eastAsia="en-AU"/>
              </w:rPr>
              <w:t>(9.0)</w:t>
            </w:r>
          </w:p>
        </w:tc>
      </w:tr>
      <w:tr w:rsidR="00E25CC6" w:rsidRPr="009B0368" w:rsidTr="009B0368">
        <w:trPr>
          <w:cantSplit/>
        </w:trPr>
        <w:tc>
          <w:tcPr>
            <w:tcW w:w="3454" w:type="dxa"/>
            <w:tcBorders>
              <w:top w:val="nil"/>
              <w:left w:val="nil"/>
              <w:bottom w:val="nil"/>
              <w:right w:val="nil"/>
            </w:tcBorders>
            <w:shd w:val="solid" w:color="FFFFFF" w:fill="auto"/>
          </w:tcPr>
          <w:p w:rsidR="00E25CC6" w:rsidRPr="009B0368" w:rsidRDefault="00E25CC6" w:rsidP="009B0368">
            <w:pPr>
              <w:pStyle w:val="Tabletext"/>
              <w:rPr>
                <w:rFonts w:eastAsiaTheme="minorEastAsia"/>
                <w:lang w:eastAsia="en-AU"/>
              </w:rPr>
            </w:pPr>
            <w:r w:rsidRPr="009B0368">
              <w:rPr>
                <w:rFonts w:eastAsiaTheme="minorEastAsia"/>
                <w:lang w:eastAsia="en-AU"/>
              </w:rPr>
              <w:t>State Revenue Office Land Tax Compliance Program</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sidRPr="009B0368">
              <w:rPr>
                <w:rFonts w:eastAsiaTheme="minorEastAsia"/>
                <w:lang w:eastAsia="en-AU"/>
              </w:rPr>
              <w:t>..</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45.1</w:t>
            </w:r>
          </w:p>
        </w:tc>
        <w:tc>
          <w:tcPr>
            <w:tcW w:w="865"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52.7</w:t>
            </w:r>
          </w:p>
        </w:tc>
        <w:tc>
          <w:tcPr>
            <w:tcW w:w="864" w:type="dxa"/>
            <w:tcBorders>
              <w:top w:val="nil"/>
              <w:left w:val="nil"/>
              <w:bottom w:val="nil"/>
              <w:right w:val="nil"/>
            </w:tcBorders>
            <w:shd w:val="solid" w:color="FFFFFF" w:fill="auto"/>
          </w:tcPr>
          <w:p w:rsidR="00E25CC6" w:rsidRPr="009B0368" w:rsidRDefault="00E25CC6" w:rsidP="009B0368">
            <w:pPr>
              <w:pStyle w:val="TableofFigures"/>
              <w:rPr>
                <w:rFonts w:eastAsiaTheme="minorEastAsia"/>
                <w:lang w:eastAsia="en-AU"/>
              </w:rPr>
            </w:pPr>
            <w:r>
              <w:rPr>
                <w:rFonts w:eastAsiaTheme="minorEastAsia"/>
                <w:lang w:eastAsia="en-AU"/>
              </w:rPr>
              <w:t>55.4</w:t>
            </w:r>
          </w:p>
        </w:tc>
        <w:tc>
          <w:tcPr>
            <w:tcW w:w="865" w:type="dxa"/>
            <w:tcBorders>
              <w:top w:val="nil"/>
              <w:left w:val="nil"/>
              <w:bottom w:val="nil"/>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color w:val="000000"/>
                <w:sz w:val="20"/>
                <w:lang w:eastAsia="en-AU"/>
              </w:rPr>
            </w:pPr>
            <w:r>
              <w:rPr>
                <w:rFonts w:ascii="Calibri" w:eastAsiaTheme="minorEastAsia" w:hAnsi="Calibri" w:cs="Calibri"/>
                <w:color w:val="000000"/>
                <w:sz w:val="20"/>
                <w:lang w:eastAsia="en-AU"/>
              </w:rPr>
              <w:t>55.4</w:t>
            </w:r>
          </w:p>
        </w:tc>
      </w:tr>
      <w:tr w:rsidR="00E25CC6" w:rsidRPr="009B0368" w:rsidTr="009B0368">
        <w:trPr>
          <w:cantSplit/>
        </w:trPr>
        <w:tc>
          <w:tcPr>
            <w:tcW w:w="3454"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text"/>
              <w:rPr>
                <w:rFonts w:eastAsiaTheme="minorEastAsia"/>
                <w:b/>
                <w:bCs/>
                <w:vertAlign w:val="superscript"/>
                <w:lang w:eastAsia="en-AU"/>
              </w:rPr>
            </w:pPr>
            <w:r w:rsidRPr="009B0368">
              <w:rPr>
                <w:rFonts w:eastAsiaTheme="minorEastAsia"/>
                <w:b/>
                <w:bCs/>
                <w:lang w:eastAsia="en-AU"/>
              </w:rPr>
              <w:t xml:space="preserve">Total revenue initiatives </w:t>
            </w:r>
            <w:r w:rsidRPr="009B0368">
              <w:rPr>
                <w:rFonts w:eastAsiaTheme="minorEastAsia"/>
                <w:b/>
                <w:bCs/>
                <w:vertAlign w:val="superscript"/>
                <w:lang w:eastAsia="en-AU"/>
              </w:rPr>
              <w:t>(a)</w:t>
            </w:r>
          </w:p>
        </w:tc>
        <w:tc>
          <w:tcPr>
            <w:tcW w:w="864"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sidRPr="009B0368">
              <w:rPr>
                <w:rFonts w:eastAsiaTheme="minorEastAsia"/>
                <w:b/>
                <w:bCs/>
                <w:lang w:eastAsia="en-AU"/>
              </w:rPr>
              <w:t>..</w:t>
            </w:r>
          </w:p>
        </w:tc>
        <w:tc>
          <w:tcPr>
            <w:tcW w:w="864"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Pr>
                <w:rFonts w:eastAsiaTheme="minorEastAsia"/>
                <w:b/>
                <w:bCs/>
                <w:lang w:eastAsia="en-AU"/>
              </w:rPr>
              <w:t>130.1</w:t>
            </w:r>
          </w:p>
        </w:tc>
        <w:tc>
          <w:tcPr>
            <w:tcW w:w="865"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Pr>
                <w:rFonts w:eastAsiaTheme="minorEastAsia"/>
                <w:b/>
                <w:bCs/>
                <w:lang w:eastAsia="en-AU"/>
              </w:rPr>
              <w:t>174.7</w:t>
            </w:r>
          </w:p>
        </w:tc>
        <w:tc>
          <w:tcPr>
            <w:tcW w:w="864" w:type="dxa"/>
            <w:tcBorders>
              <w:top w:val="single" w:sz="6" w:space="0" w:color="auto"/>
              <w:left w:val="nil"/>
              <w:bottom w:val="single" w:sz="12" w:space="0" w:color="auto"/>
              <w:right w:val="nil"/>
            </w:tcBorders>
            <w:shd w:val="solid" w:color="FFFFFF" w:fill="auto"/>
          </w:tcPr>
          <w:p w:rsidR="00E25CC6" w:rsidRPr="009B0368" w:rsidRDefault="00E25CC6" w:rsidP="009B0368">
            <w:pPr>
              <w:pStyle w:val="TableofFigures"/>
              <w:rPr>
                <w:rFonts w:eastAsiaTheme="minorEastAsia"/>
                <w:b/>
                <w:bCs/>
                <w:lang w:eastAsia="en-AU"/>
              </w:rPr>
            </w:pPr>
            <w:r>
              <w:rPr>
                <w:rFonts w:eastAsiaTheme="minorEastAsia"/>
                <w:b/>
                <w:bCs/>
                <w:lang w:eastAsia="en-AU"/>
              </w:rPr>
              <w:t>166.4</w:t>
            </w:r>
          </w:p>
        </w:tc>
        <w:tc>
          <w:tcPr>
            <w:tcW w:w="865" w:type="dxa"/>
            <w:tcBorders>
              <w:top w:val="single" w:sz="6" w:space="0" w:color="auto"/>
              <w:left w:val="nil"/>
              <w:bottom w:val="single" w:sz="12" w:space="0" w:color="auto"/>
              <w:right w:val="nil"/>
            </w:tcBorders>
            <w:shd w:val="solid" w:color="FFFFFF" w:fill="auto"/>
          </w:tcPr>
          <w:p w:rsidR="00E25CC6" w:rsidRPr="009B0368" w:rsidRDefault="00E25CC6" w:rsidP="009B0368">
            <w:pPr>
              <w:autoSpaceDE w:val="0"/>
              <w:autoSpaceDN w:val="0"/>
              <w:adjustRightInd w:val="0"/>
              <w:spacing w:after="0"/>
              <w:jc w:val="right"/>
              <w:rPr>
                <w:rFonts w:ascii="Calibri" w:eastAsiaTheme="minorEastAsia" w:hAnsi="Calibri" w:cs="Calibri"/>
                <w:b/>
                <w:bCs/>
                <w:color w:val="000000"/>
                <w:sz w:val="20"/>
                <w:lang w:eastAsia="en-AU"/>
              </w:rPr>
            </w:pPr>
            <w:r>
              <w:rPr>
                <w:rFonts w:ascii="Calibri" w:eastAsiaTheme="minorEastAsia" w:hAnsi="Calibri" w:cs="Calibri"/>
                <w:b/>
                <w:bCs/>
                <w:color w:val="000000"/>
                <w:sz w:val="20"/>
                <w:lang w:eastAsia="en-AU"/>
              </w:rPr>
              <w:t>149.4</w:t>
            </w:r>
          </w:p>
        </w:tc>
      </w:tr>
    </w:tbl>
    <w:p w:rsidR="00E25CC6" w:rsidRDefault="00E25CC6" w:rsidP="00DA2124">
      <w:pPr>
        <w:pStyle w:val="Source"/>
      </w:pPr>
      <w:r>
        <w:t xml:space="preserve">Source: Department of Treasury and Finance </w:t>
      </w:r>
    </w:p>
    <w:p w:rsidR="00E25CC6" w:rsidRDefault="00E25CC6" w:rsidP="00DA2124">
      <w:pPr>
        <w:pStyle w:val="Notes"/>
      </w:pPr>
      <w:r>
        <w:t xml:space="preserve">Note: </w:t>
      </w:r>
    </w:p>
    <w:p w:rsidR="00E25CC6" w:rsidRPr="00CD63A7" w:rsidRDefault="00E25CC6" w:rsidP="00DA2124">
      <w:pPr>
        <w:pStyle w:val="Notes"/>
      </w:pPr>
      <w:r>
        <w:t>(a)</w:t>
      </w:r>
      <w:r>
        <w:tab/>
        <w:t>Tables may not add due to rounding.</w:t>
      </w:r>
    </w:p>
    <w:p w:rsidR="00E25CC6" w:rsidRPr="00CD63A7" w:rsidRDefault="00E25CC6" w:rsidP="003F5519">
      <w:pPr>
        <w:pStyle w:val="Source"/>
      </w:pPr>
    </w:p>
    <w:p w:rsidR="00E25CC6" w:rsidRPr="0062053D" w:rsidRDefault="00E25CC6" w:rsidP="0062053D">
      <w:pPr>
        <w:pStyle w:val="Heading5"/>
      </w:pPr>
      <w:r w:rsidRPr="0062053D">
        <w:t xml:space="preserve">Absentee landowner surcharge </w:t>
      </w:r>
    </w:p>
    <w:p w:rsidR="00E25CC6" w:rsidRDefault="00E25CC6" w:rsidP="00A34AB0">
      <w:pPr>
        <w:rPr>
          <w:lang w:eastAsia="en-AU"/>
        </w:rPr>
      </w:pPr>
      <w:r>
        <w:rPr>
          <w:lang w:eastAsia="en-AU"/>
        </w:rPr>
        <w:t>A landowner who does not ordinarily reside in Australia is liable for an absentee landowner surcharge in addition to any other land tax payable. The absentee landowner surcharge will be increased from 0.5 per cent to 1.5 per cent from the 2017 land tax year.</w:t>
      </w:r>
      <w:r>
        <w:rPr>
          <w:lang w:eastAsia="en-AU"/>
        </w:rPr>
        <w:fldChar w:fldCharType="begin"/>
      </w:r>
      <w:r>
        <w:instrText xml:space="preserve"> XE "</w:instrText>
      </w:r>
      <w:r w:rsidRPr="00684B88">
        <w:instrText>Revenue initiatives:Absentee landowner surcharge</w:instrText>
      </w:r>
      <w:r>
        <w:instrText xml:space="preserve">" </w:instrText>
      </w:r>
      <w:r>
        <w:rPr>
          <w:lang w:eastAsia="en-AU"/>
        </w:rPr>
        <w:fldChar w:fldCharType="end"/>
      </w:r>
    </w:p>
    <w:p w:rsidR="00E25CC6" w:rsidRPr="0062053D" w:rsidRDefault="00E25CC6" w:rsidP="0062053D">
      <w:pPr>
        <w:pStyle w:val="Heading5"/>
      </w:pPr>
      <w:r w:rsidRPr="0062053D">
        <w:t xml:space="preserve">Brown coal royalty </w:t>
      </w:r>
    </w:p>
    <w:p w:rsidR="00E25CC6" w:rsidRDefault="00E25CC6" w:rsidP="00A34AB0">
      <w:pPr>
        <w:rPr>
          <w:lang w:eastAsia="en-AU"/>
        </w:rPr>
      </w:pPr>
      <w:r>
        <w:rPr>
          <w:lang w:eastAsia="en-AU"/>
        </w:rPr>
        <w:t>The brown coal royalty is levied on production from the four brown coal mines in Victoria. From 1 January 2017, the lignite (brown coal) royalty rate will be increased 3</w:t>
      </w:r>
      <w:r>
        <w:rPr>
          <w:lang w:eastAsia="en-AU"/>
        </w:rPr>
        <w:noBreakHyphen/>
        <w:t>fold. The new brown coal royalty rate will support the transition to cleaner energy sources and ensure that the State receives a fair value for its endowment of natural resources. .</w:t>
      </w:r>
      <w:r>
        <w:rPr>
          <w:lang w:eastAsia="en-AU"/>
        </w:rPr>
        <w:fldChar w:fldCharType="begin"/>
      </w:r>
      <w:r>
        <w:instrText xml:space="preserve"> XE "</w:instrText>
      </w:r>
      <w:r w:rsidRPr="00684B88">
        <w:instrText>Revenue initiatives:</w:instrText>
      </w:r>
      <w:r>
        <w:instrText xml:space="preserve">Brown coal royalty" </w:instrText>
      </w:r>
      <w:r>
        <w:rPr>
          <w:lang w:eastAsia="en-AU"/>
        </w:rPr>
        <w:fldChar w:fldCharType="end"/>
      </w:r>
    </w:p>
    <w:p w:rsidR="00E25CC6" w:rsidRDefault="00E25CC6" w:rsidP="00BB1FDC">
      <w:pPr>
        <w:pStyle w:val="Heading5"/>
        <w:rPr>
          <w:lang w:eastAsia="en-AU"/>
        </w:rPr>
      </w:pPr>
      <w:r>
        <w:rPr>
          <w:lang w:eastAsia="en-AU"/>
        </w:rPr>
        <w:t>Land tax exemption for Primary Production Land in Urban Zone</w:t>
      </w:r>
    </w:p>
    <w:p w:rsidR="00E25CC6" w:rsidRPr="0017685A" w:rsidRDefault="00E25CC6" w:rsidP="0017685A">
      <w:pPr>
        <w:rPr>
          <w:lang w:eastAsia="en-AU"/>
        </w:rPr>
      </w:pPr>
      <w:r>
        <w:rPr>
          <w:lang w:eastAsia="en-AU"/>
        </w:rPr>
        <w:t>To receive the land tax exemption within ‘urban zones’, certain ownership requirements must be fulfilled. The exemption for primary production land in an urban zone will be extended to land owned by certain family superannuation trusts. .</w:t>
      </w:r>
      <w:r>
        <w:rPr>
          <w:lang w:eastAsia="en-AU"/>
        </w:rPr>
        <w:fldChar w:fldCharType="begin"/>
      </w:r>
      <w:r>
        <w:instrText xml:space="preserve"> XE "</w:instrText>
      </w:r>
      <w:r w:rsidRPr="00684B88">
        <w:instrText>Revenue initiatives:</w:instrText>
      </w:r>
      <w:r>
        <w:instrText xml:space="preserve">Land tax" </w:instrText>
      </w:r>
      <w:r>
        <w:rPr>
          <w:lang w:eastAsia="en-AU"/>
        </w:rPr>
        <w:fldChar w:fldCharType="end"/>
      </w:r>
    </w:p>
    <w:p w:rsidR="00E25CC6" w:rsidRPr="0062053D" w:rsidRDefault="00E25CC6" w:rsidP="0062053D">
      <w:pPr>
        <w:pStyle w:val="Heading5"/>
      </w:pPr>
      <w:r w:rsidRPr="0062053D">
        <w:t xml:space="preserve">Land transfer duty surcharge on foreign buyers of residential property </w:t>
      </w:r>
    </w:p>
    <w:p w:rsidR="00E25CC6" w:rsidRDefault="00E25CC6" w:rsidP="000D7BE6">
      <w:pPr>
        <w:rPr>
          <w:rFonts w:cs="Garamond"/>
        </w:rPr>
      </w:pPr>
      <w:r>
        <w:rPr>
          <w:rFonts w:cs="Garamond"/>
        </w:rPr>
        <w:t xml:space="preserve">The land transfer duty surcharge on foreign buyers of residential property will be increased from 3 per cent to 7 per cent on the greater of the purchase price or the market value of the property, in addition to any other stamp duty payable. The surcharge will apply to contracts entered into on or after 1 July 2016 and will be payable at settlement. </w:t>
      </w:r>
    </w:p>
    <w:p w:rsidR="00E25CC6" w:rsidRDefault="00E25CC6">
      <w:pPr>
        <w:spacing w:after="0"/>
        <w:rPr>
          <w:rFonts w:ascii="Calibri" w:hAnsi="Calibri"/>
          <w:b/>
        </w:rPr>
      </w:pPr>
      <w:r>
        <w:br w:type="page"/>
      </w:r>
    </w:p>
    <w:p w:rsidR="00E25CC6" w:rsidRPr="0062053D" w:rsidRDefault="00E25CC6" w:rsidP="0062053D">
      <w:pPr>
        <w:pStyle w:val="Heading5"/>
      </w:pPr>
      <w:r w:rsidRPr="0062053D">
        <w:t>Payroll tax threshold increase</w:t>
      </w:r>
    </w:p>
    <w:p w:rsidR="00E25CC6" w:rsidRDefault="00E25CC6" w:rsidP="00434834">
      <w:r w:rsidRPr="000D7BE6">
        <w:t>The payroll tax tax</w:t>
      </w:r>
      <w:r>
        <w:noBreakHyphen/>
      </w:r>
      <w:r w:rsidRPr="000D7BE6">
        <w:t xml:space="preserve">free threshold will be increased </w:t>
      </w:r>
      <w:r>
        <w:t xml:space="preserve">over four years, commencing 1 July 2016. </w:t>
      </w:r>
      <w:r w:rsidRPr="000D7BE6">
        <w:t xml:space="preserve">The increase will be phased in as follows: </w:t>
      </w:r>
      <w:r>
        <w:rPr>
          <w:lang w:eastAsia="en-AU"/>
        </w:rPr>
        <w:t>.</w:t>
      </w:r>
      <w:r>
        <w:rPr>
          <w:lang w:eastAsia="en-AU"/>
        </w:rPr>
        <w:fldChar w:fldCharType="begin"/>
      </w:r>
      <w:r>
        <w:instrText xml:space="preserve"> XE "</w:instrText>
      </w:r>
      <w:r w:rsidRPr="00684B88">
        <w:instrText>Revenue initiatives:</w:instrText>
      </w:r>
      <w:r>
        <w:instrText xml:space="preserve">Payroll tax" </w:instrText>
      </w:r>
      <w:r>
        <w:rPr>
          <w:lang w:eastAsia="en-AU"/>
        </w:rPr>
        <w:fldChar w:fldCharType="end"/>
      </w:r>
    </w:p>
    <w:p w:rsidR="00E25CC6" w:rsidRDefault="00E25CC6" w:rsidP="00EA3FFB">
      <w:pPr>
        <w:pStyle w:val="BulletText"/>
      </w:pPr>
      <w:r w:rsidRPr="000D7BE6">
        <w:t>2016</w:t>
      </w:r>
      <w:r>
        <w:noBreakHyphen/>
      </w:r>
      <w:r w:rsidRPr="000D7BE6">
        <w:t xml:space="preserve">17 – </w:t>
      </w:r>
      <w:r>
        <w:t>increase</w:t>
      </w:r>
      <w:r w:rsidRPr="000D7BE6">
        <w:t xml:space="preserve"> </w:t>
      </w:r>
      <w:r>
        <w:t>to</w:t>
      </w:r>
      <w:r w:rsidRPr="000D7BE6">
        <w:t xml:space="preserve"> $5</w:t>
      </w:r>
      <w:r>
        <w:t>75 </w:t>
      </w:r>
      <w:r w:rsidRPr="000D7BE6">
        <w:t xml:space="preserve">000; </w:t>
      </w:r>
    </w:p>
    <w:p w:rsidR="00E25CC6" w:rsidRDefault="00E25CC6" w:rsidP="00EA3FFB">
      <w:pPr>
        <w:pStyle w:val="BulletText"/>
      </w:pPr>
      <w:r w:rsidRPr="000D7BE6">
        <w:t>2017</w:t>
      </w:r>
      <w:r>
        <w:noBreakHyphen/>
        <w:t>18 – increase to $600 </w:t>
      </w:r>
      <w:r w:rsidRPr="000D7BE6">
        <w:t xml:space="preserve">000; </w:t>
      </w:r>
    </w:p>
    <w:p w:rsidR="00E25CC6" w:rsidRDefault="00E25CC6" w:rsidP="00EA3FFB">
      <w:pPr>
        <w:pStyle w:val="BulletText"/>
      </w:pPr>
      <w:r w:rsidRPr="000D7BE6">
        <w:t>2018</w:t>
      </w:r>
      <w:r>
        <w:noBreakHyphen/>
      </w:r>
      <w:r w:rsidRPr="000D7BE6">
        <w:t>19 – increase to $6</w:t>
      </w:r>
      <w:r>
        <w:t>25 </w:t>
      </w:r>
      <w:r w:rsidRPr="000D7BE6">
        <w:t xml:space="preserve">000; and </w:t>
      </w:r>
    </w:p>
    <w:p w:rsidR="00E25CC6" w:rsidRPr="00584FB0" w:rsidRDefault="00E25CC6" w:rsidP="00EA3FFB">
      <w:pPr>
        <w:pStyle w:val="BulletText"/>
      </w:pPr>
      <w:r w:rsidRPr="000D7BE6">
        <w:t>2019</w:t>
      </w:r>
      <w:r>
        <w:noBreakHyphen/>
      </w:r>
      <w:r w:rsidRPr="000D7BE6">
        <w:t>20 – increase to $650</w:t>
      </w:r>
      <w:r>
        <w:t> </w:t>
      </w:r>
      <w:r w:rsidRPr="000D7BE6">
        <w:t>000.</w:t>
      </w:r>
    </w:p>
    <w:p w:rsidR="00E25CC6" w:rsidRPr="0062053D" w:rsidRDefault="00E25CC6" w:rsidP="0062053D">
      <w:pPr>
        <w:pStyle w:val="Heading5"/>
      </w:pPr>
      <w:r w:rsidRPr="0062053D">
        <w:t xml:space="preserve">Payroll tax exemption </w:t>
      </w:r>
    </w:p>
    <w:p w:rsidR="00E25CC6" w:rsidRDefault="00E25CC6" w:rsidP="000D7BE6">
      <w:r>
        <w:t xml:space="preserve">A payroll tax exemption will be introduced for the </w:t>
      </w:r>
      <w:r w:rsidRPr="000D7BE6">
        <w:t>wages paid or payable by an employer to a displaced apprentice or trainee from 1 July 2016. This will support employers hiring apprentices or trainees wishing to continue and complete their qualifications.</w:t>
      </w:r>
    </w:p>
    <w:p w:rsidR="00E25CC6" w:rsidRPr="00EA3FFB" w:rsidRDefault="00E25CC6" w:rsidP="00EA3FFB">
      <w:pPr>
        <w:pStyle w:val="Heading5"/>
      </w:pPr>
      <w:r w:rsidRPr="00EA3FFB">
        <w:t xml:space="preserve">State Revenue Office Land Tax Compliance Program </w:t>
      </w:r>
    </w:p>
    <w:p w:rsidR="00E25CC6" w:rsidRDefault="00E25CC6" w:rsidP="00434834">
      <w:r>
        <w:t>T</w:t>
      </w:r>
      <w:r w:rsidRPr="00B4513C">
        <w:t>he State Revenue</w:t>
      </w:r>
      <w:r>
        <w:t xml:space="preserve"> Office will undertake</w:t>
      </w:r>
      <w:r w:rsidRPr="00B4513C">
        <w:t xml:space="preserve"> </w:t>
      </w:r>
      <w:r>
        <w:t>compliance programs involving the land tax principal place of residence exemption,</w:t>
      </w:r>
      <w:r w:rsidRPr="00B4513C">
        <w:t xml:space="preserve"> foreign purchaser additional duty, absentee owner surcharge</w:t>
      </w:r>
      <w:r>
        <w:t xml:space="preserve">, </w:t>
      </w:r>
      <w:r w:rsidRPr="00B4513C">
        <w:t>undeclared changes in the composition of business partnerships</w:t>
      </w:r>
      <w:r>
        <w:t xml:space="preserve"> that own land, and land held i</w:t>
      </w:r>
      <w:r w:rsidRPr="00B4513C">
        <w:t>n</w:t>
      </w:r>
      <w:r>
        <w:t xml:space="preserve"> undeclared</w:t>
      </w:r>
      <w:r w:rsidRPr="00B4513C">
        <w:t xml:space="preserve"> trust</w:t>
      </w:r>
      <w:r>
        <w:t>s</w:t>
      </w:r>
      <w:r w:rsidRPr="00B4513C">
        <w:t xml:space="preserve">. Anomalies identified will be further investigated by the </w:t>
      </w:r>
      <w:r w:rsidRPr="00EA3FFB">
        <w:t xml:space="preserve">State Revenue Office </w:t>
      </w:r>
      <w:r w:rsidRPr="00B4513C">
        <w:t xml:space="preserve">and taxpayers will be assisted to improve compliance. </w:t>
      </w:r>
    </w:p>
    <w:p w:rsidR="00E25CC6" w:rsidRDefault="00E25CC6">
      <w:pPr>
        <w:spacing w:after="0"/>
        <w:rPr>
          <w:rFonts w:ascii="Calibri" w:hAnsi="Calibri"/>
          <w:b/>
          <w:caps/>
          <w:sz w:val="26"/>
          <w:szCs w:val="22"/>
        </w:rPr>
      </w:pPr>
      <w:r>
        <w:br w:type="page"/>
      </w:r>
    </w:p>
    <w:p w:rsidR="00E25CC6" w:rsidRPr="00F16216" w:rsidRDefault="00E25CC6" w:rsidP="00F16216">
      <w:pPr>
        <w:pStyle w:val="Heading1"/>
      </w:pPr>
      <w:bookmarkStart w:id="53" w:name="_Toc449109436"/>
      <w:r w:rsidRPr="00F16216">
        <w:t>Savings and Efficiencies</w:t>
      </w:r>
      <w:bookmarkEnd w:id="53"/>
    </w:p>
    <w:p w:rsidR="00E25CC6" w:rsidRDefault="00E25CC6" w:rsidP="00C63E94">
      <w:pPr>
        <w:pStyle w:val="Tableheading"/>
      </w:pPr>
      <w:r>
        <w:t>Table 1.31:</w:t>
      </w:r>
      <w:r>
        <w:tab/>
        <w:t>Savings and efficiencies</w:t>
      </w:r>
    </w:p>
    <w:p w:rsidR="00E25CC6" w:rsidRPr="00973E83" w:rsidRDefault="00E25CC6" w:rsidP="00973E83">
      <w:pPr>
        <w:pStyle w:val="million"/>
      </w:pPr>
      <w:r>
        <w:t>($ million)</w:t>
      </w:r>
    </w:p>
    <w:tbl>
      <w:tblPr>
        <w:tblW w:w="7767" w:type="dxa"/>
        <w:tblInd w:w="45" w:type="dxa"/>
        <w:tblLayout w:type="fixed"/>
        <w:tblCellMar>
          <w:left w:w="45" w:type="dxa"/>
          <w:right w:w="45" w:type="dxa"/>
        </w:tblCellMar>
        <w:tblLook w:val="0000" w:firstRow="0" w:lastRow="0" w:firstColumn="0" w:lastColumn="0" w:noHBand="0" w:noVBand="0"/>
      </w:tblPr>
      <w:tblGrid>
        <w:gridCol w:w="3517"/>
        <w:gridCol w:w="850"/>
        <w:gridCol w:w="850"/>
        <w:gridCol w:w="850"/>
        <w:gridCol w:w="850"/>
        <w:gridCol w:w="850"/>
      </w:tblGrid>
      <w:tr w:rsidR="00E25CC6" w:rsidRPr="00973E83" w:rsidTr="002D2C28">
        <w:trPr>
          <w:cantSplit/>
          <w:tblHeader/>
        </w:trPr>
        <w:tc>
          <w:tcPr>
            <w:tcW w:w="3515" w:type="dxa"/>
            <w:tcBorders>
              <w:top w:val="nil"/>
              <w:left w:val="nil"/>
              <w:right w:val="nil"/>
            </w:tcBorders>
            <w:shd w:val="solid" w:color="000000" w:fill="auto"/>
            <w:vAlign w:val="bottom"/>
          </w:tcPr>
          <w:p w:rsidR="00E25CC6" w:rsidRPr="002D2C28" w:rsidRDefault="00E25CC6" w:rsidP="002D2C28">
            <w:pPr>
              <w:autoSpaceDE w:val="0"/>
              <w:autoSpaceDN w:val="0"/>
              <w:adjustRightInd w:val="0"/>
              <w:spacing w:after="0"/>
              <w:rPr>
                <w:rFonts w:ascii="Calibri" w:eastAsiaTheme="minorEastAsia" w:hAnsi="Calibri" w:cs="Calibri"/>
                <w:i/>
                <w:iCs/>
                <w:color w:val="FFFFFF"/>
                <w:sz w:val="19"/>
                <w:szCs w:val="19"/>
                <w:lang w:eastAsia="en-AU"/>
              </w:rPr>
            </w:pPr>
            <w:r w:rsidRPr="002D2C28">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vAlign w:val="bottom"/>
          </w:tcPr>
          <w:p w:rsidR="00E25CC6" w:rsidRPr="00973E83" w:rsidRDefault="00E25CC6" w:rsidP="002D2C28">
            <w:pPr>
              <w:autoSpaceDE w:val="0"/>
              <w:autoSpaceDN w:val="0"/>
              <w:adjustRightInd w:val="0"/>
              <w:spacing w:after="0"/>
              <w:jc w:val="right"/>
              <w:rPr>
                <w:rFonts w:ascii="Calibri" w:eastAsiaTheme="minorEastAsia" w:hAnsi="Calibri" w:cs="Calibri"/>
                <w:i/>
                <w:iCs/>
                <w:color w:val="FFFFFF"/>
                <w:sz w:val="19"/>
                <w:szCs w:val="19"/>
                <w:lang w:eastAsia="en-AU"/>
              </w:rPr>
            </w:pPr>
            <w:r w:rsidRPr="00973E83">
              <w:rPr>
                <w:rFonts w:ascii="Calibri" w:eastAsiaTheme="minorEastAsia" w:hAnsi="Calibri" w:cs="Calibri"/>
                <w:i/>
                <w:iCs/>
                <w:color w:val="FFFFFF"/>
                <w:sz w:val="19"/>
                <w:szCs w:val="19"/>
                <w:lang w:eastAsia="en-AU"/>
              </w:rPr>
              <w:t>2015</w:t>
            </w:r>
            <w:r>
              <w:rPr>
                <w:rFonts w:ascii="Calibri" w:eastAsiaTheme="minorEastAsia" w:hAnsi="Calibri" w:cs="Calibri"/>
                <w:i/>
                <w:iCs/>
                <w:color w:val="FFFFFF"/>
                <w:sz w:val="19"/>
                <w:szCs w:val="19"/>
                <w:lang w:eastAsia="en-AU"/>
              </w:rPr>
              <w:noBreakHyphen/>
            </w:r>
            <w:r w:rsidRPr="00973E83">
              <w:rPr>
                <w:rFonts w:ascii="Calibri" w:eastAsiaTheme="minorEastAsia" w:hAnsi="Calibri" w:cs="Calibri"/>
                <w:i/>
                <w:iCs/>
                <w:color w:val="FFFFFF"/>
                <w:sz w:val="19"/>
                <w:szCs w:val="19"/>
                <w:lang w:eastAsia="en-AU"/>
              </w:rPr>
              <w:t>16</w:t>
            </w:r>
          </w:p>
        </w:tc>
        <w:tc>
          <w:tcPr>
            <w:tcW w:w="850" w:type="dxa"/>
            <w:tcBorders>
              <w:top w:val="nil"/>
              <w:left w:val="nil"/>
              <w:right w:val="nil"/>
            </w:tcBorders>
            <w:shd w:val="solid" w:color="000000" w:fill="auto"/>
            <w:vAlign w:val="bottom"/>
          </w:tcPr>
          <w:p w:rsidR="00E25CC6" w:rsidRPr="00973E83" w:rsidRDefault="00E25CC6" w:rsidP="002D2C28">
            <w:pPr>
              <w:autoSpaceDE w:val="0"/>
              <w:autoSpaceDN w:val="0"/>
              <w:adjustRightInd w:val="0"/>
              <w:spacing w:after="0"/>
              <w:jc w:val="right"/>
              <w:rPr>
                <w:rFonts w:ascii="Calibri" w:eastAsiaTheme="minorEastAsia" w:hAnsi="Calibri" w:cs="Calibri"/>
                <w:i/>
                <w:iCs/>
                <w:color w:val="FFFFFF"/>
                <w:sz w:val="19"/>
                <w:szCs w:val="19"/>
                <w:lang w:eastAsia="en-AU"/>
              </w:rPr>
            </w:pPr>
            <w:r w:rsidRPr="00973E83">
              <w:rPr>
                <w:rFonts w:ascii="Calibri" w:eastAsiaTheme="minorEastAsia" w:hAnsi="Calibri" w:cs="Calibri"/>
                <w:i/>
                <w:iCs/>
                <w:color w:val="FFFFFF"/>
                <w:sz w:val="19"/>
                <w:szCs w:val="19"/>
                <w:lang w:eastAsia="en-AU"/>
              </w:rPr>
              <w:t>2016</w:t>
            </w:r>
            <w:r>
              <w:rPr>
                <w:rFonts w:ascii="Calibri" w:eastAsiaTheme="minorEastAsia" w:hAnsi="Calibri" w:cs="Calibri"/>
                <w:i/>
                <w:iCs/>
                <w:color w:val="FFFFFF"/>
                <w:sz w:val="19"/>
                <w:szCs w:val="19"/>
                <w:lang w:eastAsia="en-AU"/>
              </w:rPr>
              <w:noBreakHyphen/>
            </w:r>
            <w:r w:rsidRPr="00973E83">
              <w:rPr>
                <w:rFonts w:ascii="Calibri" w:eastAsiaTheme="minorEastAsia" w:hAnsi="Calibri" w:cs="Calibri"/>
                <w:i/>
                <w:iCs/>
                <w:color w:val="FFFFFF"/>
                <w:sz w:val="19"/>
                <w:szCs w:val="19"/>
                <w:lang w:eastAsia="en-AU"/>
              </w:rPr>
              <w:t>17</w:t>
            </w:r>
          </w:p>
        </w:tc>
        <w:tc>
          <w:tcPr>
            <w:tcW w:w="850" w:type="dxa"/>
            <w:tcBorders>
              <w:top w:val="nil"/>
              <w:left w:val="nil"/>
              <w:right w:val="nil"/>
            </w:tcBorders>
            <w:shd w:val="solid" w:color="000000" w:fill="auto"/>
            <w:vAlign w:val="bottom"/>
          </w:tcPr>
          <w:p w:rsidR="00E25CC6" w:rsidRPr="00973E83" w:rsidRDefault="00E25CC6" w:rsidP="002D2C28">
            <w:pPr>
              <w:autoSpaceDE w:val="0"/>
              <w:autoSpaceDN w:val="0"/>
              <w:adjustRightInd w:val="0"/>
              <w:spacing w:after="0"/>
              <w:jc w:val="right"/>
              <w:rPr>
                <w:rFonts w:ascii="Calibri" w:eastAsiaTheme="minorEastAsia" w:hAnsi="Calibri" w:cs="Calibri"/>
                <w:i/>
                <w:iCs/>
                <w:color w:val="FFFFFF"/>
                <w:sz w:val="19"/>
                <w:szCs w:val="19"/>
                <w:lang w:eastAsia="en-AU"/>
              </w:rPr>
            </w:pPr>
            <w:r w:rsidRPr="00973E83">
              <w:rPr>
                <w:rFonts w:ascii="Calibri" w:eastAsiaTheme="minorEastAsia" w:hAnsi="Calibri" w:cs="Calibri"/>
                <w:i/>
                <w:iCs/>
                <w:color w:val="FFFFFF"/>
                <w:sz w:val="19"/>
                <w:szCs w:val="19"/>
                <w:lang w:eastAsia="en-AU"/>
              </w:rPr>
              <w:t>2017</w:t>
            </w:r>
            <w:r>
              <w:rPr>
                <w:rFonts w:ascii="Calibri" w:eastAsiaTheme="minorEastAsia" w:hAnsi="Calibri" w:cs="Calibri"/>
                <w:i/>
                <w:iCs/>
                <w:color w:val="FFFFFF"/>
                <w:sz w:val="19"/>
                <w:szCs w:val="19"/>
                <w:lang w:eastAsia="en-AU"/>
              </w:rPr>
              <w:noBreakHyphen/>
            </w:r>
            <w:r w:rsidRPr="00973E83">
              <w:rPr>
                <w:rFonts w:ascii="Calibri" w:eastAsiaTheme="minorEastAsia" w:hAnsi="Calibri" w:cs="Calibri"/>
                <w:i/>
                <w:iCs/>
                <w:color w:val="FFFFFF"/>
                <w:sz w:val="19"/>
                <w:szCs w:val="19"/>
                <w:lang w:eastAsia="en-AU"/>
              </w:rPr>
              <w:t>18</w:t>
            </w:r>
          </w:p>
        </w:tc>
        <w:tc>
          <w:tcPr>
            <w:tcW w:w="850" w:type="dxa"/>
            <w:tcBorders>
              <w:top w:val="nil"/>
              <w:left w:val="nil"/>
              <w:right w:val="nil"/>
            </w:tcBorders>
            <w:shd w:val="solid" w:color="000000" w:fill="auto"/>
            <w:vAlign w:val="bottom"/>
          </w:tcPr>
          <w:p w:rsidR="00E25CC6" w:rsidRPr="00973E83" w:rsidRDefault="00E25CC6" w:rsidP="002D2C28">
            <w:pPr>
              <w:autoSpaceDE w:val="0"/>
              <w:autoSpaceDN w:val="0"/>
              <w:adjustRightInd w:val="0"/>
              <w:spacing w:after="0"/>
              <w:jc w:val="right"/>
              <w:rPr>
                <w:rFonts w:ascii="Calibri" w:eastAsiaTheme="minorEastAsia" w:hAnsi="Calibri" w:cs="Calibri"/>
                <w:i/>
                <w:iCs/>
                <w:color w:val="FFFFFF"/>
                <w:sz w:val="19"/>
                <w:szCs w:val="19"/>
                <w:lang w:eastAsia="en-AU"/>
              </w:rPr>
            </w:pPr>
            <w:r w:rsidRPr="00973E83">
              <w:rPr>
                <w:rFonts w:ascii="Calibri" w:eastAsiaTheme="minorEastAsia" w:hAnsi="Calibri" w:cs="Calibri"/>
                <w:i/>
                <w:iCs/>
                <w:color w:val="FFFFFF"/>
                <w:sz w:val="19"/>
                <w:szCs w:val="19"/>
                <w:lang w:eastAsia="en-AU"/>
              </w:rPr>
              <w:t>2018</w:t>
            </w:r>
            <w:r>
              <w:rPr>
                <w:rFonts w:ascii="Calibri" w:eastAsiaTheme="minorEastAsia" w:hAnsi="Calibri" w:cs="Calibri"/>
                <w:i/>
                <w:iCs/>
                <w:color w:val="FFFFFF"/>
                <w:sz w:val="19"/>
                <w:szCs w:val="19"/>
                <w:lang w:eastAsia="en-AU"/>
              </w:rPr>
              <w:noBreakHyphen/>
            </w:r>
            <w:r w:rsidRPr="00973E83">
              <w:rPr>
                <w:rFonts w:ascii="Calibri" w:eastAsiaTheme="minorEastAsia" w:hAnsi="Calibri" w:cs="Calibri"/>
                <w:i/>
                <w:iCs/>
                <w:color w:val="FFFFFF"/>
                <w:sz w:val="19"/>
                <w:szCs w:val="19"/>
                <w:lang w:eastAsia="en-AU"/>
              </w:rPr>
              <w:t>19</w:t>
            </w:r>
          </w:p>
        </w:tc>
        <w:tc>
          <w:tcPr>
            <w:tcW w:w="850" w:type="dxa"/>
            <w:tcBorders>
              <w:top w:val="nil"/>
              <w:left w:val="nil"/>
              <w:right w:val="nil"/>
            </w:tcBorders>
            <w:shd w:val="solid" w:color="000000" w:fill="auto"/>
            <w:vAlign w:val="bottom"/>
          </w:tcPr>
          <w:p w:rsidR="00E25CC6" w:rsidRPr="00973E83" w:rsidRDefault="00E25CC6" w:rsidP="002D2C28">
            <w:pPr>
              <w:autoSpaceDE w:val="0"/>
              <w:autoSpaceDN w:val="0"/>
              <w:adjustRightInd w:val="0"/>
              <w:spacing w:after="0"/>
              <w:jc w:val="right"/>
              <w:rPr>
                <w:rFonts w:ascii="Calibri" w:eastAsiaTheme="minorEastAsia" w:hAnsi="Calibri" w:cs="Calibri"/>
                <w:i/>
                <w:iCs/>
                <w:color w:val="FFFFFF"/>
                <w:sz w:val="19"/>
                <w:szCs w:val="19"/>
                <w:lang w:eastAsia="en-AU"/>
              </w:rPr>
            </w:pPr>
            <w:r w:rsidRPr="00973E83">
              <w:rPr>
                <w:rFonts w:ascii="Calibri" w:eastAsiaTheme="minorEastAsia" w:hAnsi="Calibri" w:cs="Calibri"/>
                <w:i/>
                <w:iCs/>
                <w:color w:val="FFFFFF"/>
                <w:sz w:val="19"/>
                <w:szCs w:val="19"/>
                <w:lang w:eastAsia="en-AU"/>
              </w:rPr>
              <w:t>2019</w:t>
            </w:r>
            <w:r>
              <w:rPr>
                <w:rFonts w:ascii="Calibri" w:eastAsiaTheme="minorEastAsia" w:hAnsi="Calibri" w:cs="Calibri"/>
                <w:i/>
                <w:iCs/>
                <w:color w:val="FFFFFF"/>
                <w:sz w:val="19"/>
                <w:szCs w:val="19"/>
                <w:lang w:eastAsia="en-AU"/>
              </w:rPr>
              <w:noBreakHyphen/>
            </w:r>
            <w:r w:rsidRPr="00973E83">
              <w:rPr>
                <w:rFonts w:ascii="Calibri" w:eastAsiaTheme="minorEastAsia" w:hAnsi="Calibri" w:cs="Calibri"/>
                <w:i/>
                <w:iCs/>
                <w:color w:val="FFFFFF"/>
                <w:sz w:val="19"/>
                <w:szCs w:val="19"/>
                <w:lang w:eastAsia="en-AU"/>
              </w:rPr>
              <w:t>20</w:t>
            </w:r>
          </w:p>
        </w:tc>
      </w:tr>
      <w:tr w:rsidR="00E25CC6" w:rsidRPr="00973E83" w:rsidTr="002D2C28">
        <w:trPr>
          <w:cantSplit/>
        </w:trPr>
        <w:tc>
          <w:tcPr>
            <w:tcW w:w="3515" w:type="dxa"/>
            <w:tcBorders>
              <w:top w:val="nil"/>
              <w:left w:val="nil"/>
              <w:right w:val="nil"/>
            </w:tcBorders>
            <w:shd w:val="clear" w:color="auto" w:fill="FFFFFF"/>
          </w:tcPr>
          <w:p w:rsidR="00E25CC6" w:rsidRPr="00973E83" w:rsidRDefault="00E25CC6" w:rsidP="002D2C28">
            <w:pPr>
              <w:autoSpaceDE w:val="0"/>
              <w:autoSpaceDN w:val="0"/>
              <w:adjustRightInd w:val="0"/>
              <w:spacing w:after="0"/>
              <w:ind w:left="227" w:hanging="227"/>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Department of Economic Development, Jobs, Transport and Resources</w:t>
            </w:r>
            <w:r>
              <w:rPr>
                <w:rFonts w:ascii="Calibri" w:eastAsiaTheme="minorEastAsia" w:hAnsi="Calibri" w:cs="Calibri"/>
                <w:color w:val="000000"/>
                <w:sz w:val="19"/>
                <w:szCs w:val="19"/>
                <w:lang w:eastAsia="en-AU"/>
              </w:rPr>
              <w:t xml:space="preserve"> – </w:t>
            </w:r>
            <w:r w:rsidRPr="00973E83">
              <w:rPr>
                <w:rFonts w:ascii="Calibri" w:eastAsiaTheme="minorEastAsia" w:hAnsi="Calibri" w:cs="Calibri"/>
                <w:color w:val="000000"/>
                <w:sz w:val="19"/>
                <w:szCs w:val="19"/>
                <w:lang w:eastAsia="en-AU"/>
              </w:rPr>
              <w:t xml:space="preserve">department expenditure reductions </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3.0</w:t>
            </w:r>
          </w:p>
        </w:tc>
      </w:tr>
      <w:tr w:rsidR="00E25CC6" w:rsidRPr="00973E83" w:rsidTr="002D2C28">
        <w:trPr>
          <w:cantSplit/>
        </w:trPr>
        <w:tc>
          <w:tcPr>
            <w:tcW w:w="3515" w:type="dxa"/>
            <w:tcBorders>
              <w:top w:val="nil"/>
              <w:left w:val="nil"/>
              <w:right w:val="nil"/>
            </w:tcBorders>
            <w:shd w:val="clear" w:color="auto" w:fill="FFFFFF"/>
          </w:tcPr>
          <w:p w:rsidR="00E25CC6" w:rsidRPr="00973E83" w:rsidRDefault="00E25CC6" w:rsidP="002D2C28">
            <w:pPr>
              <w:autoSpaceDE w:val="0"/>
              <w:autoSpaceDN w:val="0"/>
              <w:adjustRightInd w:val="0"/>
              <w:spacing w:after="0"/>
              <w:ind w:left="227" w:hanging="227"/>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Department of Education and Training</w:t>
            </w:r>
            <w:r>
              <w:rPr>
                <w:rFonts w:ascii="Calibri" w:eastAsiaTheme="minorEastAsia" w:hAnsi="Calibri" w:cs="Calibri"/>
                <w:color w:val="000000"/>
                <w:sz w:val="19"/>
                <w:szCs w:val="19"/>
                <w:lang w:eastAsia="en-AU"/>
              </w:rPr>
              <w:t xml:space="preserve"> – </w:t>
            </w:r>
            <w:r w:rsidRPr="00973E83">
              <w:rPr>
                <w:rFonts w:ascii="Calibri" w:eastAsiaTheme="minorEastAsia" w:hAnsi="Calibri" w:cs="Calibri"/>
                <w:color w:val="000000"/>
                <w:sz w:val="19"/>
                <w:szCs w:val="19"/>
                <w:lang w:eastAsia="en-AU"/>
              </w:rPr>
              <w:t xml:space="preserve">department expenditure reductions </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13.2</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5.0</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5.0</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5.0</w:t>
            </w:r>
          </w:p>
        </w:tc>
      </w:tr>
      <w:tr w:rsidR="00E25CC6" w:rsidRPr="00973E83" w:rsidTr="002D2C28">
        <w:trPr>
          <w:cantSplit/>
        </w:trPr>
        <w:tc>
          <w:tcPr>
            <w:tcW w:w="3515" w:type="dxa"/>
            <w:tcBorders>
              <w:top w:val="nil"/>
              <w:left w:val="nil"/>
              <w:right w:val="nil"/>
            </w:tcBorders>
            <w:shd w:val="clear" w:color="auto" w:fill="FFFFFF"/>
          </w:tcPr>
          <w:p w:rsidR="00E25CC6" w:rsidRPr="00973E83" w:rsidRDefault="00E25CC6" w:rsidP="002D2C28">
            <w:pPr>
              <w:autoSpaceDE w:val="0"/>
              <w:autoSpaceDN w:val="0"/>
              <w:adjustRightInd w:val="0"/>
              <w:spacing w:after="0"/>
              <w:ind w:left="227" w:hanging="227"/>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Department of Environment, Land, Water and Planning</w:t>
            </w:r>
            <w:r>
              <w:rPr>
                <w:rFonts w:ascii="Calibri" w:eastAsiaTheme="minorEastAsia" w:hAnsi="Calibri" w:cs="Calibri"/>
                <w:color w:val="000000"/>
                <w:sz w:val="19"/>
                <w:szCs w:val="19"/>
                <w:lang w:eastAsia="en-AU"/>
              </w:rPr>
              <w:t xml:space="preserve"> – </w:t>
            </w:r>
            <w:r w:rsidRPr="00973E83">
              <w:rPr>
                <w:rFonts w:ascii="Calibri" w:eastAsiaTheme="minorEastAsia" w:hAnsi="Calibri" w:cs="Calibri"/>
                <w:color w:val="000000"/>
                <w:sz w:val="19"/>
                <w:szCs w:val="19"/>
                <w:lang w:eastAsia="en-AU"/>
              </w:rPr>
              <w:t xml:space="preserve">department expenditure reductions </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1.5</w:t>
            </w:r>
          </w:p>
        </w:tc>
        <w:tc>
          <w:tcPr>
            <w:tcW w:w="850" w:type="dxa"/>
            <w:tcBorders>
              <w:top w:val="nil"/>
              <w:left w:val="nil"/>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2.5</w:t>
            </w:r>
          </w:p>
        </w:tc>
      </w:tr>
      <w:tr w:rsidR="00E25CC6" w:rsidRPr="00973E83" w:rsidTr="002D2C28">
        <w:trPr>
          <w:cantSplit/>
        </w:trPr>
        <w:tc>
          <w:tcPr>
            <w:tcW w:w="3515" w:type="dxa"/>
            <w:tcBorders>
              <w:top w:val="nil"/>
              <w:left w:val="nil"/>
              <w:bottom w:val="single" w:sz="6" w:space="0" w:color="auto"/>
              <w:right w:val="nil"/>
            </w:tcBorders>
            <w:shd w:val="clear" w:color="auto" w:fill="FFFFFF"/>
          </w:tcPr>
          <w:p w:rsidR="00E25CC6" w:rsidRPr="00973E83" w:rsidRDefault="00E25CC6" w:rsidP="002D2C28">
            <w:pPr>
              <w:autoSpaceDE w:val="0"/>
              <w:autoSpaceDN w:val="0"/>
              <w:adjustRightInd w:val="0"/>
              <w:spacing w:after="0"/>
              <w:ind w:left="227" w:hanging="227"/>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Department of Justice and Regulation</w:t>
            </w:r>
            <w:r>
              <w:rPr>
                <w:rFonts w:ascii="Calibri" w:eastAsiaTheme="minorEastAsia" w:hAnsi="Calibri" w:cs="Calibri"/>
                <w:color w:val="000000"/>
                <w:sz w:val="19"/>
                <w:szCs w:val="19"/>
                <w:lang w:eastAsia="en-AU"/>
              </w:rPr>
              <w:t xml:space="preserve"> – </w:t>
            </w:r>
            <w:r w:rsidRPr="00973E83">
              <w:rPr>
                <w:rFonts w:ascii="Calibri" w:eastAsiaTheme="minorEastAsia" w:hAnsi="Calibri" w:cs="Calibri"/>
                <w:color w:val="000000"/>
                <w:sz w:val="19"/>
                <w:szCs w:val="19"/>
                <w:lang w:eastAsia="en-AU"/>
              </w:rPr>
              <w:t xml:space="preserve">department expenditure reductions </w:t>
            </w:r>
          </w:p>
        </w:tc>
        <w:tc>
          <w:tcPr>
            <w:tcW w:w="850" w:type="dxa"/>
            <w:tcBorders>
              <w:top w:val="nil"/>
              <w:left w:val="nil"/>
              <w:bottom w:val="single" w:sz="6" w:space="0" w:color="auto"/>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sidRPr="00973E83">
              <w:rPr>
                <w:rFonts w:ascii="Calibri" w:eastAsiaTheme="minorEastAsia" w:hAnsi="Calibri" w:cs="Calibri"/>
                <w:color w:val="000000"/>
                <w:sz w:val="19"/>
                <w:szCs w:val="19"/>
                <w:lang w:eastAsia="en-AU"/>
              </w:rPr>
              <w:t>..</w:t>
            </w:r>
          </w:p>
        </w:tc>
        <w:tc>
          <w:tcPr>
            <w:tcW w:w="850" w:type="dxa"/>
            <w:tcBorders>
              <w:top w:val="nil"/>
              <w:left w:val="nil"/>
              <w:bottom w:val="single" w:sz="6" w:space="0" w:color="auto"/>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10.0</w:t>
            </w:r>
          </w:p>
        </w:tc>
        <w:tc>
          <w:tcPr>
            <w:tcW w:w="850" w:type="dxa"/>
            <w:tcBorders>
              <w:top w:val="nil"/>
              <w:left w:val="nil"/>
              <w:bottom w:val="single" w:sz="6" w:space="0" w:color="auto"/>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10.0</w:t>
            </w:r>
          </w:p>
        </w:tc>
        <w:tc>
          <w:tcPr>
            <w:tcW w:w="850" w:type="dxa"/>
            <w:tcBorders>
              <w:top w:val="nil"/>
              <w:left w:val="nil"/>
              <w:bottom w:val="single" w:sz="6" w:space="0" w:color="auto"/>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10.0</w:t>
            </w:r>
          </w:p>
        </w:tc>
        <w:tc>
          <w:tcPr>
            <w:tcW w:w="850" w:type="dxa"/>
            <w:tcBorders>
              <w:top w:val="nil"/>
              <w:left w:val="nil"/>
              <w:bottom w:val="single" w:sz="6" w:space="0" w:color="auto"/>
              <w:right w:val="nil"/>
            </w:tcBorders>
            <w:shd w:val="clear" w:color="auto" w:fill="FFFFFF"/>
          </w:tcPr>
          <w:p w:rsidR="00E25CC6" w:rsidRPr="00973E83" w:rsidRDefault="00E25CC6" w:rsidP="002D2C28">
            <w:pPr>
              <w:autoSpaceDE w:val="0"/>
              <w:autoSpaceDN w:val="0"/>
              <w:adjustRightInd w:val="0"/>
              <w:spacing w:after="0"/>
              <w:jc w:val="right"/>
              <w:rPr>
                <w:rFonts w:ascii="Calibri" w:eastAsiaTheme="minorEastAsia" w:hAnsi="Calibri" w:cs="Calibri"/>
                <w:color w:val="000000"/>
                <w:sz w:val="19"/>
                <w:szCs w:val="19"/>
                <w:lang w:eastAsia="en-AU"/>
              </w:rPr>
            </w:pPr>
            <w:r>
              <w:rPr>
                <w:rFonts w:ascii="Calibri" w:eastAsiaTheme="minorEastAsia" w:hAnsi="Calibri" w:cs="Calibri"/>
                <w:color w:val="000000"/>
                <w:sz w:val="19"/>
                <w:szCs w:val="19"/>
                <w:lang w:eastAsia="en-AU"/>
              </w:rPr>
              <w:t>10.0</w:t>
            </w:r>
          </w:p>
        </w:tc>
      </w:tr>
      <w:tr w:rsidR="00E25CC6" w:rsidRPr="00973E83" w:rsidTr="002D2C28">
        <w:trPr>
          <w:cantSplit/>
        </w:trPr>
        <w:tc>
          <w:tcPr>
            <w:tcW w:w="3515" w:type="dxa"/>
            <w:tcBorders>
              <w:top w:val="single" w:sz="6" w:space="0" w:color="auto"/>
              <w:left w:val="nil"/>
              <w:bottom w:val="single" w:sz="12" w:space="0" w:color="auto"/>
              <w:right w:val="nil"/>
            </w:tcBorders>
            <w:shd w:val="solid" w:color="FFFFFF" w:fill="FFFFFF"/>
          </w:tcPr>
          <w:p w:rsidR="00E25CC6" w:rsidRPr="00973E83" w:rsidRDefault="00E25CC6" w:rsidP="002D2C28">
            <w:pPr>
              <w:autoSpaceDE w:val="0"/>
              <w:autoSpaceDN w:val="0"/>
              <w:adjustRightInd w:val="0"/>
              <w:spacing w:after="0"/>
              <w:ind w:left="227" w:hanging="227"/>
              <w:rPr>
                <w:rFonts w:ascii="Calibri" w:eastAsiaTheme="minorEastAsia" w:hAnsi="Calibri" w:cs="Calibri"/>
                <w:b/>
                <w:bCs/>
                <w:color w:val="000000"/>
                <w:sz w:val="19"/>
                <w:szCs w:val="19"/>
                <w:vertAlign w:val="superscript"/>
                <w:lang w:eastAsia="en-AU"/>
              </w:rPr>
            </w:pPr>
            <w:r w:rsidRPr="00973E83">
              <w:rPr>
                <w:rFonts w:ascii="Calibri" w:eastAsiaTheme="minorEastAsia" w:hAnsi="Calibri" w:cs="Calibri"/>
                <w:b/>
                <w:bCs/>
                <w:color w:val="000000"/>
                <w:sz w:val="19"/>
                <w:szCs w:val="19"/>
                <w:lang w:eastAsia="en-AU"/>
              </w:rPr>
              <w:t xml:space="preserve">Total savings and efficiencies </w:t>
            </w:r>
            <w:r w:rsidRPr="00973E83">
              <w:rPr>
                <w:rFonts w:ascii="Calibri" w:eastAsiaTheme="minorEastAsia" w:hAnsi="Calibri" w:cs="Calibri"/>
                <w:b/>
                <w:bCs/>
                <w:color w:val="000000"/>
                <w:sz w:val="19"/>
                <w:szCs w:val="19"/>
                <w:vertAlign w:val="superscript"/>
                <w:lang w:eastAsia="en-AU"/>
              </w:rPr>
              <w:t>(a)</w:t>
            </w:r>
          </w:p>
        </w:tc>
        <w:tc>
          <w:tcPr>
            <w:tcW w:w="850" w:type="dxa"/>
            <w:tcBorders>
              <w:top w:val="single" w:sz="6" w:space="0" w:color="auto"/>
              <w:left w:val="nil"/>
              <w:bottom w:val="single" w:sz="12" w:space="0" w:color="auto"/>
              <w:right w:val="nil"/>
            </w:tcBorders>
            <w:shd w:val="solid" w:color="FFFFFF" w:fill="FFFFFF"/>
          </w:tcPr>
          <w:p w:rsidR="00E25CC6" w:rsidRPr="00973E83" w:rsidRDefault="00E25CC6" w:rsidP="002D2C28">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w:t>
            </w:r>
          </w:p>
        </w:tc>
        <w:tc>
          <w:tcPr>
            <w:tcW w:w="850" w:type="dxa"/>
            <w:tcBorders>
              <w:top w:val="single" w:sz="6" w:space="0" w:color="auto"/>
              <w:left w:val="nil"/>
              <w:bottom w:val="single" w:sz="12" w:space="0" w:color="auto"/>
              <w:right w:val="nil"/>
            </w:tcBorders>
            <w:shd w:val="solid" w:color="FFFFFF" w:fill="FFFFFF"/>
          </w:tcPr>
          <w:p w:rsidR="00E25CC6" w:rsidRPr="00973E83" w:rsidRDefault="00E25CC6" w:rsidP="002D2C28">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26.2</w:t>
            </w:r>
          </w:p>
        </w:tc>
        <w:tc>
          <w:tcPr>
            <w:tcW w:w="850" w:type="dxa"/>
            <w:tcBorders>
              <w:top w:val="single" w:sz="6" w:space="0" w:color="auto"/>
              <w:left w:val="nil"/>
              <w:bottom w:val="single" w:sz="12" w:space="0" w:color="auto"/>
              <w:right w:val="nil"/>
            </w:tcBorders>
            <w:shd w:val="solid" w:color="FFFFFF" w:fill="FFFFFF"/>
          </w:tcPr>
          <w:p w:rsidR="00E25CC6" w:rsidRPr="00973E83" w:rsidRDefault="00E25CC6" w:rsidP="002D2C28">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18.0</w:t>
            </w:r>
          </w:p>
        </w:tc>
        <w:tc>
          <w:tcPr>
            <w:tcW w:w="850" w:type="dxa"/>
            <w:tcBorders>
              <w:top w:val="single" w:sz="6" w:space="0" w:color="auto"/>
              <w:left w:val="nil"/>
              <w:bottom w:val="single" w:sz="12" w:space="0" w:color="auto"/>
              <w:right w:val="nil"/>
            </w:tcBorders>
            <w:shd w:val="solid" w:color="FFFFFF" w:fill="FFFFFF"/>
          </w:tcPr>
          <w:p w:rsidR="00E25CC6" w:rsidRPr="00973E83" w:rsidRDefault="00E25CC6" w:rsidP="002D2C28">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19.5</w:t>
            </w:r>
          </w:p>
        </w:tc>
        <w:tc>
          <w:tcPr>
            <w:tcW w:w="850" w:type="dxa"/>
            <w:tcBorders>
              <w:top w:val="single" w:sz="6" w:space="0" w:color="auto"/>
              <w:left w:val="nil"/>
              <w:bottom w:val="single" w:sz="12" w:space="0" w:color="auto"/>
              <w:right w:val="nil"/>
            </w:tcBorders>
            <w:shd w:val="solid" w:color="FFFFFF" w:fill="FFFFFF"/>
          </w:tcPr>
          <w:p w:rsidR="00E25CC6" w:rsidRPr="00973E83" w:rsidRDefault="00E25CC6" w:rsidP="002D2C28">
            <w:pPr>
              <w:autoSpaceDE w:val="0"/>
              <w:autoSpaceDN w:val="0"/>
              <w:adjustRightInd w:val="0"/>
              <w:spacing w:after="0"/>
              <w:jc w:val="right"/>
              <w:rPr>
                <w:rFonts w:ascii="Calibri" w:eastAsiaTheme="minorEastAsia" w:hAnsi="Calibri" w:cs="Calibri"/>
                <w:b/>
                <w:bCs/>
                <w:color w:val="000000"/>
                <w:sz w:val="19"/>
                <w:szCs w:val="19"/>
                <w:lang w:eastAsia="en-AU"/>
              </w:rPr>
            </w:pPr>
            <w:r>
              <w:rPr>
                <w:rFonts w:ascii="Calibri" w:eastAsiaTheme="minorEastAsia" w:hAnsi="Calibri" w:cs="Calibri"/>
                <w:b/>
                <w:bCs/>
                <w:color w:val="000000"/>
                <w:sz w:val="19"/>
                <w:szCs w:val="19"/>
                <w:lang w:eastAsia="en-AU"/>
              </w:rPr>
              <w:t>20.5</w:t>
            </w:r>
          </w:p>
        </w:tc>
      </w:tr>
    </w:tbl>
    <w:p w:rsidR="00E25CC6" w:rsidRDefault="00E25CC6" w:rsidP="00973E83">
      <w:pPr>
        <w:pStyle w:val="Source"/>
      </w:pPr>
      <w:r>
        <w:t>Source: Department of Treasury and Finance</w:t>
      </w:r>
    </w:p>
    <w:p w:rsidR="00E25CC6" w:rsidRDefault="00E25CC6" w:rsidP="00DA2124">
      <w:pPr>
        <w:pStyle w:val="Notes"/>
      </w:pPr>
      <w:r>
        <w:t xml:space="preserve">Note: </w:t>
      </w:r>
    </w:p>
    <w:p w:rsidR="00E25CC6" w:rsidRDefault="00E25CC6" w:rsidP="00DA2124">
      <w:pPr>
        <w:pStyle w:val="Notes"/>
      </w:pPr>
      <w:r>
        <w:t>(a)</w:t>
      </w:r>
      <w:r>
        <w:tab/>
        <w:t>Tables may not add due to rounding.</w:t>
      </w:r>
    </w:p>
    <w:p w:rsidR="00E25CC6" w:rsidRPr="00CD63A7" w:rsidRDefault="00E25CC6" w:rsidP="00DA2124">
      <w:pPr>
        <w:pStyle w:val="Notes"/>
      </w:pPr>
    </w:p>
    <w:p w:rsidR="00E25CC6" w:rsidRDefault="00E25CC6" w:rsidP="00BE7914">
      <w:pPr>
        <w:pStyle w:val="Heading5"/>
        <w:rPr>
          <w:rFonts w:eastAsiaTheme="minorHAnsi"/>
        </w:rPr>
      </w:pPr>
      <w:r>
        <w:rPr>
          <w:rFonts w:eastAsiaTheme="minorHAnsi"/>
        </w:rPr>
        <w:t>Department of Economic Development, Jobs, Transport and Resources –department expenditure reductions</w:t>
      </w:r>
    </w:p>
    <w:p w:rsidR="00E25CC6" w:rsidRPr="00BB612A" w:rsidRDefault="00E25CC6" w:rsidP="00BE7914">
      <w:pPr>
        <w:rPr>
          <w:rFonts w:eastAsiaTheme="minorHAnsi"/>
        </w:rPr>
      </w:pPr>
      <w:r>
        <w:rPr>
          <w:rFonts w:eastAsiaTheme="minorHAnsi"/>
        </w:rPr>
        <w:t>The Department of Economic Development, Jobs, Transport and Resources will reduce its operating expenditure, including through tighter control of grants expenditure.</w:t>
      </w:r>
    </w:p>
    <w:p w:rsidR="00E25CC6" w:rsidRPr="0062053D" w:rsidRDefault="00E25CC6" w:rsidP="007F5183">
      <w:pPr>
        <w:pStyle w:val="Heading5"/>
      </w:pPr>
      <w:r w:rsidRPr="0062053D">
        <w:t>Department of Education and Training</w:t>
      </w:r>
      <w:r>
        <w:t xml:space="preserve"> – department expenditure reductions</w:t>
      </w:r>
    </w:p>
    <w:p w:rsidR="00E25CC6" w:rsidRDefault="00E25CC6" w:rsidP="00622C61">
      <w:pPr>
        <w:rPr>
          <w:rFonts w:eastAsiaTheme="minorHAnsi"/>
          <w:b/>
        </w:rPr>
      </w:pPr>
      <w:r w:rsidRPr="00BB612A">
        <w:rPr>
          <w:rFonts w:eastAsiaTheme="minorHAnsi"/>
        </w:rPr>
        <w:t xml:space="preserve">The Department of Education and Training will reduce </w:t>
      </w:r>
      <w:r>
        <w:rPr>
          <w:rFonts w:eastAsiaTheme="minorHAnsi"/>
        </w:rPr>
        <w:t>its operating</w:t>
      </w:r>
      <w:r w:rsidRPr="00BB612A">
        <w:rPr>
          <w:rFonts w:eastAsiaTheme="minorHAnsi"/>
        </w:rPr>
        <w:t xml:space="preserve"> expenditure</w:t>
      </w:r>
      <w:r>
        <w:rPr>
          <w:rFonts w:eastAsiaTheme="minorHAnsi"/>
        </w:rPr>
        <w:t>,</w:t>
      </w:r>
      <w:r w:rsidRPr="00BB612A">
        <w:rPr>
          <w:rFonts w:eastAsiaTheme="minorHAnsi"/>
        </w:rPr>
        <w:t xml:space="preserve"> </w:t>
      </w:r>
      <w:r>
        <w:rPr>
          <w:rFonts w:eastAsiaTheme="minorHAnsi"/>
        </w:rPr>
        <w:t xml:space="preserve">including </w:t>
      </w:r>
      <w:r w:rsidRPr="00BB612A">
        <w:rPr>
          <w:rFonts w:eastAsiaTheme="minorHAnsi"/>
        </w:rPr>
        <w:t>by</w:t>
      </w:r>
      <w:r>
        <w:rPr>
          <w:rFonts w:eastAsiaTheme="minorHAnsi"/>
        </w:rPr>
        <w:t xml:space="preserve"> reducing </w:t>
      </w:r>
      <w:r w:rsidRPr="00BB612A">
        <w:rPr>
          <w:rFonts w:eastAsiaTheme="minorHAnsi"/>
        </w:rPr>
        <w:t>the use of temporary labour hire and contractor</w:t>
      </w:r>
      <w:r>
        <w:rPr>
          <w:rFonts w:eastAsiaTheme="minorHAnsi"/>
        </w:rPr>
        <w:t>s, managing program allocations informed by updated usage information and ceasing a redundant funding allocation</w:t>
      </w:r>
      <w:r w:rsidRPr="00BB612A">
        <w:rPr>
          <w:rFonts w:eastAsiaTheme="minorHAnsi"/>
        </w:rPr>
        <w:t>.</w:t>
      </w:r>
    </w:p>
    <w:p w:rsidR="00E25CC6" w:rsidRPr="00503D6E" w:rsidRDefault="00E25CC6" w:rsidP="00503D6E">
      <w:pPr>
        <w:pStyle w:val="Heading5"/>
      </w:pPr>
      <w:r w:rsidRPr="00503D6E">
        <w:t>Department of Environment, Land</w:t>
      </w:r>
      <w:r>
        <w:t>,</w:t>
      </w:r>
      <w:r w:rsidRPr="00503D6E">
        <w:t xml:space="preserve"> Water and Planning</w:t>
      </w:r>
      <w:r>
        <w:t xml:space="preserve"> – department expenditure reductions</w:t>
      </w:r>
    </w:p>
    <w:p w:rsidR="00E25CC6" w:rsidRPr="00BB612A" w:rsidRDefault="00E25CC6" w:rsidP="00622C61">
      <w:pPr>
        <w:rPr>
          <w:rFonts w:eastAsiaTheme="minorHAnsi"/>
          <w:b/>
        </w:rPr>
      </w:pPr>
      <w:r w:rsidRPr="00BB612A">
        <w:rPr>
          <w:rFonts w:eastAsiaTheme="minorHAnsi"/>
        </w:rPr>
        <w:t xml:space="preserve">The Department of Environment, Land, Water and Planning will reduce </w:t>
      </w:r>
      <w:r>
        <w:rPr>
          <w:rFonts w:eastAsiaTheme="minorHAnsi"/>
        </w:rPr>
        <w:t>its operating</w:t>
      </w:r>
      <w:r w:rsidRPr="00BB612A">
        <w:rPr>
          <w:rFonts w:eastAsiaTheme="minorHAnsi"/>
        </w:rPr>
        <w:t xml:space="preserve"> expenditure</w:t>
      </w:r>
      <w:r>
        <w:rPr>
          <w:rFonts w:eastAsiaTheme="minorHAnsi"/>
        </w:rPr>
        <w:t>, including</w:t>
      </w:r>
      <w:r w:rsidRPr="00BB612A">
        <w:rPr>
          <w:rFonts w:eastAsiaTheme="minorHAnsi"/>
        </w:rPr>
        <w:t xml:space="preserve"> through opportunities to streamline administrative and policy functions.</w:t>
      </w:r>
    </w:p>
    <w:p w:rsidR="00E25CC6" w:rsidRPr="00A41512" w:rsidRDefault="00E25CC6" w:rsidP="00885502">
      <w:pPr>
        <w:pStyle w:val="Heading5"/>
      </w:pPr>
      <w:r>
        <w:t>Department of Justice and Regulation – department expenditure reductions</w:t>
      </w:r>
    </w:p>
    <w:p w:rsidR="00E25CC6" w:rsidRDefault="00E25CC6" w:rsidP="00622C61">
      <w:pPr>
        <w:rPr>
          <w:rFonts w:eastAsiaTheme="minorHAnsi"/>
        </w:rPr>
      </w:pPr>
      <w:r w:rsidRPr="00BB612A">
        <w:rPr>
          <w:rFonts w:eastAsiaTheme="minorHAnsi"/>
        </w:rPr>
        <w:t xml:space="preserve">The Department of Justice and Regulation will reduce </w:t>
      </w:r>
      <w:r>
        <w:rPr>
          <w:rFonts w:eastAsiaTheme="minorHAnsi"/>
        </w:rPr>
        <w:t xml:space="preserve">its operating </w:t>
      </w:r>
      <w:r w:rsidRPr="00BB612A">
        <w:rPr>
          <w:rFonts w:eastAsiaTheme="minorHAnsi"/>
        </w:rPr>
        <w:t>expenditure</w:t>
      </w:r>
      <w:r>
        <w:rPr>
          <w:rFonts w:eastAsiaTheme="minorHAnsi"/>
        </w:rPr>
        <w:t>, including</w:t>
      </w:r>
      <w:r w:rsidRPr="00BB612A">
        <w:rPr>
          <w:rFonts w:eastAsiaTheme="minorHAnsi"/>
        </w:rPr>
        <w:t xml:space="preserve"> through opportuniti</w:t>
      </w:r>
      <w:r>
        <w:rPr>
          <w:rFonts w:eastAsiaTheme="minorHAnsi"/>
        </w:rPr>
        <w:t>es to streamline administrative</w:t>
      </w:r>
      <w:r w:rsidRPr="00BB612A">
        <w:rPr>
          <w:rFonts w:eastAsiaTheme="minorHAnsi"/>
        </w:rPr>
        <w:t xml:space="preserve"> functions</w:t>
      </w:r>
      <w:r>
        <w:rPr>
          <w:rFonts w:eastAsiaTheme="minorHAnsi"/>
        </w:rPr>
        <w:t xml:space="preserve"> and deliver additional procurement savings.</w:t>
      </w:r>
    </w:p>
    <w:p w:rsidR="00E25CC6" w:rsidRDefault="00E25CC6" w:rsidP="00243370">
      <w:pPr>
        <w:rPr>
          <w:rFonts w:eastAsiaTheme="minorHAnsi"/>
        </w:rPr>
        <w:sectPr w:rsidR="00E25CC6" w:rsidSect="00D732C8">
          <w:footerReference w:type="even" r:id="rId21"/>
          <w:footerReference w:type="default" r:id="rId22"/>
          <w:type w:val="oddPage"/>
          <w:pgSz w:w="9979" w:h="14181" w:code="138"/>
          <w:pgMar w:top="1138" w:right="1138" w:bottom="1138" w:left="1138" w:header="720" w:footer="432" w:gutter="0"/>
          <w:pgNumType w:start="1"/>
          <w:cols w:space="708"/>
          <w:docGrid w:linePitch="360"/>
        </w:sectPr>
      </w:pPr>
    </w:p>
    <w:p w:rsidR="00E25CC6" w:rsidRDefault="00E25CC6" w:rsidP="00062624">
      <w:pPr>
        <w:pStyle w:val="ChapterHeading"/>
      </w:pPr>
      <w:bookmarkStart w:id="54" w:name="_Toc449109437"/>
      <w:r>
        <w:rPr>
          <w:lang w:eastAsia="en-AU"/>
        </w:rPr>
        <w:t xml:space="preserve">Chapter 2 </w:t>
      </w:r>
      <w:r w:rsidRPr="003C31BA">
        <w:rPr>
          <w:lang w:eastAsia="en-AU"/>
        </w:rPr>
        <w:t>– Departmental performance statements</w:t>
      </w:r>
      <w:bookmarkEnd w:id="54"/>
    </w:p>
    <w:p w:rsidR="00E25CC6" w:rsidRDefault="00E25CC6" w:rsidP="00C41153">
      <w:r>
        <w:t>This chapter presents departmental performance statements that describe the objectives and associated performance indicators departments seek to achieve over the medium term. This chapter also describes the outputs (goods and services) that departments are funded to deliver to achieve these objectives.</w:t>
      </w:r>
    </w:p>
    <w:p w:rsidR="00E25CC6" w:rsidRDefault="00E25CC6" w:rsidP="00C41153">
      <w:r>
        <w:t xml:space="preserve">Chapter 1 of </w:t>
      </w:r>
      <w:r w:rsidRPr="00552087">
        <w:t>Budget Paper No. 3</w:t>
      </w:r>
      <w:r>
        <w:t xml:space="preserve"> </w:t>
      </w:r>
      <w:r w:rsidRPr="00BD25EC">
        <w:rPr>
          <w:i/>
        </w:rPr>
        <w:t>Service Delivery</w:t>
      </w:r>
      <w:r w:rsidRPr="001D7481">
        <w:t xml:space="preserve"> </w:t>
      </w:r>
      <w:r>
        <w:t>describes the new initiatives that will be funded in 2016</w:t>
      </w:r>
      <w:r>
        <w:noBreakHyphen/>
        <w:t>17 and makes links with the base funding departments receive for ongoing programs. The departmental performance statements published in this chapter describe the services delivered by the Government and, where relevant, have been updated to reflect the new initiatives in Chapter 1.</w:t>
      </w:r>
    </w:p>
    <w:p w:rsidR="00E25CC6" w:rsidRDefault="00E25CC6" w:rsidP="00C41153">
      <w:r>
        <w:t>Performance measures for each output are divided into Quality, Quantity, Timeliness and Cost categories. The performance measures collectively describe the services being delivered and how they are measured. The 2016</w:t>
      </w:r>
      <w:r>
        <w:noBreakHyphen/>
        <w:t>17 target articulates what the Government seeks or expects to achieve in the coming year. Each measure also provides the 2014</w:t>
      </w:r>
      <w:r>
        <w:noBreakHyphen/>
        <w:t>15 actual outcome, the 2015</w:t>
      </w:r>
      <w:r>
        <w:noBreakHyphen/>
        <w:t>16 target and the 2015</w:t>
      </w:r>
      <w:r>
        <w:noBreakHyphen/>
        <w:t xml:space="preserve">16 expected outcome. This allows </w:t>
      </w:r>
      <w:r w:rsidRPr="00C801E1">
        <w:t>assessment of a department</w:t>
      </w:r>
      <w:r>
        <w:t>’</w:t>
      </w:r>
      <w:r w:rsidRPr="00C801E1">
        <w:t>s performance over the previous periods.</w:t>
      </w:r>
    </w:p>
    <w:p w:rsidR="00E25CC6" w:rsidRPr="00C801E1" w:rsidRDefault="00E25CC6" w:rsidP="00C41153">
      <w:r w:rsidRPr="008273A5">
        <w:t>The Government is continuing to improve its performance reporting framework to provide meaningful specification of the outputs delivered by departments, measures of successful delivery of these outputs, and a clear alignment with departmental objectives.</w:t>
      </w:r>
    </w:p>
    <w:p w:rsidR="00E25CC6" w:rsidRDefault="00E25CC6" w:rsidP="00C41153">
      <w:pPr>
        <w:pStyle w:val="Heading2"/>
      </w:pPr>
      <w:r w:rsidRPr="001D3518">
        <w:t xml:space="preserve">Output movements </w:t>
      </w:r>
      <w:r>
        <w:t>in 2016</w:t>
      </w:r>
      <w:r>
        <w:noBreakHyphen/>
        <w:t>17</w:t>
      </w:r>
    </w:p>
    <w:p w:rsidR="00E25CC6" w:rsidRPr="00275F5D" w:rsidRDefault="00E25CC6" w:rsidP="00E131B3">
      <w:pPr>
        <w:rPr>
          <w:rFonts w:eastAsiaTheme="minorHAnsi"/>
        </w:rPr>
      </w:pPr>
      <w:r w:rsidRPr="00275F5D">
        <w:rPr>
          <w:rFonts w:eastAsiaTheme="minorHAnsi"/>
        </w:rPr>
        <w:t>Two new outputs have been created for the 2016</w:t>
      </w:r>
      <w:r w:rsidRPr="00275F5D">
        <w:rPr>
          <w:rFonts w:eastAsiaTheme="minorHAnsi"/>
        </w:rPr>
        <w:noBreakHyphen/>
        <w:t>17 year to reflect changes to service delivery. A new National Disability Insurance Scheme output has been created in the Department of Health and Human Services to reflect the Government</w:t>
      </w:r>
      <w:r>
        <w:rPr>
          <w:rFonts w:eastAsiaTheme="minorHAnsi"/>
        </w:rPr>
        <w:t>’</w:t>
      </w:r>
      <w:r w:rsidRPr="00275F5D">
        <w:rPr>
          <w:rFonts w:eastAsiaTheme="minorHAnsi"/>
        </w:rPr>
        <w:t xml:space="preserve">s contribution to the Commonwealth scheme. A new output has also been created to reflect the functions of the newly established Parliamentary Budget Office in Parliament. </w:t>
      </w:r>
    </w:p>
    <w:p w:rsidR="00E25CC6" w:rsidRPr="00275F5D" w:rsidRDefault="00E25CC6" w:rsidP="005D1881">
      <w:pPr>
        <w:rPr>
          <w:rFonts w:eastAsiaTheme="minorHAnsi"/>
        </w:rPr>
      </w:pPr>
      <w:r w:rsidRPr="00275F5D">
        <w:rPr>
          <w:rFonts w:eastAsiaTheme="minorHAnsi"/>
        </w:rPr>
        <w:t>The Department of Justice and Regulation has made a number of changes to its output structure in response to the Government</w:t>
      </w:r>
      <w:r>
        <w:rPr>
          <w:rFonts w:eastAsiaTheme="minorHAnsi"/>
        </w:rPr>
        <w:t>’</w:t>
      </w:r>
      <w:r w:rsidRPr="00275F5D">
        <w:rPr>
          <w:rFonts w:eastAsiaTheme="minorHAnsi"/>
        </w:rPr>
        <w:t xml:space="preserve">s revised performance reporting framework. The new structure better aligns objectives, indicators and outputs, and has disaggregated several larger outputs to increase transparency. </w:t>
      </w:r>
    </w:p>
    <w:p w:rsidR="00E25CC6" w:rsidRPr="00E131B3" w:rsidRDefault="00E25CC6" w:rsidP="00E131B3">
      <w:pPr>
        <w:rPr>
          <w:rFonts w:eastAsiaTheme="minorHAnsi"/>
        </w:rPr>
      </w:pPr>
      <w:r w:rsidRPr="00275F5D">
        <w:rPr>
          <w:rFonts w:eastAsiaTheme="minorHAnsi"/>
        </w:rPr>
        <w:t xml:space="preserve">Footnotes have been included throughout the chapter for the output and performance measures that have moved since the </w:t>
      </w:r>
      <w:r w:rsidRPr="00275F5D">
        <w:rPr>
          <w:rFonts w:eastAsiaTheme="minorHAnsi"/>
          <w:i/>
        </w:rPr>
        <w:t>2015</w:t>
      </w:r>
      <w:r w:rsidRPr="00275F5D">
        <w:rPr>
          <w:rFonts w:eastAsiaTheme="minorHAnsi"/>
          <w:i/>
        </w:rPr>
        <w:noBreakHyphen/>
        <w:t xml:space="preserve">16 </w:t>
      </w:r>
      <w:r w:rsidRPr="00B170C8">
        <w:rPr>
          <w:rFonts w:eastAsiaTheme="minorHAnsi"/>
          <w:i/>
        </w:rPr>
        <w:t>Budget</w:t>
      </w:r>
      <w:r>
        <w:rPr>
          <w:rFonts w:eastAsiaTheme="minorHAnsi"/>
        </w:rPr>
        <w:t>.</w:t>
      </w:r>
    </w:p>
    <w:p w:rsidR="00E25CC6" w:rsidRPr="00B170C8" w:rsidRDefault="00E25CC6" w:rsidP="006F0BAA">
      <w:pPr>
        <w:pStyle w:val="Tableheading"/>
        <w:rPr>
          <w:rFonts w:eastAsiaTheme="minorHAnsi"/>
        </w:rPr>
      </w:pPr>
      <w:r>
        <w:rPr>
          <w:rFonts w:eastAsiaTheme="minorHAnsi"/>
        </w:rPr>
        <w:t>Table 2.1:</w:t>
      </w:r>
      <w:r>
        <w:rPr>
          <w:rFonts w:eastAsiaTheme="minorHAnsi"/>
        </w:rPr>
        <w:tab/>
      </w:r>
      <w:r w:rsidRPr="00B170C8">
        <w:rPr>
          <w:rFonts w:eastAsiaTheme="minorHAnsi"/>
        </w:rPr>
        <w:t>Changes to outputs by department</w:t>
      </w:r>
    </w:p>
    <w:p w:rsidR="00E25CC6" w:rsidRDefault="00E25CC6" w:rsidP="00B170C8">
      <w:pPr>
        <w:rPr>
          <w:rFonts w:eastAsiaTheme="minorHAnsi"/>
        </w:rPr>
      </w:pPr>
      <w:r>
        <w:rPr>
          <w:rFonts w:eastAsiaTheme="minorHAnsi"/>
        </w:rPr>
        <w:t>Table 2.1 reflects the recent changes to outputs across departments, and shows that outputs have decreased by one from 115 in 2015</w:t>
      </w:r>
      <w:r>
        <w:rPr>
          <w:rFonts w:eastAsiaTheme="minorHAnsi"/>
        </w:rPr>
        <w:noBreakHyphen/>
        <w:t>16 to 114 in 2016</w:t>
      </w:r>
      <w:r>
        <w:rPr>
          <w:rFonts w:eastAsiaTheme="minorHAnsi"/>
        </w:rPr>
        <w:noBreakHyphen/>
        <w:t>17.</w:t>
      </w:r>
    </w:p>
    <w:tbl>
      <w:tblPr>
        <w:tblW w:w="7811" w:type="dxa"/>
        <w:tblInd w:w="29" w:type="dxa"/>
        <w:tblLayout w:type="fixed"/>
        <w:tblCellMar>
          <w:left w:w="43" w:type="dxa"/>
          <w:right w:w="43" w:type="dxa"/>
        </w:tblCellMar>
        <w:tblLook w:val="04A0" w:firstRow="1" w:lastRow="0" w:firstColumn="1" w:lastColumn="0" w:noHBand="0" w:noVBand="1"/>
      </w:tblPr>
      <w:tblGrid>
        <w:gridCol w:w="3558"/>
        <w:gridCol w:w="1054"/>
        <w:gridCol w:w="1055"/>
        <w:gridCol w:w="1010"/>
        <w:gridCol w:w="1134"/>
      </w:tblGrid>
      <w:tr w:rsidR="00E25CC6" w:rsidRPr="00A93A6A" w:rsidTr="005A2B66">
        <w:trPr>
          <w:cantSplit/>
        </w:trPr>
        <w:tc>
          <w:tcPr>
            <w:tcW w:w="3558" w:type="dxa"/>
            <w:tcBorders>
              <w:top w:val="single" w:sz="12" w:space="0" w:color="FFFFFF" w:themeColor="background1"/>
              <w:left w:val="single" w:sz="12" w:space="0" w:color="FFFFFF" w:themeColor="background1"/>
              <w:bottom w:val="single" w:sz="4" w:space="0" w:color="auto"/>
            </w:tcBorders>
            <w:shd w:val="clear" w:color="auto" w:fill="000000"/>
          </w:tcPr>
          <w:p w:rsidR="00E25CC6" w:rsidRDefault="00E25CC6" w:rsidP="000829BC">
            <w:pPr>
              <w:pStyle w:val="Tabletextheading"/>
              <w:jc w:val="left"/>
            </w:pPr>
          </w:p>
          <w:p w:rsidR="00E25CC6" w:rsidRPr="00EC6ECC" w:rsidRDefault="00E25CC6" w:rsidP="000829BC">
            <w:pPr>
              <w:pStyle w:val="Tabletextheading"/>
              <w:jc w:val="left"/>
            </w:pPr>
            <w:r w:rsidRPr="00EC6ECC">
              <w:t>Department</w:t>
            </w:r>
          </w:p>
        </w:tc>
        <w:tc>
          <w:tcPr>
            <w:tcW w:w="1054" w:type="dxa"/>
            <w:tcBorders>
              <w:top w:val="single" w:sz="12" w:space="0" w:color="FFFFFF" w:themeColor="background1"/>
              <w:bottom w:val="single" w:sz="4" w:space="0" w:color="auto"/>
            </w:tcBorders>
            <w:shd w:val="clear" w:color="auto" w:fill="000000"/>
          </w:tcPr>
          <w:p w:rsidR="00E25CC6" w:rsidRPr="00EC6ECC" w:rsidRDefault="00E25CC6" w:rsidP="00B170C8">
            <w:pPr>
              <w:pStyle w:val="Tabletextheading"/>
            </w:pPr>
            <w:r w:rsidRPr="00EC6ECC">
              <w:t>Outputs 201</w:t>
            </w:r>
            <w:r>
              <w:t>5</w:t>
            </w:r>
            <w:r>
              <w:noBreakHyphen/>
            </w:r>
            <w:r w:rsidRPr="00EC6ECC">
              <w:t>1</w:t>
            </w:r>
            <w:r>
              <w:t>6</w:t>
            </w:r>
          </w:p>
        </w:tc>
        <w:tc>
          <w:tcPr>
            <w:tcW w:w="1055" w:type="dxa"/>
            <w:tcBorders>
              <w:top w:val="single" w:sz="12" w:space="0" w:color="FFFFFF" w:themeColor="background1"/>
              <w:bottom w:val="single" w:sz="4" w:space="0" w:color="auto"/>
            </w:tcBorders>
            <w:shd w:val="clear" w:color="auto" w:fill="000000"/>
          </w:tcPr>
          <w:p w:rsidR="00E25CC6" w:rsidRPr="00EC6ECC" w:rsidRDefault="00E25CC6" w:rsidP="00B170C8">
            <w:pPr>
              <w:pStyle w:val="Tabletextheading"/>
            </w:pPr>
            <w:r w:rsidRPr="00EC6ECC">
              <w:t>Outputs 201</w:t>
            </w:r>
            <w:r>
              <w:t>6</w:t>
            </w:r>
            <w:r>
              <w:noBreakHyphen/>
            </w:r>
            <w:r w:rsidRPr="00EC6ECC">
              <w:t>1</w:t>
            </w:r>
            <w:r>
              <w:t>7</w:t>
            </w:r>
          </w:p>
        </w:tc>
        <w:tc>
          <w:tcPr>
            <w:tcW w:w="1010" w:type="dxa"/>
            <w:tcBorders>
              <w:top w:val="single" w:sz="12" w:space="0" w:color="FFFFFF" w:themeColor="background1"/>
              <w:bottom w:val="single" w:sz="4" w:space="0" w:color="auto"/>
            </w:tcBorders>
            <w:shd w:val="clear" w:color="auto" w:fill="000000"/>
          </w:tcPr>
          <w:p w:rsidR="00E25CC6" w:rsidRPr="00EC6ECC" w:rsidRDefault="00E25CC6" w:rsidP="005A2B66">
            <w:pPr>
              <w:pStyle w:val="Tabletextheading"/>
            </w:pPr>
            <w:r w:rsidRPr="00EC6ECC">
              <w:t>Net movement</w:t>
            </w:r>
          </w:p>
        </w:tc>
        <w:tc>
          <w:tcPr>
            <w:tcW w:w="1134" w:type="dxa"/>
            <w:tcBorders>
              <w:top w:val="single" w:sz="12" w:space="0" w:color="FFFFFF" w:themeColor="background1"/>
              <w:bottom w:val="single" w:sz="4" w:space="0" w:color="auto"/>
              <w:right w:val="single" w:sz="12" w:space="0" w:color="FFFFFF" w:themeColor="background1"/>
            </w:tcBorders>
            <w:shd w:val="clear" w:color="auto" w:fill="000000"/>
          </w:tcPr>
          <w:p w:rsidR="00E25CC6" w:rsidRPr="00EC6ECC" w:rsidRDefault="00E25CC6" w:rsidP="005A2B66">
            <w:pPr>
              <w:pStyle w:val="Tabletextheading"/>
            </w:pPr>
            <w:r w:rsidRPr="00EC6ECC">
              <w:t>Reason for change</w:t>
            </w:r>
          </w:p>
        </w:tc>
      </w:tr>
      <w:tr w:rsidR="00E25CC6" w:rsidRPr="00A93A6A" w:rsidTr="005A2B66">
        <w:trPr>
          <w:cantSplit/>
        </w:trPr>
        <w:tc>
          <w:tcPr>
            <w:tcW w:w="3558" w:type="dxa"/>
            <w:tcBorders>
              <w:top w:val="single" w:sz="12" w:space="0" w:color="FFFFFF" w:themeColor="background1"/>
            </w:tcBorders>
            <w:shd w:val="clear" w:color="auto" w:fill="auto"/>
          </w:tcPr>
          <w:p w:rsidR="00E25CC6" w:rsidRPr="00A1394B" w:rsidRDefault="00E25CC6" w:rsidP="005A2B66">
            <w:pPr>
              <w:pStyle w:val="Tabletext"/>
              <w:rPr>
                <w:b/>
                <w:szCs w:val="19"/>
              </w:rPr>
            </w:pPr>
            <w:r w:rsidRPr="00A1394B">
              <w:rPr>
                <w:b/>
                <w:szCs w:val="19"/>
              </w:rPr>
              <w:t>Existing</w:t>
            </w:r>
          </w:p>
        </w:tc>
        <w:tc>
          <w:tcPr>
            <w:tcW w:w="1054" w:type="dxa"/>
            <w:tcBorders>
              <w:top w:val="single" w:sz="12" w:space="0" w:color="FFFFFF" w:themeColor="background1"/>
            </w:tcBorders>
            <w:shd w:val="clear" w:color="auto" w:fill="auto"/>
          </w:tcPr>
          <w:p w:rsidR="00E25CC6" w:rsidRPr="00A1394B" w:rsidRDefault="00E25CC6" w:rsidP="005A2B66">
            <w:pPr>
              <w:pStyle w:val="TableofFigures"/>
              <w:rPr>
                <w:sz w:val="19"/>
                <w:szCs w:val="19"/>
              </w:rPr>
            </w:pPr>
            <w:r w:rsidRPr="00A1394B">
              <w:rPr>
                <w:sz w:val="19"/>
                <w:szCs w:val="19"/>
              </w:rPr>
              <w:t xml:space="preserve"> </w:t>
            </w:r>
          </w:p>
        </w:tc>
        <w:tc>
          <w:tcPr>
            <w:tcW w:w="1055" w:type="dxa"/>
            <w:tcBorders>
              <w:top w:val="single" w:sz="12" w:space="0" w:color="FFFFFF" w:themeColor="background1"/>
            </w:tcBorders>
            <w:shd w:val="clear" w:color="auto" w:fill="auto"/>
          </w:tcPr>
          <w:p w:rsidR="00E25CC6" w:rsidRPr="00A1394B" w:rsidRDefault="00E25CC6" w:rsidP="005A2B66">
            <w:pPr>
              <w:pStyle w:val="TableofFigures"/>
              <w:rPr>
                <w:sz w:val="19"/>
                <w:szCs w:val="19"/>
              </w:rPr>
            </w:pPr>
            <w:r w:rsidRPr="00A1394B">
              <w:rPr>
                <w:sz w:val="19"/>
                <w:szCs w:val="19"/>
              </w:rPr>
              <w:t xml:space="preserve"> </w:t>
            </w:r>
          </w:p>
        </w:tc>
        <w:tc>
          <w:tcPr>
            <w:tcW w:w="1010" w:type="dxa"/>
            <w:tcBorders>
              <w:top w:val="single" w:sz="12" w:space="0" w:color="FFFFFF" w:themeColor="background1"/>
            </w:tcBorders>
            <w:shd w:val="clear" w:color="auto" w:fill="auto"/>
          </w:tcPr>
          <w:p w:rsidR="00E25CC6" w:rsidRPr="00A1394B" w:rsidRDefault="00E25CC6" w:rsidP="005A2B66">
            <w:pPr>
              <w:pStyle w:val="TableofFigures"/>
              <w:rPr>
                <w:sz w:val="19"/>
                <w:szCs w:val="19"/>
              </w:rPr>
            </w:pPr>
            <w:r w:rsidRPr="00A1394B">
              <w:rPr>
                <w:sz w:val="19"/>
                <w:szCs w:val="19"/>
              </w:rPr>
              <w:t xml:space="preserve"> </w:t>
            </w:r>
          </w:p>
        </w:tc>
        <w:tc>
          <w:tcPr>
            <w:tcW w:w="1134" w:type="dxa"/>
            <w:tcBorders>
              <w:top w:val="single" w:sz="12" w:space="0" w:color="FFFFFF" w:themeColor="background1"/>
            </w:tcBorders>
            <w:shd w:val="clear" w:color="auto" w:fill="auto"/>
          </w:tcPr>
          <w:p w:rsidR="00E25CC6" w:rsidRPr="00A1394B" w:rsidRDefault="00E25CC6" w:rsidP="005A2B66">
            <w:pPr>
              <w:pStyle w:val="TableofFigures"/>
              <w:rPr>
                <w:rFonts w:asciiTheme="minorHAnsi" w:hAnsiTheme="minorHAnsi" w:cstheme="minorHAnsi"/>
                <w:sz w:val="19"/>
                <w:szCs w:val="19"/>
                <w:highlight w:val="cyan"/>
              </w:rPr>
            </w:pPr>
            <w:r w:rsidRPr="00A1394B">
              <w:rPr>
                <w:rFonts w:asciiTheme="minorHAnsi" w:hAnsiTheme="minorHAnsi" w:cstheme="minorHAnsi"/>
                <w:sz w:val="19"/>
                <w:szCs w:val="19"/>
                <w:highlight w:val="cyan"/>
              </w:rPr>
              <w:t xml:space="preserve"> </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Department of Economic Development, Jobs, Transport and Resources</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22</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22</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0</w:t>
            </w:r>
          </w:p>
        </w:tc>
        <w:tc>
          <w:tcPr>
            <w:tcW w:w="1134" w:type="dxa"/>
            <w:shd w:val="clear" w:color="auto" w:fill="auto"/>
          </w:tcPr>
          <w:p w:rsidR="00E25CC6" w:rsidRPr="00275F5D" w:rsidRDefault="00E25CC6" w:rsidP="005A2B66">
            <w:pPr>
              <w:pStyle w:val="TableofFigures"/>
              <w:rPr>
                <w:sz w:val="19"/>
                <w:szCs w:val="19"/>
              </w:rPr>
            </w:pPr>
            <w:r w:rsidRPr="00275F5D">
              <w:rPr>
                <w:sz w:val="19"/>
                <w:szCs w:val="19"/>
              </w:rPr>
              <w:t>No change</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Department of Education and Training</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7</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7</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0</w:t>
            </w:r>
          </w:p>
        </w:tc>
        <w:tc>
          <w:tcPr>
            <w:tcW w:w="1134" w:type="dxa"/>
            <w:shd w:val="clear" w:color="auto" w:fill="auto"/>
          </w:tcPr>
          <w:p w:rsidR="00E25CC6" w:rsidRPr="00275F5D" w:rsidRDefault="00E25CC6" w:rsidP="005A2B66">
            <w:pPr>
              <w:pStyle w:val="TableofFigures"/>
              <w:rPr>
                <w:sz w:val="19"/>
                <w:szCs w:val="19"/>
              </w:rPr>
            </w:pPr>
            <w:r w:rsidRPr="00275F5D">
              <w:rPr>
                <w:sz w:val="19"/>
                <w:szCs w:val="19"/>
              </w:rPr>
              <w:t>No change</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Department of Environment, Land, Water and Planning</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10</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8</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(2)</w:t>
            </w:r>
          </w:p>
        </w:tc>
        <w:tc>
          <w:tcPr>
            <w:tcW w:w="1134" w:type="dxa"/>
            <w:shd w:val="clear" w:color="auto" w:fill="auto"/>
          </w:tcPr>
          <w:p w:rsidR="00E25CC6" w:rsidRPr="00275F5D" w:rsidRDefault="00E25CC6" w:rsidP="005A2B66">
            <w:pPr>
              <w:pStyle w:val="TableofFigures"/>
              <w:ind w:left="-43"/>
              <w:rPr>
                <w:sz w:val="19"/>
                <w:szCs w:val="19"/>
              </w:rPr>
            </w:pPr>
            <w:r w:rsidRPr="00275F5D">
              <w:rPr>
                <w:sz w:val="19"/>
                <w:szCs w:val="19"/>
              </w:rPr>
              <w:t>Restructure</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Department of Health and Human Services</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34</w:t>
            </w:r>
          </w:p>
        </w:tc>
        <w:tc>
          <w:tcPr>
            <w:tcW w:w="1055" w:type="dxa"/>
            <w:shd w:val="clear" w:color="auto" w:fill="auto"/>
          </w:tcPr>
          <w:p w:rsidR="00E25CC6" w:rsidRPr="00275F5D" w:rsidRDefault="00E25CC6" w:rsidP="005A2B66">
            <w:pPr>
              <w:pStyle w:val="TableofFigures"/>
              <w:rPr>
                <w:sz w:val="19"/>
                <w:szCs w:val="19"/>
              </w:rPr>
            </w:pPr>
            <w:r>
              <w:rPr>
                <w:sz w:val="19"/>
                <w:szCs w:val="19"/>
              </w:rPr>
              <w:t>35</w:t>
            </w:r>
          </w:p>
        </w:tc>
        <w:tc>
          <w:tcPr>
            <w:tcW w:w="1010" w:type="dxa"/>
            <w:shd w:val="clear" w:color="auto" w:fill="auto"/>
          </w:tcPr>
          <w:p w:rsidR="00E25CC6" w:rsidRPr="00275F5D" w:rsidRDefault="00E25CC6" w:rsidP="005A2B66">
            <w:pPr>
              <w:pStyle w:val="TableofFigures"/>
              <w:rPr>
                <w:sz w:val="19"/>
                <w:szCs w:val="19"/>
              </w:rPr>
            </w:pPr>
            <w:r>
              <w:rPr>
                <w:sz w:val="19"/>
                <w:szCs w:val="19"/>
              </w:rPr>
              <w:t>1</w:t>
            </w:r>
          </w:p>
        </w:tc>
        <w:tc>
          <w:tcPr>
            <w:tcW w:w="1134" w:type="dxa"/>
            <w:shd w:val="clear" w:color="auto" w:fill="auto"/>
          </w:tcPr>
          <w:p w:rsidR="00E25CC6" w:rsidRPr="00275F5D" w:rsidRDefault="00E25CC6" w:rsidP="00944C98">
            <w:pPr>
              <w:pStyle w:val="TableofFigures"/>
              <w:rPr>
                <w:sz w:val="19"/>
                <w:szCs w:val="19"/>
              </w:rPr>
            </w:pPr>
            <w:r>
              <w:rPr>
                <w:sz w:val="19"/>
                <w:szCs w:val="19"/>
              </w:rPr>
              <w:t>New function</w:t>
            </w:r>
          </w:p>
        </w:tc>
      </w:tr>
      <w:tr w:rsidR="00E25CC6" w:rsidRPr="00657606" w:rsidTr="005A2B66">
        <w:trPr>
          <w:cantSplit/>
        </w:trPr>
        <w:tc>
          <w:tcPr>
            <w:tcW w:w="3558" w:type="dxa"/>
            <w:shd w:val="clear" w:color="auto" w:fill="auto"/>
          </w:tcPr>
          <w:p w:rsidR="00E25CC6" w:rsidRPr="00A1394B" w:rsidRDefault="00E25CC6" w:rsidP="00A1394B">
            <w:pPr>
              <w:pStyle w:val="Tabletext"/>
            </w:pPr>
            <w:r w:rsidRPr="00A1394B">
              <w:t>Department of Justice and Regulation</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11</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12</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1</w:t>
            </w:r>
          </w:p>
        </w:tc>
        <w:tc>
          <w:tcPr>
            <w:tcW w:w="1134" w:type="dxa"/>
            <w:shd w:val="clear" w:color="auto" w:fill="auto"/>
          </w:tcPr>
          <w:p w:rsidR="00E25CC6" w:rsidRPr="00275F5D" w:rsidRDefault="00E25CC6" w:rsidP="005A2B66">
            <w:pPr>
              <w:pStyle w:val="TableofFigures"/>
              <w:rPr>
                <w:sz w:val="19"/>
                <w:szCs w:val="19"/>
              </w:rPr>
            </w:pPr>
            <w:r w:rsidRPr="00275F5D">
              <w:rPr>
                <w:sz w:val="19"/>
                <w:szCs w:val="19"/>
              </w:rPr>
              <w:t>Increased transparency</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Department of Premier and Cabinet</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15</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15</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0</w:t>
            </w:r>
          </w:p>
        </w:tc>
        <w:tc>
          <w:tcPr>
            <w:tcW w:w="1134" w:type="dxa"/>
            <w:shd w:val="clear" w:color="auto" w:fill="auto"/>
          </w:tcPr>
          <w:p w:rsidR="00E25CC6" w:rsidRPr="00275F5D" w:rsidRDefault="00E25CC6" w:rsidP="005A2B66">
            <w:pPr>
              <w:pStyle w:val="TableofFigures"/>
              <w:rPr>
                <w:sz w:val="19"/>
                <w:szCs w:val="19"/>
              </w:rPr>
            </w:pPr>
            <w:r w:rsidRPr="00275F5D">
              <w:rPr>
                <w:sz w:val="19"/>
                <w:szCs w:val="19"/>
              </w:rPr>
              <w:t>No change</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Department of Treasury and Finance</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9</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7</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(2)</w:t>
            </w:r>
          </w:p>
        </w:tc>
        <w:tc>
          <w:tcPr>
            <w:tcW w:w="1134" w:type="dxa"/>
            <w:shd w:val="clear" w:color="auto" w:fill="auto"/>
          </w:tcPr>
          <w:p w:rsidR="00E25CC6" w:rsidRPr="00275F5D" w:rsidRDefault="00E25CC6" w:rsidP="005A2B66">
            <w:pPr>
              <w:pStyle w:val="TableofFigures"/>
              <w:rPr>
                <w:sz w:val="19"/>
                <w:szCs w:val="19"/>
              </w:rPr>
            </w:pPr>
            <w:r w:rsidRPr="00275F5D">
              <w:rPr>
                <w:sz w:val="19"/>
                <w:szCs w:val="19"/>
              </w:rPr>
              <w:t>Restructure</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Parliament/VAGO</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6</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7</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1</w:t>
            </w:r>
          </w:p>
        </w:tc>
        <w:tc>
          <w:tcPr>
            <w:tcW w:w="1134" w:type="dxa"/>
            <w:shd w:val="clear" w:color="auto" w:fill="auto"/>
          </w:tcPr>
          <w:p w:rsidR="00E25CC6" w:rsidRPr="00275F5D" w:rsidRDefault="00E25CC6" w:rsidP="005A2B66">
            <w:pPr>
              <w:pStyle w:val="TableofFigures"/>
              <w:rPr>
                <w:sz w:val="19"/>
                <w:szCs w:val="19"/>
              </w:rPr>
            </w:pPr>
            <w:r w:rsidRPr="00275F5D">
              <w:rPr>
                <w:sz w:val="19"/>
                <w:szCs w:val="19"/>
              </w:rPr>
              <w:t>New body</w:t>
            </w:r>
          </w:p>
        </w:tc>
      </w:tr>
      <w:tr w:rsidR="00E25CC6" w:rsidRPr="00A93A6A" w:rsidTr="005A2B66">
        <w:trPr>
          <w:cantSplit/>
        </w:trPr>
        <w:tc>
          <w:tcPr>
            <w:tcW w:w="3558" w:type="dxa"/>
            <w:shd w:val="clear" w:color="auto" w:fill="auto"/>
          </w:tcPr>
          <w:p w:rsidR="00E25CC6" w:rsidRPr="00A1394B" w:rsidRDefault="00E25CC6" w:rsidP="00A1394B">
            <w:pPr>
              <w:pStyle w:val="Tabletext"/>
            </w:pPr>
            <w:r w:rsidRPr="00A1394B">
              <w:t>Court Services Victoria</w:t>
            </w:r>
          </w:p>
        </w:tc>
        <w:tc>
          <w:tcPr>
            <w:tcW w:w="1054" w:type="dxa"/>
            <w:shd w:val="clear" w:color="auto" w:fill="auto"/>
          </w:tcPr>
          <w:p w:rsidR="00E25CC6" w:rsidRPr="00A1394B" w:rsidRDefault="00E25CC6" w:rsidP="005A2B66">
            <w:pPr>
              <w:pStyle w:val="TableofFigures"/>
              <w:rPr>
                <w:sz w:val="19"/>
                <w:szCs w:val="19"/>
              </w:rPr>
            </w:pPr>
            <w:r w:rsidRPr="00A1394B">
              <w:rPr>
                <w:sz w:val="19"/>
                <w:szCs w:val="19"/>
              </w:rPr>
              <w:t>1</w:t>
            </w:r>
          </w:p>
        </w:tc>
        <w:tc>
          <w:tcPr>
            <w:tcW w:w="1055" w:type="dxa"/>
            <w:shd w:val="clear" w:color="auto" w:fill="auto"/>
          </w:tcPr>
          <w:p w:rsidR="00E25CC6" w:rsidRPr="00275F5D" w:rsidRDefault="00E25CC6" w:rsidP="005A2B66">
            <w:pPr>
              <w:pStyle w:val="TableofFigures"/>
              <w:rPr>
                <w:sz w:val="19"/>
                <w:szCs w:val="19"/>
              </w:rPr>
            </w:pPr>
            <w:r w:rsidRPr="00275F5D">
              <w:rPr>
                <w:sz w:val="19"/>
                <w:szCs w:val="19"/>
              </w:rPr>
              <w:t>1</w:t>
            </w:r>
          </w:p>
        </w:tc>
        <w:tc>
          <w:tcPr>
            <w:tcW w:w="1010" w:type="dxa"/>
            <w:shd w:val="clear" w:color="auto" w:fill="auto"/>
          </w:tcPr>
          <w:p w:rsidR="00E25CC6" w:rsidRPr="00275F5D" w:rsidRDefault="00E25CC6" w:rsidP="005A2B66">
            <w:pPr>
              <w:pStyle w:val="TableofFigures"/>
              <w:rPr>
                <w:sz w:val="19"/>
                <w:szCs w:val="19"/>
              </w:rPr>
            </w:pPr>
            <w:r w:rsidRPr="00275F5D">
              <w:rPr>
                <w:sz w:val="19"/>
                <w:szCs w:val="19"/>
              </w:rPr>
              <w:t>0</w:t>
            </w:r>
          </w:p>
        </w:tc>
        <w:tc>
          <w:tcPr>
            <w:tcW w:w="1134" w:type="dxa"/>
            <w:shd w:val="clear" w:color="auto" w:fill="auto"/>
          </w:tcPr>
          <w:p w:rsidR="00E25CC6" w:rsidRPr="00275F5D" w:rsidRDefault="00E25CC6" w:rsidP="005A2B66">
            <w:pPr>
              <w:pStyle w:val="TableofFigures"/>
              <w:rPr>
                <w:sz w:val="19"/>
                <w:szCs w:val="19"/>
              </w:rPr>
            </w:pPr>
            <w:r w:rsidRPr="00275F5D">
              <w:rPr>
                <w:sz w:val="19"/>
                <w:szCs w:val="19"/>
              </w:rPr>
              <w:t>No change</w:t>
            </w:r>
          </w:p>
        </w:tc>
      </w:tr>
      <w:tr w:rsidR="00E25CC6" w:rsidRPr="00993275" w:rsidTr="005A2B66">
        <w:trPr>
          <w:cantSplit/>
        </w:trPr>
        <w:tc>
          <w:tcPr>
            <w:tcW w:w="3558" w:type="dxa"/>
            <w:tcBorders>
              <w:top w:val="single" w:sz="6" w:space="0" w:color="auto"/>
              <w:bottom w:val="single" w:sz="12" w:space="0" w:color="auto"/>
            </w:tcBorders>
            <w:shd w:val="clear" w:color="auto" w:fill="auto"/>
          </w:tcPr>
          <w:p w:rsidR="00E25CC6" w:rsidRPr="00A1394B" w:rsidRDefault="00E25CC6" w:rsidP="005A2B66">
            <w:pPr>
              <w:pStyle w:val="Tabletext"/>
              <w:rPr>
                <w:b/>
                <w:szCs w:val="19"/>
              </w:rPr>
            </w:pPr>
            <w:r w:rsidRPr="00A1394B">
              <w:rPr>
                <w:b/>
                <w:szCs w:val="19"/>
              </w:rPr>
              <w:t>Total</w:t>
            </w:r>
          </w:p>
        </w:tc>
        <w:tc>
          <w:tcPr>
            <w:tcW w:w="1054" w:type="dxa"/>
            <w:tcBorders>
              <w:top w:val="single" w:sz="6" w:space="0" w:color="auto"/>
              <w:bottom w:val="single" w:sz="12" w:space="0" w:color="auto"/>
            </w:tcBorders>
            <w:shd w:val="clear" w:color="auto" w:fill="auto"/>
          </w:tcPr>
          <w:p w:rsidR="00E25CC6" w:rsidRPr="00A1394B" w:rsidRDefault="00E25CC6" w:rsidP="005A2B66">
            <w:pPr>
              <w:pStyle w:val="TableofFigures"/>
              <w:rPr>
                <w:b/>
                <w:sz w:val="19"/>
                <w:szCs w:val="19"/>
              </w:rPr>
            </w:pPr>
            <w:r w:rsidRPr="00A1394B">
              <w:rPr>
                <w:b/>
                <w:sz w:val="19"/>
                <w:szCs w:val="19"/>
              </w:rPr>
              <w:t>115</w:t>
            </w:r>
          </w:p>
        </w:tc>
        <w:tc>
          <w:tcPr>
            <w:tcW w:w="1055" w:type="dxa"/>
            <w:tcBorders>
              <w:top w:val="single" w:sz="6" w:space="0" w:color="auto"/>
              <w:bottom w:val="single" w:sz="12" w:space="0" w:color="auto"/>
            </w:tcBorders>
            <w:shd w:val="clear" w:color="auto" w:fill="auto"/>
          </w:tcPr>
          <w:p w:rsidR="00E25CC6" w:rsidRPr="00AA0186" w:rsidRDefault="00E25CC6" w:rsidP="005A2B66">
            <w:pPr>
              <w:pStyle w:val="TableofFigures"/>
              <w:rPr>
                <w:b/>
                <w:sz w:val="19"/>
                <w:szCs w:val="19"/>
              </w:rPr>
            </w:pPr>
            <w:r w:rsidRPr="00AA0186">
              <w:rPr>
                <w:b/>
                <w:sz w:val="19"/>
                <w:szCs w:val="19"/>
              </w:rPr>
              <w:t>114</w:t>
            </w:r>
          </w:p>
        </w:tc>
        <w:tc>
          <w:tcPr>
            <w:tcW w:w="1010" w:type="dxa"/>
            <w:tcBorders>
              <w:top w:val="single" w:sz="6" w:space="0" w:color="auto"/>
              <w:bottom w:val="single" w:sz="12" w:space="0" w:color="auto"/>
            </w:tcBorders>
            <w:shd w:val="clear" w:color="auto" w:fill="auto"/>
          </w:tcPr>
          <w:p w:rsidR="00E25CC6" w:rsidRPr="00AA0186" w:rsidRDefault="00E25CC6" w:rsidP="005A2B66">
            <w:pPr>
              <w:pStyle w:val="TableofFigures"/>
              <w:rPr>
                <w:b/>
                <w:sz w:val="19"/>
                <w:szCs w:val="19"/>
              </w:rPr>
            </w:pPr>
            <w:r w:rsidRPr="00AA0186">
              <w:rPr>
                <w:b/>
                <w:sz w:val="19"/>
                <w:szCs w:val="19"/>
              </w:rPr>
              <w:t>(1)</w:t>
            </w:r>
          </w:p>
        </w:tc>
        <w:tc>
          <w:tcPr>
            <w:tcW w:w="1134" w:type="dxa"/>
            <w:tcBorders>
              <w:top w:val="single" w:sz="6" w:space="0" w:color="auto"/>
              <w:bottom w:val="single" w:sz="12" w:space="0" w:color="auto"/>
            </w:tcBorders>
            <w:shd w:val="clear" w:color="auto" w:fill="auto"/>
          </w:tcPr>
          <w:p w:rsidR="00E25CC6" w:rsidRPr="00A1394B" w:rsidRDefault="00E25CC6" w:rsidP="005A2B66">
            <w:pPr>
              <w:pStyle w:val="TableofFigures"/>
              <w:rPr>
                <w:b/>
                <w:sz w:val="19"/>
                <w:szCs w:val="19"/>
              </w:rPr>
            </w:pPr>
          </w:p>
        </w:tc>
      </w:tr>
    </w:tbl>
    <w:p w:rsidR="00E25CC6" w:rsidRPr="00B170C8" w:rsidRDefault="00E25CC6" w:rsidP="000829BC">
      <w:pPr>
        <w:pStyle w:val="Source"/>
        <w:rPr>
          <w:rFonts w:eastAsiaTheme="minorHAnsi"/>
        </w:rPr>
      </w:pPr>
      <w:r>
        <w:rPr>
          <w:rFonts w:eastAsiaTheme="minorHAnsi"/>
        </w:rPr>
        <w:t xml:space="preserve">Source: Whole of government </w:t>
      </w:r>
    </w:p>
    <w:p w:rsidR="00E25CC6" w:rsidRDefault="00E25CC6" w:rsidP="00C41153">
      <w:pPr>
        <w:pStyle w:val="Heading2"/>
      </w:pPr>
      <w:r>
        <w:t>Other matters to note</w:t>
      </w:r>
    </w:p>
    <w:p w:rsidR="00E25CC6" w:rsidRDefault="00E25CC6" w:rsidP="00A1394B">
      <w:r>
        <w:t>Performance measures that are proposed to be substantially changed or discontinued in 2016</w:t>
      </w:r>
      <w:r>
        <w:noBreakHyphen/>
        <w:t>17 are identified in ‘</w:t>
      </w:r>
      <w:r w:rsidRPr="007C35B5">
        <w:t>Appendix A</w:t>
      </w:r>
      <w:r>
        <w:t>:</w:t>
      </w:r>
      <w:r w:rsidRPr="007C35B5">
        <w:t xml:space="preserve"> Output performance measures for review by the Public Accounts and Estimates Committee</w:t>
      </w:r>
      <w:r>
        <w:t>’.</w:t>
      </w:r>
    </w:p>
    <w:p w:rsidR="00E25CC6" w:rsidRDefault="00E25CC6" w:rsidP="00A1394B">
      <w:r>
        <w:t>Situations where it is appropriate to substantially change or discontinue a performance measure include where:</w:t>
      </w:r>
    </w:p>
    <w:p w:rsidR="00E25CC6" w:rsidRDefault="00E25CC6" w:rsidP="00C41153">
      <w:pPr>
        <w:pStyle w:val="BulletText"/>
      </w:pPr>
      <w:r>
        <w:t>a current measure can be replaced by a more appropriate measure and the new measure will provide more meaningful information to the Parliament and the public;</w:t>
      </w:r>
    </w:p>
    <w:p w:rsidR="00E25CC6" w:rsidRDefault="00E25CC6" w:rsidP="00C41153">
      <w:pPr>
        <w:pStyle w:val="BulletText"/>
      </w:pPr>
      <w:r>
        <w:t>it is no longer relevant due to a change in Government policy or priorities and/or departmental objectives;</w:t>
      </w:r>
    </w:p>
    <w:p w:rsidR="00E25CC6" w:rsidRDefault="00E25CC6" w:rsidP="00C41153">
      <w:pPr>
        <w:pStyle w:val="BulletText"/>
      </w:pPr>
      <w:r>
        <w:t>milestones, projects or programs have been completed, substantially changed, or discontinued; and</w:t>
      </w:r>
    </w:p>
    <w:p w:rsidR="00E25CC6" w:rsidRDefault="00E25CC6" w:rsidP="00C41153">
      <w:pPr>
        <w:pStyle w:val="BulletText"/>
      </w:pPr>
      <w:r>
        <w:t>funding is not provided in the current budget for the continuation of the initiative.</w:t>
      </w:r>
    </w:p>
    <w:p w:rsidR="00E25CC6" w:rsidRDefault="00E25CC6" w:rsidP="00C41153">
      <w:pPr>
        <w:pStyle w:val="BulletText"/>
        <w:numPr>
          <w:ilvl w:val="0"/>
          <w:numId w:val="0"/>
        </w:numPr>
      </w:pPr>
      <w:r>
        <w:t xml:space="preserve">In the main, substantially changed or discontinued measures have been amended or replaced by new measures that provide a stronger basis for evaluation of performance in the delivery of services to the community. </w:t>
      </w:r>
    </w:p>
    <w:p w:rsidR="00E25CC6" w:rsidRDefault="00E25CC6" w:rsidP="000829BC">
      <w:pPr>
        <w:pStyle w:val="BulletText"/>
        <w:numPr>
          <w:ilvl w:val="0"/>
          <w:numId w:val="0"/>
        </w:numPr>
      </w:pPr>
      <w:r>
        <w:t>When reading the performance statements, ‘nm’ refers to a new performance measure and ‘na’ refers to data either not being available or not applicable in the specified year. Where a department has included a new measure in 2016</w:t>
      </w:r>
      <w:r>
        <w:rPr>
          <w:i/>
        </w:rPr>
        <w:noBreakHyphen/>
      </w:r>
      <w:r>
        <w:t xml:space="preserve">17, historical performance data has been provided, where available, to assist with analysis of the department’s performance over time. </w:t>
      </w:r>
    </w:p>
    <w:p w:rsidR="00E25CC6" w:rsidRDefault="00E25CC6" w:rsidP="000829BC">
      <w:pPr>
        <w:pStyle w:val="BulletText"/>
        <w:numPr>
          <w:ilvl w:val="0"/>
          <w:numId w:val="0"/>
        </w:numPr>
        <w:rPr>
          <w:rFonts w:eastAsiaTheme="minorHAnsi"/>
        </w:rPr>
      </w:pPr>
    </w:p>
    <w:p w:rsidR="00E25CC6" w:rsidRDefault="00E25CC6" w:rsidP="00243370">
      <w:pPr>
        <w:rPr>
          <w:rFonts w:eastAsiaTheme="minorHAnsi"/>
        </w:rPr>
        <w:sectPr w:rsidR="00E25CC6" w:rsidSect="00F302FC">
          <w:footerReference w:type="even" r:id="rId23"/>
          <w:footerReference w:type="default" r:id="rId24"/>
          <w:type w:val="oddPage"/>
          <w:pgSz w:w="9979" w:h="14181" w:code="138"/>
          <w:pgMar w:top="1138" w:right="1138" w:bottom="1138" w:left="1138" w:header="720" w:footer="432" w:gutter="0"/>
          <w:cols w:space="708"/>
          <w:docGrid w:linePitch="360"/>
        </w:sectPr>
      </w:pPr>
    </w:p>
    <w:p w:rsidR="00E25CC6" w:rsidRDefault="00E25CC6" w:rsidP="00D86DE0">
      <w:pPr>
        <w:pStyle w:val="Heading1"/>
        <w:rPr>
          <w:rFonts w:eastAsiaTheme="minorHAnsi"/>
        </w:rPr>
      </w:pPr>
      <w:bookmarkStart w:id="55" w:name="_Toc449109438"/>
      <w:r>
        <w:rPr>
          <w:rFonts w:eastAsiaTheme="minorHAnsi"/>
        </w:rPr>
        <w:t xml:space="preserve">Department of </w:t>
      </w:r>
      <w:r>
        <w:t>Economic Development, Jobs, Transport and Resources</w:t>
      </w:r>
      <w:bookmarkEnd w:id="55"/>
    </w:p>
    <w:p w:rsidR="00E25CC6" w:rsidRDefault="00E25CC6" w:rsidP="007F13D4">
      <w:pPr>
        <w:pStyle w:val="Heading2"/>
        <w:rPr>
          <w:rFonts w:eastAsiaTheme="minorHAnsi"/>
        </w:rPr>
      </w:pPr>
      <w:r>
        <w:rPr>
          <w:rFonts w:eastAsiaTheme="minorHAnsi"/>
        </w:rPr>
        <w:t>Ministerial portfolios</w:t>
      </w:r>
    </w:p>
    <w:p w:rsidR="00E25CC6" w:rsidRDefault="00E25CC6" w:rsidP="00D86DE0">
      <w:pPr>
        <w:rPr>
          <w:rFonts w:eastAsiaTheme="minorHAnsi"/>
        </w:rPr>
      </w:pPr>
      <w:r w:rsidRPr="00721A9C">
        <w:rPr>
          <w:rFonts w:eastAsiaTheme="minorHAnsi"/>
        </w:rPr>
        <w:t>The Department supports the ministerial portfolios of Public Transport; Employment; Agriculture; Regional Development; Industry; Energy and Resources; Roads and Road Safety; Ports; Tourism and Major Events; Creative Industries; Small Business, Innovation and Trade; Industrial Relations; and Training and Skills (international education).</w:t>
      </w:r>
    </w:p>
    <w:p w:rsidR="00E25CC6" w:rsidRDefault="00E25CC6" w:rsidP="007F13D4">
      <w:pPr>
        <w:pStyle w:val="Heading2"/>
        <w:rPr>
          <w:rFonts w:eastAsiaTheme="minorHAnsi"/>
        </w:rPr>
      </w:pPr>
      <w:r>
        <w:rPr>
          <w:rFonts w:eastAsiaTheme="minorHAnsi"/>
        </w:rPr>
        <w:t>Departmental mission statement</w:t>
      </w:r>
    </w:p>
    <w:p w:rsidR="00E25CC6" w:rsidRDefault="00E25CC6" w:rsidP="00D86DE0">
      <w:pPr>
        <w:rPr>
          <w:rFonts w:eastAsiaTheme="minorHAnsi"/>
        </w:rPr>
      </w:pPr>
      <w:r w:rsidRPr="00721A9C">
        <w:rPr>
          <w:rFonts w:eastAsiaTheme="minorHAnsi"/>
        </w:rPr>
        <w:t>Lift the living standards and wellbeing of all Victorians by sustainably growing Victoria</w:t>
      </w:r>
      <w:r>
        <w:rPr>
          <w:rFonts w:eastAsiaTheme="minorHAnsi"/>
        </w:rPr>
        <w:t>’</w:t>
      </w:r>
      <w:r w:rsidRPr="00721A9C">
        <w:rPr>
          <w:rFonts w:eastAsiaTheme="minorHAnsi"/>
        </w:rPr>
        <w:t>s economy and employment and by working with the private and public sectors to foster innovation, creativity, productivity, investment and trade.</w:t>
      </w:r>
    </w:p>
    <w:p w:rsidR="00E25CC6" w:rsidRDefault="00E25CC6" w:rsidP="007F13D4">
      <w:pPr>
        <w:pStyle w:val="Heading2"/>
        <w:rPr>
          <w:rFonts w:eastAsiaTheme="minorHAnsi"/>
        </w:rPr>
      </w:pPr>
      <w:r>
        <w:rPr>
          <w:rFonts w:eastAsiaTheme="minorHAnsi"/>
        </w:rPr>
        <w:t>Departmental objectives, indicators and outputs</w:t>
      </w:r>
    </w:p>
    <w:p w:rsidR="00E25CC6" w:rsidRDefault="00E25CC6" w:rsidP="00804F7C">
      <w:pPr>
        <w:rPr>
          <w:rFonts w:eastAsiaTheme="minorHAnsi"/>
        </w:rPr>
      </w:pPr>
      <w:r w:rsidRPr="00721A9C">
        <w:rPr>
          <w:rFonts w:eastAsiaTheme="minorHAnsi"/>
        </w:rPr>
        <w:t>The Department of Economic Development, Jobs, Transport and Resources</w:t>
      </w:r>
      <w:r>
        <w:rPr>
          <w:rFonts w:eastAsiaTheme="minorHAnsi"/>
        </w:rPr>
        <w:t>’</w:t>
      </w:r>
      <w:r w:rsidRPr="00721A9C">
        <w:rPr>
          <w:rFonts w:eastAsiaTheme="minorHAnsi"/>
        </w:rPr>
        <w:t xml:space="preserve"> objectives, indicators and linked outputs are:</w:t>
      </w:r>
    </w:p>
    <w:tbl>
      <w:tblPr>
        <w:tblW w:w="5000" w:type="pct"/>
        <w:tblBorders>
          <w:bottom w:val="single" w:sz="12" w:space="0" w:color="auto"/>
          <w:insideH w:val="single" w:sz="6" w:space="0" w:color="auto"/>
        </w:tblBorders>
        <w:tblCellMar>
          <w:left w:w="43" w:type="dxa"/>
          <w:right w:w="43" w:type="dxa"/>
        </w:tblCellMar>
        <w:tblLook w:val="04A0" w:firstRow="1" w:lastRow="0" w:firstColumn="1" w:lastColumn="0" w:noHBand="0" w:noVBand="1"/>
      </w:tblPr>
      <w:tblGrid>
        <w:gridCol w:w="2169"/>
        <w:gridCol w:w="3117"/>
        <w:gridCol w:w="2499"/>
      </w:tblGrid>
      <w:tr w:rsidR="00E25CC6" w:rsidTr="00804F7C">
        <w:trPr>
          <w:cantSplit/>
          <w:trHeight w:val="240"/>
          <w:tblHeader/>
        </w:trPr>
        <w:tc>
          <w:tcPr>
            <w:tcW w:w="1393" w:type="pct"/>
            <w:shd w:val="clear" w:color="auto" w:fill="000000"/>
          </w:tcPr>
          <w:p w:rsidR="00E25CC6" w:rsidRPr="00975E17" w:rsidRDefault="00E25CC6" w:rsidP="00721A9C">
            <w:pPr>
              <w:pStyle w:val="TabletextheadingLeft0"/>
            </w:pPr>
            <w:r w:rsidRPr="00975E17">
              <w:t>Departmental objectives</w:t>
            </w:r>
          </w:p>
        </w:tc>
        <w:tc>
          <w:tcPr>
            <w:tcW w:w="2002" w:type="pct"/>
            <w:shd w:val="clear" w:color="auto" w:fill="000000"/>
          </w:tcPr>
          <w:p w:rsidR="00E25CC6" w:rsidRPr="00975E17" w:rsidRDefault="00E25CC6" w:rsidP="00721A9C">
            <w:pPr>
              <w:pStyle w:val="TabletextheadingLeft0"/>
            </w:pPr>
            <w:r>
              <w:t>I</w:t>
            </w:r>
            <w:r w:rsidRPr="00975E17">
              <w:t>ndicators</w:t>
            </w:r>
          </w:p>
        </w:tc>
        <w:tc>
          <w:tcPr>
            <w:tcW w:w="1605" w:type="pct"/>
            <w:shd w:val="clear" w:color="auto" w:fill="000000" w:themeFill="text1"/>
          </w:tcPr>
          <w:p w:rsidR="00E25CC6" w:rsidRPr="00DD1288" w:rsidRDefault="00E25CC6" w:rsidP="00721A9C">
            <w:pPr>
              <w:pStyle w:val="TabletextheadingLeft0"/>
            </w:pPr>
            <w:r>
              <w:rPr>
                <w:color w:val="FFFFFF" w:themeColor="background1"/>
              </w:rPr>
              <w:t>Outputs</w:t>
            </w:r>
          </w:p>
        </w:tc>
      </w:tr>
      <w:tr w:rsidR="00E25CC6" w:rsidTr="00804F7C">
        <w:trPr>
          <w:cantSplit/>
          <w:trHeight w:val="1139"/>
        </w:trPr>
        <w:tc>
          <w:tcPr>
            <w:tcW w:w="1393" w:type="pct"/>
            <w:tcBorders>
              <w:bottom w:val="single" w:sz="6" w:space="0" w:color="auto"/>
            </w:tcBorders>
            <w:shd w:val="clear" w:color="auto" w:fill="auto"/>
          </w:tcPr>
          <w:p w:rsidR="00E25CC6" w:rsidRPr="000B58D1" w:rsidRDefault="00E25CC6" w:rsidP="00721A9C">
            <w:pPr>
              <w:pStyle w:val="Tabletextnoindent"/>
            </w:pPr>
            <w:r w:rsidRPr="00D41E85">
              <w:t>Increase the economic, social and cultural value and impact of the creative industries.</w:t>
            </w:r>
          </w:p>
        </w:tc>
        <w:tc>
          <w:tcPr>
            <w:tcW w:w="2002" w:type="pct"/>
            <w:tcBorders>
              <w:bottom w:val="single" w:sz="6" w:space="0" w:color="auto"/>
            </w:tcBorders>
            <w:shd w:val="clear" w:color="auto" w:fill="auto"/>
          </w:tcPr>
          <w:p w:rsidR="00E25CC6" w:rsidRPr="00D41E85" w:rsidRDefault="00E25CC6" w:rsidP="00721A9C">
            <w:pPr>
              <w:pStyle w:val="Tabletextnoindent"/>
            </w:pPr>
            <w:r w:rsidRPr="00D41E85">
              <w:t>Attendance at creative and cultural events and experiences</w:t>
            </w:r>
          </w:p>
          <w:p w:rsidR="00E25CC6" w:rsidRPr="00D41E85" w:rsidRDefault="00E25CC6" w:rsidP="00721A9C">
            <w:pPr>
              <w:pStyle w:val="Tabletextnoindent"/>
            </w:pPr>
            <w:r w:rsidRPr="00D41E85">
              <w:t>Creative organisations and projects supported</w:t>
            </w:r>
          </w:p>
          <w:p w:rsidR="00E25CC6" w:rsidRPr="000B58D1" w:rsidRDefault="00E25CC6" w:rsidP="00721A9C">
            <w:pPr>
              <w:pStyle w:val="Tabletextnoindent"/>
            </w:pPr>
            <w:r w:rsidRPr="00D41E85">
              <w:t>Visitor satisfaction at creative and cultural events, and state</w:t>
            </w:r>
            <w:r>
              <w:noBreakHyphen/>
            </w:r>
            <w:r w:rsidRPr="00D41E85">
              <w:t>owned cultural facilities</w:t>
            </w:r>
          </w:p>
        </w:tc>
        <w:tc>
          <w:tcPr>
            <w:tcW w:w="1605" w:type="pct"/>
            <w:tcBorders>
              <w:bottom w:val="single" w:sz="6" w:space="0" w:color="auto"/>
            </w:tcBorders>
            <w:shd w:val="clear" w:color="auto" w:fill="auto"/>
          </w:tcPr>
          <w:p w:rsidR="00E25CC6" w:rsidRPr="00D41E85" w:rsidRDefault="00E25CC6" w:rsidP="00721A9C">
            <w:pPr>
              <w:pStyle w:val="Tabletextnoindent"/>
            </w:pPr>
            <w:r w:rsidRPr="00D41E85">
              <w:t>Access, Industry Development and Innovation</w:t>
            </w:r>
          </w:p>
          <w:p w:rsidR="00E25CC6" w:rsidRPr="00D41E85" w:rsidRDefault="00E25CC6" w:rsidP="00721A9C">
            <w:pPr>
              <w:pStyle w:val="Tabletextnoindent"/>
            </w:pPr>
            <w:r w:rsidRPr="00D41E85">
              <w:t>Creative Industries Portfolio Agencies</w:t>
            </w:r>
          </w:p>
          <w:p w:rsidR="00E25CC6" w:rsidRPr="00DE0333" w:rsidRDefault="00E25CC6" w:rsidP="00721A9C">
            <w:pPr>
              <w:pStyle w:val="Tabletextnoindent"/>
            </w:pPr>
            <w:r w:rsidRPr="00D41E85">
              <w:t>Cultural Infrastructure and Facilities</w:t>
            </w:r>
          </w:p>
        </w:tc>
      </w:tr>
      <w:tr w:rsidR="00E25CC6" w:rsidTr="00804F7C">
        <w:trPr>
          <w:cantSplit/>
          <w:trHeight w:val="733"/>
        </w:trPr>
        <w:tc>
          <w:tcPr>
            <w:tcW w:w="1393" w:type="pct"/>
            <w:tcBorders>
              <w:top w:val="single" w:sz="6" w:space="0" w:color="auto"/>
              <w:bottom w:val="single" w:sz="6" w:space="0" w:color="auto"/>
            </w:tcBorders>
            <w:shd w:val="clear" w:color="auto" w:fill="auto"/>
          </w:tcPr>
          <w:p w:rsidR="00E25CC6" w:rsidRPr="000B58D1" w:rsidRDefault="00E25CC6" w:rsidP="00721A9C">
            <w:pPr>
              <w:pStyle w:val="Tabletextnoindent"/>
            </w:pPr>
            <w:r w:rsidRPr="00D41E85">
              <w:t>Increase sustainable employment opportunities for Victorians and build investment, trade and tourism prospects for the State through working with priority industry sectors, delivering major projects, investing in regional Victoria, providing innovation opportunities for businesses, and building resilience in the State</w:t>
            </w:r>
            <w:r>
              <w:t>’</w:t>
            </w:r>
            <w:r w:rsidRPr="00D41E85">
              <w:t>s workforce.</w:t>
            </w:r>
          </w:p>
        </w:tc>
        <w:tc>
          <w:tcPr>
            <w:tcW w:w="2002" w:type="pct"/>
            <w:tcBorders>
              <w:top w:val="single" w:sz="6" w:space="0" w:color="auto"/>
              <w:bottom w:val="single" w:sz="6" w:space="0" w:color="auto"/>
            </w:tcBorders>
            <w:shd w:val="clear" w:color="auto" w:fill="auto"/>
          </w:tcPr>
          <w:p w:rsidR="00E25CC6" w:rsidRPr="00D41E85" w:rsidRDefault="00E25CC6" w:rsidP="00721A9C">
            <w:pPr>
              <w:pStyle w:val="Tabletextnoindent"/>
            </w:pPr>
            <w:r w:rsidRPr="00D41E85">
              <w:t>Employment resulting from government investment facilitation services and assistance</w:t>
            </w:r>
          </w:p>
          <w:p w:rsidR="00E25CC6" w:rsidRPr="00D41E85" w:rsidRDefault="00E25CC6" w:rsidP="00721A9C">
            <w:pPr>
              <w:pStyle w:val="Tabletextnoindent"/>
            </w:pPr>
            <w:r w:rsidRPr="00D41E85">
              <w:t>Export sales generated from government programs</w:t>
            </w:r>
          </w:p>
          <w:p w:rsidR="00E25CC6" w:rsidRPr="00D41E85" w:rsidRDefault="00E25CC6" w:rsidP="00721A9C">
            <w:pPr>
              <w:pStyle w:val="Tabletextnoindent"/>
            </w:pPr>
            <w:r w:rsidRPr="00D41E85">
              <w:t>Major projects delivered</w:t>
            </w:r>
          </w:p>
          <w:p w:rsidR="00E25CC6" w:rsidRPr="00D41E85" w:rsidRDefault="00E25CC6" w:rsidP="00721A9C">
            <w:pPr>
              <w:pStyle w:val="Tabletextnoindent"/>
            </w:pPr>
            <w:r w:rsidRPr="00D41E85">
              <w:t>New investment resulting from government facilitation services and assistance</w:t>
            </w:r>
          </w:p>
          <w:p w:rsidR="00E25CC6" w:rsidRPr="00D41E85" w:rsidRDefault="00E25CC6" w:rsidP="00721A9C">
            <w:pPr>
              <w:pStyle w:val="Tabletextnoindent"/>
            </w:pPr>
            <w:r>
              <w:t>Number</w:t>
            </w:r>
            <w:r w:rsidRPr="00D41E85">
              <w:t xml:space="preserve"> of business engagements</w:t>
            </w:r>
          </w:p>
          <w:p w:rsidR="00E25CC6" w:rsidRPr="000B58D1" w:rsidRDefault="00E25CC6" w:rsidP="00721A9C">
            <w:pPr>
              <w:pStyle w:val="Tabletextnoindent"/>
            </w:pPr>
            <w:r w:rsidRPr="00D41E85">
              <w:t>Tourists, investors and students attracted</w:t>
            </w:r>
          </w:p>
        </w:tc>
        <w:tc>
          <w:tcPr>
            <w:tcW w:w="1605" w:type="pct"/>
            <w:tcBorders>
              <w:top w:val="single" w:sz="6" w:space="0" w:color="auto"/>
              <w:bottom w:val="single" w:sz="6" w:space="0" w:color="auto"/>
            </w:tcBorders>
            <w:shd w:val="clear" w:color="auto" w:fill="auto"/>
          </w:tcPr>
          <w:p w:rsidR="00E25CC6" w:rsidRPr="00D41E85" w:rsidRDefault="00E25CC6" w:rsidP="00721A9C">
            <w:pPr>
              <w:pStyle w:val="Tabletextnoindent"/>
            </w:pPr>
            <w:r w:rsidRPr="00D41E85">
              <w:t>Employment and Investment</w:t>
            </w:r>
          </w:p>
          <w:p w:rsidR="00E25CC6" w:rsidRPr="00D41E85" w:rsidRDefault="00E25CC6" w:rsidP="00721A9C">
            <w:pPr>
              <w:pStyle w:val="Tabletextnoindent"/>
            </w:pPr>
            <w:r w:rsidRPr="00D41E85">
              <w:t>Industrial Relations</w:t>
            </w:r>
          </w:p>
          <w:p w:rsidR="00E25CC6" w:rsidRPr="00D41E85" w:rsidRDefault="00E25CC6" w:rsidP="00721A9C">
            <w:pPr>
              <w:pStyle w:val="Tabletextnoindent"/>
            </w:pPr>
            <w:r w:rsidRPr="00D41E85">
              <w:t xml:space="preserve">Industry and Enterprise Innovation </w:t>
            </w:r>
          </w:p>
          <w:p w:rsidR="00E25CC6" w:rsidRPr="00D41E85" w:rsidRDefault="00E25CC6" w:rsidP="00721A9C">
            <w:pPr>
              <w:pStyle w:val="Tabletextnoindent"/>
            </w:pPr>
            <w:r w:rsidRPr="00D41E85">
              <w:t>Major Projects</w:t>
            </w:r>
          </w:p>
          <w:p w:rsidR="00E25CC6" w:rsidRPr="00D41E85" w:rsidRDefault="00E25CC6" w:rsidP="00721A9C">
            <w:pPr>
              <w:pStyle w:val="Tabletextnoindent"/>
            </w:pPr>
            <w:r w:rsidRPr="00D41E85">
              <w:t>Regional Development</w:t>
            </w:r>
          </w:p>
          <w:p w:rsidR="00E25CC6" w:rsidRDefault="00E25CC6" w:rsidP="00721A9C">
            <w:pPr>
              <w:pStyle w:val="Tabletextnoindent"/>
            </w:pPr>
            <w:r w:rsidRPr="00D41E85">
              <w:t>Tourism, Major Events and International Education</w:t>
            </w:r>
          </w:p>
          <w:p w:rsidR="00E25CC6" w:rsidRPr="00DE0333" w:rsidRDefault="00E25CC6" w:rsidP="00721A9C">
            <w:pPr>
              <w:pStyle w:val="Tabletextnoindent"/>
            </w:pPr>
            <w:r w:rsidRPr="00D41E85">
              <w:t>Trade</w:t>
            </w:r>
          </w:p>
        </w:tc>
      </w:tr>
      <w:tr w:rsidR="00E25CC6" w:rsidTr="00804F7C">
        <w:trPr>
          <w:cantSplit/>
          <w:trHeight w:val="733"/>
        </w:trPr>
        <w:tc>
          <w:tcPr>
            <w:tcW w:w="1393" w:type="pct"/>
            <w:tcBorders>
              <w:top w:val="single" w:sz="6" w:space="0" w:color="auto"/>
              <w:bottom w:val="single" w:sz="6" w:space="0" w:color="auto"/>
            </w:tcBorders>
            <w:shd w:val="clear" w:color="auto" w:fill="auto"/>
          </w:tcPr>
          <w:p w:rsidR="00E25CC6" w:rsidRPr="00D41E85" w:rsidRDefault="00E25CC6" w:rsidP="00721A9C">
            <w:pPr>
              <w:pStyle w:val="Tabletextnoindent"/>
            </w:pPr>
            <w:r w:rsidRPr="00D41E85">
              <w:t>More productive, competitive and sustainable food, fibre, energy and resources industries</w:t>
            </w:r>
            <w:r>
              <w:t>.</w:t>
            </w:r>
          </w:p>
        </w:tc>
        <w:tc>
          <w:tcPr>
            <w:tcW w:w="2002" w:type="pct"/>
            <w:tcBorders>
              <w:top w:val="single" w:sz="6" w:space="0" w:color="auto"/>
              <w:bottom w:val="single" w:sz="6" w:space="0" w:color="auto"/>
            </w:tcBorders>
            <w:shd w:val="clear" w:color="auto" w:fill="auto"/>
          </w:tcPr>
          <w:p w:rsidR="00E25CC6" w:rsidRPr="00D41E85" w:rsidRDefault="00E25CC6" w:rsidP="00721A9C">
            <w:pPr>
              <w:pStyle w:val="Tabletextnoindent"/>
            </w:pPr>
            <w:r w:rsidRPr="00D41E85">
              <w:t xml:space="preserve">Relative share of Victorian energy sourced from renewables </w:t>
            </w:r>
          </w:p>
          <w:p w:rsidR="00E25CC6" w:rsidRPr="00D41E85" w:rsidRDefault="00E25CC6" w:rsidP="00721A9C">
            <w:pPr>
              <w:pStyle w:val="Tabletextnoindent"/>
            </w:pPr>
            <w:r w:rsidRPr="00D41E85">
              <w:t>Value of Victorian agriculture production</w:t>
            </w:r>
            <w:r>
              <w:t xml:space="preserve"> </w:t>
            </w:r>
          </w:p>
          <w:p w:rsidR="00E25CC6" w:rsidRPr="00D41E85" w:rsidRDefault="00E25CC6" w:rsidP="00721A9C">
            <w:pPr>
              <w:pStyle w:val="Tabletextnoindent"/>
            </w:pPr>
            <w:r w:rsidRPr="00D41E85">
              <w:t xml:space="preserve">Value of Victorian earth resources production </w:t>
            </w:r>
          </w:p>
          <w:p w:rsidR="00E25CC6" w:rsidRPr="00D41E85" w:rsidRDefault="00E25CC6" w:rsidP="00721A9C">
            <w:pPr>
              <w:pStyle w:val="Tabletextnoindent"/>
            </w:pPr>
            <w:r w:rsidRPr="00D41E85">
              <w:t>Value of Victorian food and fibre exports</w:t>
            </w:r>
          </w:p>
        </w:tc>
        <w:tc>
          <w:tcPr>
            <w:tcW w:w="1605" w:type="pct"/>
            <w:tcBorders>
              <w:top w:val="single" w:sz="6" w:space="0" w:color="auto"/>
              <w:bottom w:val="single" w:sz="6" w:space="0" w:color="auto"/>
            </w:tcBorders>
            <w:shd w:val="clear" w:color="auto" w:fill="auto"/>
          </w:tcPr>
          <w:p w:rsidR="00E25CC6" w:rsidRPr="00D41E85" w:rsidRDefault="00E25CC6" w:rsidP="00721A9C">
            <w:pPr>
              <w:pStyle w:val="Tabletextnoindent"/>
            </w:pPr>
            <w:r w:rsidRPr="00D41E85">
              <w:t>Agriculture</w:t>
            </w:r>
          </w:p>
          <w:p w:rsidR="00E25CC6" w:rsidRPr="00D41E85" w:rsidRDefault="00E25CC6" w:rsidP="00721A9C">
            <w:pPr>
              <w:pStyle w:val="Tabletextnoindent"/>
            </w:pPr>
            <w:r w:rsidRPr="00D41E85">
              <w:t xml:space="preserve">Energy and Resources </w:t>
            </w:r>
          </w:p>
          <w:p w:rsidR="00E25CC6" w:rsidRPr="00D41E85" w:rsidRDefault="00E25CC6" w:rsidP="00721A9C">
            <w:pPr>
              <w:pStyle w:val="Tabletextnoindent"/>
            </w:pPr>
            <w:r w:rsidRPr="00D41E85">
              <w:t>Sustainably Manage Fish, Game and Forest Resources</w:t>
            </w:r>
          </w:p>
        </w:tc>
      </w:tr>
      <w:tr w:rsidR="00E25CC6" w:rsidTr="00804F7C">
        <w:trPr>
          <w:cantSplit/>
          <w:trHeight w:val="733"/>
        </w:trPr>
        <w:tc>
          <w:tcPr>
            <w:tcW w:w="1393" w:type="pct"/>
            <w:tcBorders>
              <w:top w:val="single" w:sz="6" w:space="0" w:color="auto"/>
              <w:bottom w:val="single" w:sz="12" w:space="0" w:color="auto"/>
            </w:tcBorders>
            <w:shd w:val="clear" w:color="auto" w:fill="auto"/>
          </w:tcPr>
          <w:p w:rsidR="00E25CC6" w:rsidRPr="00D41E85" w:rsidRDefault="00E25CC6" w:rsidP="00721A9C">
            <w:pPr>
              <w:pStyle w:val="Tabletextnoindent"/>
            </w:pPr>
            <w:r w:rsidRPr="00D41E85">
              <w:t>More productive and liveable cities and regions through improved transport services and better infrastructure.</w:t>
            </w:r>
          </w:p>
        </w:tc>
        <w:tc>
          <w:tcPr>
            <w:tcW w:w="2002" w:type="pct"/>
            <w:tcBorders>
              <w:top w:val="single" w:sz="6" w:space="0" w:color="auto"/>
              <w:bottom w:val="single" w:sz="12" w:space="0" w:color="auto"/>
            </w:tcBorders>
            <w:shd w:val="clear" w:color="auto" w:fill="auto"/>
          </w:tcPr>
          <w:p w:rsidR="00E25CC6" w:rsidRPr="00D41E85" w:rsidRDefault="00E25CC6" w:rsidP="00721A9C">
            <w:pPr>
              <w:pStyle w:val="Tabletextnoindent"/>
            </w:pPr>
            <w:r w:rsidRPr="00D41E85">
              <w:t>Distressed freeway and arterial road surfaces</w:t>
            </w:r>
          </w:p>
          <w:p w:rsidR="00E25CC6" w:rsidRPr="00D41E85" w:rsidRDefault="00E25CC6" w:rsidP="00721A9C">
            <w:pPr>
              <w:pStyle w:val="Tabletextnoindent"/>
            </w:pPr>
            <w:r w:rsidRPr="00D41E85">
              <w:t>Fatalities and serious injuries on the transport network reduced</w:t>
            </w:r>
          </w:p>
          <w:p w:rsidR="00E25CC6" w:rsidRPr="00D41E85" w:rsidRDefault="00E25CC6" w:rsidP="00721A9C">
            <w:pPr>
              <w:pStyle w:val="Tabletextnoindent"/>
            </w:pPr>
            <w:r w:rsidRPr="00D41E85">
              <w:t>Public transport</w:t>
            </w:r>
            <w:r>
              <w:t xml:space="preserve"> </w:t>
            </w:r>
            <w:r w:rsidRPr="00D41E85">
              <w:t>customer satisfaction</w:t>
            </w:r>
          </w:p>
          <w:p w:rsidR="00E25CC6" w:rsidRPr="00D41E85" w:rsidRDefault="00E25CC6" w:rsidP="00721A9C">
            <w:pPr>
              <w:pStyle w:val="Tabletextnoindent"/>
            </w:pPr>
            <w:r w:rsidRPr="00D41E85">
              <w:t>Public transport services delivered on time</w:t>
            </w:r>
          </w:p>
          <w:p w:rsidR="00E25CC6" w:rsidRPr="00D41E85" w:rsidRDefault="00E25CC6" w:rsidP="00721A9C">
            <w:pPr>
              <w:pStyle w:val="Tabletextnoindent"/>
            </w:pPr>
            <w:r w:rsidRPr="00D41E85">
              <w:t>Punctuality of the metropolitan road network</w:t>
            </w:r>
          </w:p>
          <w:p w:rsidR="00E25CC6" w:rsidRPr="00D41E85" w:rsidRDefault="00E25CC6" w:rsidP="00721A9C">
            <w:pPr>
              <w:pStyle w:val="Tabletextnoindent"/>
            </w:pPr>
            <w:r w:rsidRPr="00D41E85">
              <w:t>Scheduled public transport services delivered</w:t>
            </w:r>
          </w:p>
          <w:p w:rsidR="00E25CC6" w:rsidRPr="00D41E85" w:rsidRDefault="00E25CC6" w:rsidP="00721A9C">
            <w:pPr>
              <w:pStyle w:val="Tabletextnoindent"/>
            </w:pPr>
            <w:r w:rsidRPr="00D41E85">
              <w:t>Transport projects delivery complies with agreed scope, timeframes and budget</w:t>
            </w:r>
          </w:p>
        </w:tc>
        <w:tc>
          <w:tcPr>
            <w:tcW w:w="1605" w:type="pct"/>
            <w:tcBorders>
              <w:top w:val="single" w:sz="6" w:space="0" w:color="auto"/>
              <w:bottom w:val="single" w:sz="12" w:space="0" w:color="auto"/>
            </w:tcBorders>
            <w:shd w:val="clear" w:color="auto" w:fill="auto"/>
          </w:tcPr>
          <w:p w:rsidR="00E25CC6" w:rsidRPr="00D41E85" w:rsidRDefault="00E25CC6" w:rsidP="00721A9C">
            <w:pPr>
              <w:pStyle w:val="Tabletextnoindent"/>
            </w:pPr>
            <w:r w:rsidRPr="00D41E85">
              <w:t>Bus Services</w:t>
            </w:r>
          </w:p>
          <w:p w:rsidR="00E25CC6" w:rsidRPr="00D41E85" w:rsidRDefault="00E25CC6" w:rsidP="00721A9C">
            <w:pPr>
              <w:pStyle w:val="Tabletextnoindent"/>
            </w:pPr>
            <w:r w:rsidRPr="00D41E85">
              <w:t xml:space="preserve">Integrated Transport </w:t>
            </w:r>
          </w:p>
          <w:p w:rsidR="00E25CC6" w:rsidRPr="00D41E85" w:rsidRDefault="00E25CC6" w:rsidP="00721A9C">
            <w:pPr>
              <w:pStyle w:val="Tabletextnoindent"/>
            </w:pPr>
            <w:r w:rsidRPr="00D41E85">
              <w:t>Port and Freight Network Access</w:t>
            </w:r>
          </w:p>
          <w:p w:rsidR="00E25CC6" w:rsidRPr="00D41E85" w:rsidRDefault="00E25CC6" w:rsidP="00721A9C">
            <w:pPr>
              <w:pStyle w:val="Tabletextnoindent"/>
            </w:pPr>
            <w:r w:rsidRPr="00D41E85">
              <w:t>Road Asset Management</w:t>
            </w:r>
          </w:p>
          <w:p w:rsidR="00E25CC6" w:rsidRPr="00D41E85" w:rsidRDefault="00E25CC6" w:rsidP="00721A9C">
            <w:pPr>
              <w:pStyle w:val="Tabletextnoindent"/>
            </w:pPr>
            <w:r w:rsidRPr="00D41E85">
              <w:t>Road Operations and Network Improvements</w:t>
            </w:r>
          </w:p>
          <w:p w:rsidR="00E25CC6" w:rsidRPr="00D41E85" w:rsidRDefault="00E25CC6" w:rsidP="00721A9C">
            <w:pPr>
              <w:pStyle w:val="Tabletextnoindent"/>
            </w:pPr>
            <w:r w:rsidRPr="00D41E85">
              <w:t xml:space="preserve">Taxi and </w:t>
            </w:r>
            <w:r>
              <w:t>H</w:t>
            </w:r>
            <w:r w:rsidRPr="00D41E85">
              <w:t xml:space="preserve">ire </w:t>
            </w:r>
            <w:r>
              <w:t>V</w:t>
            </w:r>
            <w:r w:rsidRPr="00D41E85">
              <w:t xml:space="preserve">ehicle </w:t>
            </w:r>
            <w:r>
              <w:t>S</w:t>
            </w:r>
            <w:r w:rsidRPr="00D41E85">
              <w:t>ervices</w:t>
            </w:r>
          </w:p>
          <w:p w:rsidR="00E25CC6" w:rsidRPr="00D41E85" w:rsidRDefault="00E25CC6" w:rsidP="00721A9C">
            <w:pPr>
              <w:pStyle w:val="Tabletextnoindent"/>
            </w:pPr>
            <w:r w:rsidRPr="00D41E85">
              <w:t>Train Services</w:t>
            </w:r>
          </w:p>
          <w:p w:rsidR="00E25CC6" w:rsidRPr="00D41E85" w:rsidRDefault="00E25CC6" w:rsidP="00721A9C">
            <w:pPr>
              <w:pStyle w:val="Tabletextnoindent"/>
            </w:pPr>
            <w:r w:rsidRPr="00D41E85">
              <w:t>Tram Services</w:t>
            </w:r>
          </w:p>
          <w:p w:rsidR="00E25CC6" w:rsidRPr="00D41E85" w:rsidRDefault="00E25CC6" w:rsidP="00721A9C">
            <w:pPr>
              <w:pStyle w:val="Tabletextnoindent"/>
            </w:pPr>
            <w:r w:rsidRPr="00D41E85">
              <w:t>Transport Safety, Security and Emergency Management</w:t>
            </w:r>
          </w:p>
        </w:tc>
      </w:tr>
    </w:tbl>
    <w:p w:rsidR="00E25CC6" w:rsidRDefault="00E25CC6" w:rsidP="00721A9C">
      <w:pPr>
        <w:pStyle w:val="Source"/>
        <w:rPr>
          <w:rFonts w:eastAsiaTheme="minorHAnsi"/>
        </w:rPr>
      </w:pPr>
      <w:r>
        <w:rPr>
          <w:rFonts w:eastAsiaTheme="minorHAnsi"/>
        </w:rPr>
        <w:t>Source: Department of Economic Development, Jobs, Transport and Resources</w:t>
      </w:r>
    </w:p>
    <w:p w:rsidR="00E25CC6" w:rsidRPr="00EC1940" w:rsidRDefault="00E25CC6" w:rsidP="00EC1940">
      <w:pPr>
        <w:pStyle w:val="Source"/>
        <w:rPr>
          <w:rFonts w:eastAsiaTheme="minorHAnsi"/>
        </w:rPr>
      </w:pP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721A9C">
      <w:pPr>
        <w:pStyle w:val="Heading2"/>
        <w:rPr>
          <w:rFonts w:eastAsiaTheme="minorHAnsi"/>
        </w:rPr>
      </w:pPr>
      <w:r>
        <w:rPr>
          <w:rFonts w:eastAsiaTheme="minorHAnsi"/>
        </w:rPr>
        <w:t>Changes to the output structure</w:t>
      </w:r>
    </w:p>
    <w:p w:rsidR="00E25CC6" w:rsidRDefault="00E25CC6" w:rsidP="00190048">
      <w:pPr>
        <w:rPr>
          <w:rFonts w:eastAsiaTheme="minorHAnsi"/>
        </w:rPr>
      </w:pPr>
      <w:r w:rsidRPr="00721A9C">
        <w:rPr>
          <w:rFonts w:eastAsiaTheme="minorHAnsi"/>
        </w:rPr>
        <w:t>The Department has not made any changes to its output structure for 2016</w:t>
      </w:r>
      <w:r>
        <w:rPr>
          <w:rFonts w:eastAsiaTheme="minorHAnsi"/>
        </w:rPr>
        <w:noBreakHyphen/>
      </w:r>
      <w:r w:rsidRPr="00721A9C">
        <w:rPr>
          <w:rFonts w:eastAsiaTheme="minorHAnsi"/>
        </w:rPr>
        <w:t>17.</w:t>
      </w:r>
    </w:p>
    <w:p w:rsidR="00E25CC6" w:rsidRDefault="00E25CC6" w:rsidP="00721A9C">
      <w:pPr>
        <w:rPr>
          <w:rFonts w:eastAsiaTheme="minorHAnsi"/>
        </w:rPr>
      </w:pPr>
      <w:r w:rsidRPr="00721A9C">
        <w:rPr>
          <w:rFonts w:eastAsiaTheme="minorHAnsi"/>
        </w:rPr>
        <w:t>The following table summarises the Department</w:t>
      </w:r>
      <w:r>
        <w:rPr>
          <w:rFonts w:eastAsiaTheme="minorHAnsi"/>
        </w:rPr>
        <w:t>’</w:t>
      </w:r>
      <w:r w:rsidRPr="00721A9C">
        <w:rPr>
          <w:rFonts w:eastAsiaTheme="minorHAnsi"/>
        </w:rPr>
        <w:t>s total output cost.</w:t>
      </w:r>
    </w:p>
    <w:p w:rsidR="00E25CC6" w:rsidRDefault="00E25CC6" w:rsidP="007F13D4">
      <w:pPr>
        <w:pStyle w:val="Tableheading"/>
        <w:rPr>
          <w:rFonts w:eastAsiaTheme="minorHAnsi"/>
        </w:rPr>
      </w:pPr>
      <w:r>
        <w:rPr>
          <w:rFonts w:eastAsiaTheme="minorHAnsi"/>
        </w:rPr>
        <w:t>Table 2.2:</w:t>
      </w:r>
      <w:r>
        <w:rPr>
          <w:rFonts w:eastAsiaTheme="minorHAnsi"/>
        </w:rPr>
        <w:tab/>
        <w:t xml:space="preserve">Output summary </w:t>
      </w:r>
    </w:p>
    <w:p w:rsidR="00E25CC6" w:rsidRDefault="00E25CC6" w:rsidP="007C6910">
      <w:pPr>
        <w:pStyle w:val="million"/>
        <w:rPr>
          <w:rFonts w:eastAsiaTheme="minorHAnsi"/>
        </w:rPr>
      </w:pPr>
      <w:r w:rsidRPr="009B6191">
        <w:rPr>
          <w:lang w:eastAsia="en-AU"/>
        </w:rPr>
        <w:t>($ million)</w:t>
      </w:r>
    </w:p>
    <w:tbl>
      <w:tblPr>
        <w:tblW w:w="7765" w:type="dxa"/>
        <w:tblInd w:w="43" w:type="dxa"/>
        <w:tblLayout w:type="fixed"/>
        <w:tblCellMar>
          <w:left w:w="43" w:type="dxa"/>
          <w:right w:w="43" w:type="dxa"/>
        </w:tblCellMar>
        <w:tblLook w:val="0000" w:firstRow="0" w:lastRow="0" w:firstColumn="0" w:lastColumn="0" w:noHBand="0" w:noVBand="0"/>
      </w:tblPr>
      <w:tblGrid>
        <w:gridCol w:w="3808"/>
        <w:gridCol w:w="989"/>
        <w:gridCol w:w="989"/>
        <w:gridCol w:w="989"/>
        <w:gridCol w:w="990"/>
      </w:tblGrid>
      <w:tr w:rsidR="00E25CC6" w:rsidRPr="00721A9C" w:rsidTr="00804F7C">
        <w:trPr>
          <w:cantSplit/>
          <w:tblHeader/>
        </w:trPr>
        <w:tc>
          <w:tcPr>
            <w:tcW w:w="3808" w:type="dxa"/>
            <w:tcBorders>
              <w:bottom w:val="nil"/>
              <w:right w:val="nil"/>
            </w:tcBorders>
            <w:shd w:val="clear" w:color="auto" w:fill="000000"/>
            <w:vAlign w:val="bottom"/>
          </w:tcPr>
          <w:p w:rsidR="00E25CC6" w:rsidRPr="00721A9C" w:rsidRDefault="00E25CC6" w:rsidP="00721A9C">
            <w:pPr>
              <w:pStyle w:val="Tabletext"/>
              <w:rPr>
                <w:color w:val="FFFFFF"/>
                <w:lang w:eastAsia="en-AU"/>
              </w:rPr>
            </w:pPr>
            <w:r w:rsidRPr="00721A9C">
              <w:rPr>
                <w:color w:val="FFFFFF"/>
                <w:lang w:eastAsia="en-AU"/>
              </w:rPr>
              <w:t xml:space="preserve">  </w:t>
            </w:r>
          </w:p>
        </w:tc>
        <w:tc>
          <w:tcPr>
            <w:tcW w:w="989" w:type="dxa"/>
            <w:tcBorders>
              <w:left w:val="nil"/>
              <w:bottom w:val="nil"/>
              <w:right w:val="nil"/>
            </w:tcBorders>
            <w:shd w:val="clear" w:color="auto" w:fill="000000"/>
            <w:vAlign w:val="bottom"/>
          </w:tcPr>
          <w:p w:rsidR="00E25CC6" w:rsidRPr="00721A9C" w:rsidRDefault="00E25CC6" w:rsidP="00721A9C">
            <w:pPr>
              <w:pStyle w:val="Tabletextheading"/>
              <w:rPr>
                <w:color w:val="FFFFFF"/>
                <w:sz w:val="19"/>
                <w:lang w:eastAsia="en-AU"/>
              </w:rPr>
            </w:pPr>
            <w:r w:rsidRPr="00721A9C">
              <w:rPr>
                <w:color w:val="FFFFFF"/>
                <w:sz w:val="19"/>
                <w:lang w:eastAsia="en-AU"/>
              </w:rPr>
              <w:t>2015</w:t>
            </w:r>
            <w:r w:rsidRPr="00804F7C">
              <w:rPr>
                <w:color w:val="FFFFFF"/>
                <w:sz w:val="19"/>
                <w:lang w:eastAsia="en-AU"/>
              </w:rPr>
              <w:noBreakHyphen/>
            </w:r>
            <w:r w:rsidRPr="00721A9C">
              <w:rPr>
                <w:color w:val="FFFFFF"/>
                <w:sz w:val="19"/>
                <w:lang w:eastAsia="en-AU"/>
              </w:rPr>
              <w:t>16</w:t>
            </w:r>
          </w:p>
        </w:tc>
        <w:tc>
          <w:tcPr>
            <w:tcW w:w="989" w:type="dxa"/>
            <w:tcBorders>
              <w:left w:val="nil"/>
              <w:bottom w:val="nil"/>
              <w:right w:val="nil"/>
            </w:tcBorders>
            <w:shd w:val="clear" w:color="auto" w:fill="000000"/>
            <w:vAlign w:val="bottom"/>
          </w:tcPr>
          <w:p w:rsidR="00E25CC6" w:rsidRPr="00721A9C" w:rsidRDefault="00E25CC6" w:rsidP="00721A9C">
            <w:pPr>
              <w:pStyle w:val="Tabletextheading"/>
              <w:rPr>
                <w:color w:val="FFFFFF"/>
                <w:sz w:val="19"/>
                <w:lang w:eastAsia="en-AU"/>
              </w:rPr>
            </w:pPr>
            <w:r w:rsidRPr="00721A9C">
              <w:rPr>
                <w:color w:val="FFFFFF"/>
                <w:sz w:val="19"/>
                <w:lang w:eastAsia="en-AU"/>
              </w:rPr>
              <w:t>2015</w:t>
            </w:r>
            <w:r w:rsidRPr="00804F7C">
              <w:rPr>
                <w:color w:val="FFFFFF"/>
                <w:sz w:val="19"/>
                <w:lang w:eastAsia="en-AU"/>
              </w:rPr>
              <w:noBreakHyphen/>
            </w:r>
            <w:r w:rsidRPr="00721A9C">
              <w:rPr>
                <w:color w:val="FFFFFF"/>
                <w:sz w:val="19"/>
                <w:lang w:eastAsia="en-AU"/>
              </w:rPr>
              <w:t>16</w:t>
            </w:r>
          </w:p>
        </w:tc>
        <w:tc>
          <w:tcPr>
            <w:tcW w:w="989" w:type="dxa"/>
            <w:tcBorders>
              <w:left w:val="nil"/>
              <w:bottom w:val="nil"/>
              <w:right w:val="nil"/>
            </w:tcBorders>
            <w:shd w:val="clear" w:color="auto" w:fill="000000"/>
            <w:vAlign w:val="bottom"/>
          </w:tcPr>
          <w:p w:rsidR="00E25CC6" w:rsidRPr="00721A9C" w:rsidRDefault="00E25CC6" w:rsidP="00721A9C">
            <w:pPr>
              <w:pStyle w:val="Tabletextheading"/>
              <w:rPr>
                <w:color w:val="FFFFFF"/>
                <w:sz w:val="19"/>
                <w:lang w:eastAsia="en-AU"/>
              </w:rPr>
            </w:pPr>
            <w:r w:rsidRPr="00721A9C">
              <w:rPr>
                <w:color w:val="FFFFFF"/>
                <w:sz w:val="19"/>
                <w:lang w:eastAsia="en-AU"/>
              </w:rPr>
              <w:t>2016</w:t>
            </w:r>
            <w:r w:rsidRPr="00804F7C">
              <w:rPr>
                <w:color w:val="FFFFFF"/>
                <w:sz w:val="19"/>
                <w:lang w:eastAsia="en-AU"/>
              </w:rPr>
              <w:noBreakHyphen/>
            </w:r>
            <w:r w:rsidRPr="00721A9C">
              <w:rPr>
                <w:color w:val="FFFFFF"/>
                <w:sz w:val="19"/>
                <w:lang w:eastAsia="en-AU"/>
              </w:rPr>
              <w:t>17</w:t>
            </w:r>
          </w:p>
        </w:tc>
        <w:tc>
          <w:tcPr>
            <w:tcW w:w="990" w:type="dxa"/>
            <w:tcBorders>
              <w:left w:val="nil"/>
              <w:bottom w:val="nil"/>
            </w:tcBorders>
            <w:shd w:val="clear" w:color="auto" w:fill="000000"/>
            <w:vAlign w:val="bottom"/>
          </w:tcPr>
          <w:p w:rsidR="00E25CC6" w:rsidRPr="00721A9C" w:rsidRDefault="00E25CC6" w:rsidP="0040170D">
            <w:pPr>
              <w:pStyle w:val="Tabletextheading"/>
              <w:rPr>
                <w:color w:val="FFFFFF"/>
                <w:sz w:val="19"/>
                <w:vertAlign w:val="superscript"/>
                <w:lang w:eastAsia="en-AU"/>
              </w:rPr>
            </w:pPr>
            <w:r w:rsidRPr="00721A9C">
              <w:rPr>
                <w:color w:val="FFFFFF"/>
                <w:sz w:val="19"/>
                <w:lang w:eastAsia="en-AU"/>
              </w:rPr>
              <w:t>Variation</w:t>
            </w:r>
            <w:r>
              <w:rPr>
                <w:color w:val="FFFFFF"/>
                <w:sz w:val="19"/>
                <w:lang w:eastAsia="en-AU"/>
              </w:rPr>
              <w:t> </w:t>
            </w:r>
            <w:r w:rsidRPr="00721A9C">
              <w:rPr>
                <w:color w:val="FFFFFF"/>
                <w:sz w:val="19"/>
                <w:vertAlign w:val="superscript"/>
                <w:lang w:eastAsia="en-AU"/>
              </w:rPr>
              <w:t>(a)</w:t>
            </w:r>
          </w:p>
        </w:tc>
      </w:tr>
      <w:tr w:rsidR="00E25CC6" w:rsidRPr="00721A9C" w:rsidTr="00804F7C">
        <w:trPr>
          <w:cantSplit/>
          <w:tblHeader/>
        </w:trPr>
        <w:tc>
          <w:tcPr>
            <w:tcW w:w="3808" w:type="dxa"/>
            <w:tcBorders>
              <w:top w:val="nil"/>
              <w:bottom w:val="single" w:sz="6" w:space="0" w:color="auto"/>
              <w:right w:val="nil"/>
            </w:tcBorders>
            <w:shd w:val="clear" w:color="auto" w:fill="000000"/>
            <w:vAlign w:val="bottom"/>
          </w:tcPr>
          <w:p w:rsidR="00E25CC6" w:rsidRPr="00721A9C" w:rsidRDefault="00E25CC6" w:rsidP="00721A9C">
            <w:pPr>
              <w:pStyle w:val="Tabletext"/>
              <w:rPr>
                <w:color w:val="FFFFFF"/>
                <w:lang w:eastAsia="en-AU"/>
              </w:rPr>
            </w:pPr>
            <w:r w:rsidRPr="00721A9C">
              <w:rPr>
                <w:color w:val="FFFFFF"/>
                <w:lang w:eastAsia="en-AU"/>
              </w:rPr>
              <w:t xml:space="preserve">  </w:t>
            </w:r>
          </w:p>
        </w:tc>
        <w:tc>
          <w:tcPr>
            <w:tcW w:w="989" w:type="dxa"/>
            <w:tcBorders>
              <w:top w:val="nil"/>
              <w:left w:val="nil"/>
              <w:bottom w:val="single" w:sz="6" w:space="0" w:color="auto"/>
              <w:right w:val="nil"/>
            </w:tcBorders>
            <w:shd w:val="clear" w:color="auto" w:fill="000000"/>
            <w:vAlign w:val="bottom"/>
          </w:tcPr>
          <w:p w:rsidR="00E25CC6" w:rsidRPr="00721A9C" w:rsidRDefault="00E25CC6" w:rsidP="00721A9C">
            <w:pPr>
              <w:pStyle w:val="Tabletextheading"/>
              <w:rPr>
                <w:color w:val="FFFFFF"/>
                <w:sz w:val="19"/>
                <w:lang w:eastAsia="en-AU"/>
              </w:rPr>
            </w:pPr>
            <w:r w:rsidRPr="00721A9C">
              <w:rPr>
                <w:color w:val="FFFFFF"/>
                <w:sz w:val="19"/>
                <w:lang w:eastAsia="en-AU"/>
              </w:rPr>
              <w:t>budget</w:t>
            </w:r>
          </w:p>
        </w:tc>
        <w:tc>
          <w:tcPr>
            <w:tcW w:w="989" w:type="dxa"/>
            <w:tcBorders>
              <w:top w:val="nil"/>
              <w:left w:val="nil"/>
              <w:bottom w:val="single" w:sz="6" w:space="0" w:color="auto"/>
              <w:right w:val="nil"/>
            </w:tcBorders>
            <w:shd w:val="clear" w:color="auto" w:fill="000000"/>
            <w:vAlign w:val="bottom"/>
          </w:tcPr>
          <w:p w:rsidR="00E25CC6" w:rsidRPr="00721A9C" w:rsidRDefault="00E25CC6" w:rsidP="00721A9C">
            <w:pPr>
              <w:pStyle w:val="Tabletextheading"/>
              <w:rPr>
                <w:color w:val="FFFFFF"/>
                <w:sz w:val="19"/>
                <w:lang w:eastAsia="en-AU"/>
              </w:rPr>
            </w:pPr>
            <w:r w:rsidRPr="00721A9C">
              <w:rPr>
                <w:color w:val="FFFFFF"/>
                <w:sz w:val="19"/>
                <w:lang w:eastAsia="en-AU"/>
              </w:rPr>
              <w:t>revised</w:t>
            </w:r>
          </w:p>
        </w:tc>
        <w:tc>
          <w:tcPr>
            <w:tcW w:w="989" w:type="dxa"/>
            <w:tcBorders>
              <w:top w:val="nil"/>
              <w:left w:val="nil"/>
              <w:bottom w:val="single" w:sz="6" w:space="0" w:color="auto"/>
              <w:right w:val="nil"/>
            </w:tcBorders>
            <w:shd w:val="clear" w:color="auto" w:fill="000000"/>
            <w:vAlign w:val="bottom"/>
          </w:tcPr>
          <w:p w:rsidR="00E25CC6" w:rsidRPr="00721A9C" w:rsidRDefault="00E25CC6" w:rsidP="00721A9C">
            <w:pPr>
              <w:pStyle w:val="Tabletextheading"/>
              <w:rPr>
                <w:color w:val="FFFFFF"/>
                <w:sz w:val="19"/>
                <w:lang w:eastAsia="en-AU"/>
              </w:rPr>
            </w:pPr>
            <w:r w:rsidRPr="00721A9C">
              <w:rPr>
                <w:color w:val="FFFFFF"/>
                <w:sz w:val="19"/>
                <w:lang w:eastAsia="en-AU"/>
              </w:rPr>
              <w:t>budget</w:t>
            </w:r>
          </w:p>
        </w:tc>
        <w:tc>
          <w:tcPr>
            <w:tcW w:w="990" w:type="dxa"/>
            <w:tcBorders>
              <w:top w:val="nil"/>
              <w:left w:val="nil"/>
              <w:bottom w:val="single" w:sz="6" w:space="0" w:color="auto"/>
            </w:tcBorders>
            <w:shd w:val="clear" w:color="auto" w:fill="000000"/>
            <w:vAlign w:val="bottom"/>
          </w:tcPr>
          <w:p w:rsidR="00E25CC6" w:rsidRPr="00721A9C" w:rsidRDefault="00E25CC6" w:rsidP="00721A9C">
            <w:pPr>
              <w:pStyle w:val="Tabletextheading"/>
              <w:rPr>
                <w:color w:val="FFFFFF"/>
                <w:sz w:val="19"/>
                <w:lang w:eastAsia="en-AU"/>
              </w:rPr>
            </w:pPr>
            <w:r w:rsidRPr="00721A9C">
              <w:rPr>
                <w:color w:val="FFFFFF"/>
                <w:sz w:val="19"/>
                <w:lang w:eastAsia="en-AU"/>
              </w:rPr>
              <w:t>%</w:t>
            </w:r>
          </w:p>
        </w:tc>
      </w:tr>
      <w:tr w:rsidR="00E25CC6" w:rsidRPr="00721A9C" w:rsidTr="00804F7C">
        <w:trPr>
          <w:cantSplit/>
        </w:trPr>
        <w:tc>
          <w:tcPr>
            <w:tcW w:w="3808" w:type="dxa"/>
            <w:tcBorders>
              <w:top w:val="single" w:sz="6" w:space="0" w:color="auto"/>
              <w:left w:val="nil"/>
              <w:right w:val="nil"/>
            </w:tcBorders>
            <w:shd w:val="clear" w:color="auto" w:fill="FFFFFF"/>
          </w:tcPr>
          <w:p w:rsidR="00E25CC6" w:rsidRPr="00721A9C" w:rsidRDefault="00E25CC6" w:rsidP="00721A9C">
            <w:pPr>
              <w:pStyle w:val="Tabletext"/>
              <w:ind w:left="227" w:hanging="227"/>
            </w:pPr>
            <w:r w:rsidRPr="00721A9C">
              <w:t>Access, Industry Development and Innovation</w:t>
            </w:r>
            <w:r>
              <w:t xml:space="preserve"> </w:t>
            </w:r>
            <w:r w:rsidRPr="00721A9C">
              <w:rPr>
                <w:vertAlign w:val="superscript"/>
                <w:lang w:eastAsia="en-AU"/>
              </w:rPr>
              <w:t>(b)</w:t>
            </w:r>
          </w:p>
        </w:tc>
        <w:tc>
          <w:tcPr>
            <w:tcW w:w="989" w:type="dxa"/>
            <w:tcBorders>
              <w:top w:val="single" w:sz="6" w:space="0" w:color="auto"/>
              <w:left w:val="nil"/>
              <w:right w:val="nil"/>
            </w:tcBorders>
            <w:shd w:val="clear" w:color="auto"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61.9</w:t>
            </w:r>
          </w:p>
        </w:tc>
        <w:tc>
          <w:tcPr>
            <w:tcW w:w="989" w:type="dxa"/>
            <w:tcBorders>
              <w:top w:val="single" w:sz="6" w:space="0" w:color="auto"/>
              <w:left w:val="nil"/>
              <w:right w:val="nil"/>
            </w:tcBorders>
            <w:shd w:val="clear" w:color="auto" w:fill="FFFFFF"/>
          </w:tcPr>
          <w:p w:rsidR="00E25CC6" w:rsidRPr="00721A9C" w:rsidRDefault="00E25CC6" w:rsidP="00721A9C">
            <w:pPr>
              <w:pStyle w:val="TableofFigures"/>
              <w:rPr>
                <w:sz w:val="19"/>
              </w:rPr>
            </w:pPr>
            <w:r w:rsidRPr="00721A9C">
              <w:rPr>
                <w:sz w:val="19"/>
              </w:rPr>
              <w:t>62.5</w:t>
            </w:r>
          </w:p>
        </w:tc>
        <w:tc>
          <w:tcPr>
            <w:tcW w:w="989" w:type="dxa"/>
            <w:tcBorders>
              <w:top w:val="single" w:sz="6" w:space="0" w:color="auto"/>
              <w:left w:val="nil"/>
              <w:right w:val="nil"/>
            </w:tcBorders>
            <w:shd w:val="clear" w:color="auto" w:fill="FFFFFF"/>
          </w:tcPr>
          <w:p w:rsidR="00E25CC6" w:rsidRPr="00721A9C" w:rsidRDefault="00E25CC6" w:rsidP="00721A9C">
            <w:pPr>
              <w:pStyle w:val="TableofFigures"/>
              <w:rPr>
                <w:sz w:val="19"/>
              </w:rPr>
            </w:pPr>
            <w:r w:rsidRPr="00721A9C">
              <w:rPr>
                <w:sz w:val="19"/>
              </w:rPr>
              <w:t>78.3</w:t>
            </w:r>
          </w:p>
        </w:tc>
        <w:tc>
          <w:tcPr>
            <w:tcW w:w="990" w:type="dxa"/>
            <w:tcBorders>
              <w:top w:val="single" w:sz="6" w:space="0" w:color="auto"/>
              <w:left w:val="nil"/>
              <w:right w:val="nil"/>
            </w:tcBorders>
            <w:shd w:val="clear" w:color="auto" w:fill="FFFFFF"/>
          </w:tcPr>
          <w:p w:rsidR="00E25CC6" w:rsidRPr="00721A9C" w:rsidRDefault="00E25CC6" w:rsidP="00721A9C">
            <w:pPr>
              <w:pStyle w:val="TableofFigures"/>
              <w:rPr>
                <w:sz w:val="19"/>
              </w:rPr>
            </w:pPr>
            <w:r w:rsidRPr="00721A9C">
              <w:rPr>
                <w:sz w:val="19"/>
              </w:rPr>
              <w:t>26.6</w:t>
            </w:r>
          </w:p>
        </w:tc>
      </w:tr>
      <w:tr w:rsidR="00E25CC6" w:rsidRPr="00721A9C" w:rsidTr="00804F7C">
        <w:trPr>
          <w:cantSplit/>
        </w:trPr>
        <w:tc>
          <w:tcPr>
            <w:tcW w:w="3808" w:type="dxa"/>
            <w:tcBorders>
              <w:top w:val="nil"/>
              <w:left w:val="nil"/>
              <w:right w:val="nil"/>
            </w:tcBorders>
            <w:shd w:val="clear" w:color="auto" w:fill="FFFFFF"/>
          </w:tcPr>
          <w:p w:rsidR="00E25CC6" w:rsidRPr="00721A9C" w:rsidRDefault="00E25CC6" w:rsidP="00721A9C">
            <w:pPr>
              <w:pStyle w:val="Tabletext"/>
              <w:ind w:left="227" w:hanging="227"/>
            </w:pPr>
            <w:r w:rsidRPr="00721A9C">
              <w:t>Creative Industries Portfolio Agencies</w:t>
            </w:r>
          </w:p>
        </w:tc>
        <w:tc>
          <w:tcPr>
            <w:tcW w:w="989" w:type="dxa"/>
            <w:tcBorders>
              <w:top w:val="nil"/>
              <w:left w:val="nil"/>
              <w:right w:val="nil"/>
            </w:tcBorders>
            <w:shd w:val="clear" w:color="auto"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337.0</w:t>
            </w:r>
          </w:p>
        </w:tc>
        <w:tc>
          <w:tcPr>
            <w:tcW w:w="989" w:type="dxa"/>
            <w:tcBorders>
              <w:top w:val="nil"/>
              <w:left w:val="nil"/>
              <w:right w:val="nil"/>
            </w:tcBorders>
            <w:shd w:val="clear" w:color="auto" w:fill="FFFFFF"/>
          </w:tcPr>
          <w:p w:rsidR="00E25CC6" w:rsidRPr="00721A9C" w:rsidRDefault="00E25CC6" w:rsidP="00721A9C">
            <w:pPr>
              <w:pStyle w:val="TableofFigures"/>
              <w:rPr>
                <w:sz w:val="19"/>
              </w:rPr>
            </w:pPr>
            <w:r w:rsidRPr="00721A9C">
              <w:rPr>
                <w:sz w:val="19"/>
              </w:rPr>
              <w:t>328.9</w:t>
            </w:r>
          </w:p>
        </w:tc>
        <w:tc>
          <w:tcPr>
            <w:tcW w:w="989" w:type="dxa"/>
            <w:tcBorders>
              <w:top w:val="nil"/>
              <w:left w:val="nil"/>
              <w:right w:val="nil"/>
            </w:tcBorders>
            <w:shd w:val="clear" w:color="auto" w:fill="FFFFFF"/>
          </w:tcPr>
          <w:p w:rsidR="00E25CC6" w:rsidRPr="00721A9C" w:rsidRDefault="00E25CC6" w:rsidP="00721A9C">
            <w:pPr>
              <w:pStyle w:val="TableofFigures"/>
              <w:rPr>
                <w:sz w:val="19"/>
              </w:rPr>
            </w:pPr>
            <w:r w:rsidRPr="00721A9C">
              <w:rPr>
                <w:sz w:val="19"/>
              </w:rPr>
              <w:t>328.8</w:t>
            </w:r>
          </w:p>
        </w:tc>
        <w:tc>
          <w:tcPr>
            <w:tcW w:w="990" w:type="dxa"/>
            <w:tcBorders>
              <w:top w:val="nil"/>
              <w:left w:val="nil"/>
              <w:right w:val="nil"/>
            </w:tcBorders>
            <w:shd w:val="clear" w:color="auto" w:fill="FFFFFF"/>
          </w:tcPr>
          <w:p w:rsidR="00E25CC6" w:rsidRPr="00721A9C" w:rsidRDefault="00E25CC6" w:rsidP="00721A9C">
            <w:pPr>
              <w:pStyle w:val="TableofFigures"/>
              <w:rPr>
                <w:sz w:val="19"/>
              </w:rPr>
            </w:pPr>
            <w:r>
              <w:rPr>
                <w:sz w:val="19"/>
              </w:rPr>
              <w:t>(2.4)</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Cultural Infrastructure and Facilities</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101.3</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104.8</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102.5</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1.2</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4D69AD">
            <w:pPr>
              <w:pStyle w:val="Tabletext"/>
              <w:ind w:left="227" w:hanging="227"/>
            </w:pPr>
            <w:r w:rsidRPr="00721A9C">
              <w:t>Employment and Investment</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199.1</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217.4</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205.5</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3.2</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Industrial Relations</w:t>
            </w:r>
            <w:r>
              <w:t xml:space="preserve"> </w:t>
            </w:r>
            <w:r w:rsidRPr="00721A9C">
              <w:rPr>
                <w:vertAlign w:val="superscript"/>
                <w:lang w:eastAsia="en-AU"/>
              </w:rPr>
              <w:t>(c)</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3.4</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3.4</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5.4</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58.8</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Industry and Enterprise Innovation</w:t>
            </w:r>
            <w:r>
              <w:t xml:space="preserve"> </w:t>
            </w:r>
            <w:r w:rsidRPr="00721A9C">
              <w:rPr>
                <w:vertAlign w:val="superscript"/>
                <w:lang w:eastAsia="en-AU"/>
              </w:rPr>
              <w:t>(d)</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108.4</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88.2</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153.0</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41.1</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Major Projects</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19.5</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18.4</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19.5</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0.2</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804F7C">
            <w:pPr>
              <w:pStyle w:val="Tabletext"/>
              <w:ind w:left="227" w:hanging="227"/>
            </w:pPr>
            <w:r w:rsidRPr="00721A9C">
              <w:t>Regional Development</w:t>
            </w:r>
            <w:r>
              <w:t> </w:t>
            </w:r>
            <w:r w:rsidRPr="00721A9C">
              <w:rPr>
                <w:vertAlign w:val="superscript"/>
                <w:lang w:eastAsia="en-AU"/>
              </w:rPr>
              <w:t>(e)</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163.4</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216.8</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180.3</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10.4</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Tourism, Major Events and International Education</w:t>
            </w:r>
            <w:r>
              <w:t xml:space="preserve"> </w:t>
            </w:r>
            <w:r w:rsidRPr="00721A9C">
              <w:rPr>
                <w:vertAlign w:val="superscript"/>
                <w:lang w:eastAsia="en-AU"/>
              </w:rPr>
              <w:t>(f)</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40.8</w:t>
            </w:r>
          </w:p>
        </w:tc>
        <w:tc>
          <w:tcPr>
            <w:tcW w:w="989" w:type="dxa"/>
            <w:tcBorders>
              <w:top w:val="nil"/>
              <w:left w:val="nil"/>
              <w:right w:val="nil"/>
            </w:tcBorders>
            <w:shd w:val="clear" w:color="000000" w:fill="FFFFFF"/>
          </w:tcPr>
          <w:p w:rsidR="00E25CC6" w:rsidRPr="00757908" w:rsidRDefault="00E25CC6" w:rsidP="00721A9C">
            <w:pPr>
              <w:pStyle w:val="TableofFigures"/>
              <w:rPr>
                <w:sz w:val="19"/>
              </w:rPr>
            </w:pPr>
            <w:r w:rsidRPr="00757908">
              <w:rPr>
                <w:sz w:val="19"/>
              </w:rPr>
              <w:t>134.4</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109.0</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167.2</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Trade</w:t>
            </w:r>
            <w:r>
              <w:t xml:space="preserve"> </w:t>
            </w:r>
            <w:r w:rsidRPr="00721A9C">
              <w:rPr>
                <w:vertAlign w:val="superscript"/>
                <w:lang w:eastAsia="en-AU"/>
              </w:rPr>
              <w:t>(g)</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14.4</w:t>
            </w:r>
          </w:p>
        </w:tc>
        <w:tc>
          <w:tcPr>
            <w:tcW w:w="989" w:type="dxa"/>
            <w:tcBorders>
              <w:top w:val="nil"/>
              <w:left w:val="nil"/>
              <w:right w:val="nil"/>
            </w:tcBorders>
            <w:shd w:val="clear" w:color="000000" w:fill="FFFFFF"/>
          </w:tcPr>
          <w:p w:rsidR="00E25CC6" w:rsidRPr="00757908" w:rsidRDefault="00E25CC6" w:rsidP="00721A9C">
            <w:pPr>
              <w:pStyle w:val="TableofFigures"/>
              <w:rPr>
                <w:sz w:val="19"/>
              </w:rPr>
            </w:pPr>
            <w:r w:rsidRPr="00757908">
              <w:rPr>
                <w:sz w:val="19"/>
              </w:rPr>
              <w:t>17.6</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21.8</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51.4</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Agriculture</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341.9</w:t>
            </w:r>
          </w:p>
        </w:tc>
        <w:tc>
          <w:tcPr>
            <w:tcW w:w="989" w:type="dxa"/>
            <w:tcBorders>
              <w:top w:val="nil"/>
              <w:left w:val="nil"/>
              <w:right w:val="nil"/>
            </w:tcBorders>
            <w:shd w:val="clear" w:color="000000" w:fill="FFFFFF"/>
          </w:tcPr>
          <w:p w:rsidR="00E25CC6" w:rsidRPr="00757908" w:rsidRDefault="00E25CC6" w:rsidP="00721A9C">
            <w:pPr>
              <w:pStyle w:val="TableofFigures"/>
              <w:rPr>
                <w:sz w:val="19"/>
              </w:rPr>
            </w:pPr>
            <w:r w:rsidRPr="00757908">
              <w:rPr>
                <w:sz w:val="19"/>
              </w:rPr>
              <w:t>355.6</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351.9</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2.9</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Energy and Resources</w:t>
            </w:r>
            <w:r>
              <w:t xml:space="preserve"> </w:t>
            </w:r>
            <w:r w:rsidRPr="00721A9C">
              <w:rPr>
                <w:vertAlign w:val="superscript"/>
                <w:lang w:eastAsia="en-AU"/>
              </w:rPr>
              <w:t>(h)</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154.1</w:t>
            </w:r>
          </w:p>
        </w:tc>
        <w:tc>
          <w:tcPr>
            <w:tcW w:w="989" w:type="dxa"/>
            <w:tcBorders>
              <w:top w:val="nil"/>
              <w:left w:val="nil"/>
              <w:right w:val="nil"/>
            </w:tcBorders>
            <w:shd w:val="clear" w:color="000000" w:fill="FFFFFF"/>
          </w:tcPr>
          <w:p w:rsidR="00E25CC6" w:rsidRPr="00757908" w:rsidRDefault="00E25CC6" w:rsidP="00721A9C">
            <w:pPr>
              <w:pStyle w:val="TableofFigures"/>
              <w:rPr>
                <w:sz w:val="19"/>
              </w:rPr>
            </w:pPr>
            <w:r w:rsidRPr="00757908">
              <w:rPr>
                <w:sz w:val="19"/>
              </w:rPr>
              <w:t>115.3</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172.1</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11.7</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Sustainably Manage Fish, Game and Forest Resources</w:t>
            </w:r>
            <w:r>
              <w:t xml:space="preserve"> </w:t>
            </w:r>
            <w:r w:rsidRPr="00721A9C">
              <w:rPr>
                <w:vertAlign w:val="superscript"/>
                <w:lang w:eastAsia="en-AU"/>
              </w:rPr>
              <w:t>(i)</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83.2</w:t>
            </w:r>
          </w:p>
        </w:tc>
        <w:tc>
          <w:tcPr>
            <w:tcW w:w="989" w:type="dxa"/>
            <w:tcBorders>
              <w:top w:val="nil"/>
              <w:left w:val="nil"/>
              <w:right w:val="nil"/>
            </w:tcBorders>
            <w:shd w:val="clear" w:color="000000" w:fill="FFFFFF"/>
          </w:tcPr>
          <w:p w:rsidR="00E25CC6" w:rsidRPr="00757908" w:rsidRDefault="00E25CC6" w:rsidP="00721A9C">
            <w:pPr>
              <w:pStyle w:val="TableofFigures"/>
              <w:rPr>
                <w:sz w:val="19"/>
              </w:rPr>
            </w:pPr>
            <w:r w:rsidRPr="00757908">
              <w:rPr>
                <w:sz w:val="19"/>
              </w:rPr>
              <w:t>114.3</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87.7</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5.4</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Bus Services</w:t>
            </w:r>
            <w:r>
              <w:t xml:space="preserve"> </w:t>
            </w:r>
            <w:r w:rsidRPr="00721A9C">
              <w:rPr>
                <w:vertAlign w:val="superscript"/>
                <w:lang w:eastAsia="en-AU"/>
              </w:rPr>
              <w:t>(j)</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1 032.8</w:t>
            </w:r>
          </w:p>
        </w:tc>
        <w:tc>
          <w:tcPr>
            <w:tcW w:w="989" w:type="dxa"/>
            <w:tcBorders>
              <w:top w:val="nil"/>
              <w:left w:val="nil"/>
              <w:right w:val="nil"/>
            </w:tcBorders>
            <w:shd w:val="clear" w:color="000000" w:fill="FFFFFF"/>
          </w:tcPr>
          <w:p w:rsidR="00E25CC6" w:rsidRPr="00757908" w:rsidRDefault="00E25CC6" w:rsidP="00721A9C">
            <w:pPr>
              <w:pStyle w:val="TableofFigures"/>
              <w:rPr>
                <w:sz w:val="19"/>
              </w:rPr>
            </w:pPr>
            <w:r w:rsidRPr="00757908">
              <w:rPr>
                <w:sz w:val="19"/>
              </w:rPr>
              <w:t>1 076.1</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Pr>
                <w:sz w:val="19"/>
              </w:rPr>
              <w:t>1 119</w:t>
            </w:r>
            <w:r w:rsidRPr="00781CAC">
              <w:rPr>
                <w:sz w:val="19"/>
              </w:rPr>
              <w:t>.3</w:t>
            </w:r>
          </w:p>
        </w:tc>
        <w:tc>
          <w:tcPr>
            <w:tcW w:w="990" w:type="dxa"/>
            <w:tcBorders>
              <w:top w:val="nil"/>
              <w:left w:val="nil"/>
              <w:right w:val="nil"/>
            </w:tcBorders>
            <w:shd w:val="clear" w:color="000000" w:fill="FFFFFF"/>
          </w:tcPr>
          <w:p w:rsidR="00E25CC6" w:rsidRPr="00781CAC" w:rsidRDefault="00E25CC6" w:rsidP="00A86494">
            <w:pPr>
              <w:pStyle w:val="TableofFigures"/>
              <w:rPr>
                <w:sz w:val="19"/>
              </w:rPr>
            </w:pPr>
            <w:r>
              <w:rPr>
                <w:sz w:val="19"/>
              </w:rPr>
              <w:t>8</w:t>
            </w:r>
            <w:r w:rsidRPr="00781CAC">
              <w:rPr>
                <w:sz w:val="19"/>
              </w:rPr>
              <w:t>.</w:t>
            </w:r>
            <w:r>
              <w:rPr>
                <w:sz w:val="19"/>
              </w:rPr>
              <w:t>4</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Integrated Transport</w:t>
            </w:r>
            <w:r>
              <w:t xml:space="preserve"> </w:t>
            </w:r>
            <w:r w:rsidRPr="00721A9C">
              <w:rPr>
                <w:vertAlign w:val="superscript"/>
                <w:lang w:eastAsia="en-AU"/>
              </w:rPr>
              <w:t>(k)</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19.1</w:t>
            </w:r>
          </w:p>
        </w:tc>
        <w:tc>
          <w:tcPr>
            <w:tcW w:w="989" w:type="dxa"/>
            <w:tcBorders>
              <w:top w:val="nil"/>
              <w:left w:val="nil"/>
              <w:right w:val="nil"/>
            </w:tcBorders>
            <w:shd w:val="clear" w:color="000000" w:fill="FFFFFF"/>
          </w:tcPr>
          <w:p w:rsidR="00E25CC6" w:rsidRPr="00757908" w:rsidRDefault="00E25CC6" w:rsidP="00721A9C">
            <w:pPr>
              <w:pStyle w:val="TableofFigures"/>
              <w:rPr>
                <w:sz w:val="19"/>
              </w:rPr>
            </w:pPr>
            <w:r w:rsidRPr="00757908">
              <w:rPr>
                <w:sz w:val="19"/>
              </w:rPr>
              <w:t>14.2</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65.5</w:t>
            </w:r>
          </w:p>
        </w:tc>
        <w:tc>
          <w:tcPr>
            <w:tcW w:w="990"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242.9</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Port and Freight Network Access</w:t>
            </w:r>
            <w:r>
              <w:t xml:space="preserve"> </w:t>
            </w:r>
            <w:r w:rsidRPr="00721A9C">
              <w:rPr>
                <w:vertAlign w:val="superscript"/>
                <w:lang w:eastAsia="en-AU"/>
              </w:rPr>
              <w:t>(l)</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68.2</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110.8</w:t>
            </w:r>
          </w:p>
        </w:tc>
        <w:tc>
          <w:tcPr>
            <w:tcW w:w="989" w:type="dxa"/>
            <w:tcBorders>
              <w:top w:val="nil"/>
              <w:left w:val="nil"/>
              <w:right w:val="nil"/>
            </w:tcBorders>
            <w:shd w:val="clear" w:color="000000" w:fill="FFFFFF"/>
          </w:tcPr>
          <w:p w:rsidR="00E25CC6" w:rsidRPr="00781CAC" w:rsidRDefault="00E25CC6" w:rsidP="000A6270">
            <w:pPr>
              <w:pStyle w:val="TableofFigures"/>
              <w:rPr>
                <w:sz w:val="19"/>
              </w:rPr>
            </w:pPr>
            <w:r w:rsidRPr="00781CAC">
              <w:rPr>
                <w:sz w:val="19"/>
              </w:rPr>
              <w:t>116.6</w:t>
            </w:r>
          </w:p>
        </w:tc>
        <w:tc>
          <w:tcPr>
            <w:tcW w:w="990"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71.0</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Road Asset Management</w:t>
            </w:r>
            <w:r>
              <w:t xml:space="preserve"> </w:t>
            </w:r>
            <w:r w:rsidRPr="00721A9C">
              <w:rPr>
                <w:vertAlign w:val="superscript"/>
                <w:lang w:eastAsia="en-AU"/>
              </w:rPr>
              <w:t>(m)</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402.1</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419.0</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440.3</w:t>
            </w:r>
          </w:p>
        </w:tc>
        <w:tc>
          <w:tcPr>
            <w:tcW w:w="990"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9.5</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Road Operations and Network Improvements</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1 017.3</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950.3</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982.9</w:t>
            </w:r>
          </w:p>
        </w:tc>
        <w:tc>
          <w:tcPr>
            <w:tcW w:w="990"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(3.4)</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Taxi and Hire Vehicle Services</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90.0</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97.6</w:t>
            </w:r>
          </w:p>
        </w:tc>
        <w:tc>
          <w:tcPr>
            <w:tcW w:w="989"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89.2</w:t>
            </w:r>
          </w:p>
        </w:tc>
        <w:tc>
          <w:tcPr>
            <w:tcW w:w="990" w:type="dxa"/>
            <w:tcBorders>
              <w:top w:val="nil"/>
              <w:left w:val="nil"/>
              <w:right w:val="nil"/>
            </w:tcBorders>
            <w:shd w:val="clear" w:color="000000" w:fill="FFFFFF"/>
          </w:tcPr>
          <w:p w:rsidR="00E25CC6" w:rsidRPr="00781CAC" w:rsidRDefault="00E25CC6" w:rsidP="00721A9C">
            <w:pPr>
              <w:pStyle w:val="TableofFigures"/>
              <w:rPr>
                <w:sz w:val="19"/>
              </w:rPr>
            </w:pPr>
            <w:r w:rsidRPr="00781CAC">
              <w:rPr>
                <w:sz w:val="19"/>
              </w:rPr>
              <w:t>(0.9)</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Train Services</w:t>
            </w:r>
            <w:r>
              <w:t xml:space="preserve"> </w:t>
            </w:r>
            <w:r w:rsidRPr="00721A9C">
              <w:rPr>
                <w:vertAlign w:val="superscript"/>
                <w:lang w:eastAsia="en-AU"/>
              </w:rPr>
              <w:t>(n)</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2 755.2</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2 803.8</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Pr>
                <w:sz w:val="19"/>
              </w:rPr>
              <w:t>2 952</w:t>
            </w:r>
            <w:r w:rsidRPr="00721A9C">
              <w:rPr>
                <w:sz w:val="19"/>
              </w:rPr>
              <w:t>.6</w:t>
            </w:r>
          </w:p>
        </w:tc>
        <w:tc>
          <w:tcPr>
            <w:tcW w:w="990" w:type="dxa"/>
            <w:tcBorders>
              <w:top w:val="nil"/>
              <w:left w:val="nil"/>
              <w:right w:val="nil"/>
            </w:tcBorders>
            <w:shd w:val="clear" w:color="000000" w:fill="FFFFFF"/>
          </w:tcPr>
          <w:p w:rsidR="00E25CC6" w:rsidRPr="00721A9C" w:rsidRDefault="00E25CC6" w:rsidP="00A86494">
            <w:pPr>
              <w:pStyle w:val="TableofFigures"/>
              <w:rPr>
                <w:sz w:val="19"/>
              </w:rPr>
            </w:pPr>
            <w:r>
              <w:rPr>
                <w:sz w:val="19"/>
              </w:rPr>
              <w:t>7</w:t>
            </w:r>
            <w:r w:rsidRPr="00721A9C">
              <w:rPr>
                <w:sz w:val="19"/>
              </w:rPr>
              <w:t>.</w:t>
            </w:r>
            <w:r>
              <w:rPr>
                <w:sz w:val="19"/>
              </w:rPr>
              <w:t>2</w:t>
            </w:r>
          </w:p>
        </w:tc>
      </w:tr>
      <w:tr w:rsidR="00E25CC6" w:rsidRPr="00721A9C" w:rsidTr="00804F7C">
        <w:trPr>
          <w:cantSplit/>
        </w:trPr>
        <w:tc>
          <w:tcPr>
            <w:tcW w:w="3808" w:type="dxa"/>
            <w:tcBorders>
              <w:top w:val="nil"/>
              <w:left w:val="nil"/>
              <w:right w:val="nil"/>
            </w:tcBorders>
            <w:shd w:val="clear" w:color="000000" w:fill="FFFFFF"/>
          </w:tcPr>
          <w:p w:rsidR="00E25CC6" w:rsidRPr="00721A9C" w:rsidRDefault="00E25CC6" w:rsidP="00721A9C">
            <w:pPr>
              <w:pStyle w:val="Tabletext"/>
              <w:ind w:left="227" w:hanging="227"/>
            </w:pPr>
            <w:r w:rsidRPr="00721A9C">
              <w:t>Tram Services</w:t>
            </w:r>
          </w:p>
        </w:tc>
        <w:tc>
          <w:tcPr>
            <w:tcW w:w="989" w:type="dxa"/>
            <w:tcBorders>
              <w:top w:val="nil"/>
              <w:left w:val="nil"/>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645.0</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635.9</w:t>
            </w:r>
          </w:p>
        </w:tc>
        <w:tc>
          <w:tcPr>
            <w:tcW w:w="989"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652.2</w:t>
            </w:r>
          </w:p>
        </w:tc>
        <w:tc>
          <w:tcPr>
            <w:tcW w:w="990" w:type="dxa"/>
            <w:tcBorders>
              <w:top w:val="nil"/>
              <w:left w:val="nil"/>
              <w:right w:val="nil"/>
            </w:tcBorders>
            <w:shd w:val="clear" w:color="000000" w:fill="FFFFFF"/>
          </w:tcPr>
          <w:p w:rsidR="00E25CC6" w:rsidRPr="00721A9C" w:rsidRDefault="00E25CC6" w:rsidP="00721A9C">
            <w:pPr>
              <w:pStyle w:val="TableofFigures"/>
              <w:rPr>
                <w:sz w:val="19"/>
              </w:rPr>
            </w:pPr>
            <w:r w:rsidRPr="00721A9C">
              <w:rPr>
                <w:sz w:val="19"/>
              </w:rPr>
              <w:t>1.1</w:t>
            </w:r>
          </w:p>
        </w:tc>
      </w:tr>
      <w:tr w:rsidR="00E25CC6" w:rsidRPr="00721A9C" w:rsidTr="00804F7C">
        <w:trPr>
          <w:cantSplit/>
        </w:trPr>
        <w:tc>
          <w:tcPr>
            <w:tcW w:w="3808" w:type="dxa"/>
            <w:tcBorders>
              <w:top w:val="nil"/>
              <w:left w:val="nil"/>
              <w:bottom w:val="single" w:sz="6" w:space="0" w:color="auto"/>
              <w:right w:val="nil"/>
            </w:tcBorders>
            <w:shd w:val="clear" w:color="000000" w:fill="FFFFFF"/>
          </w:tcPr>
          <w:p w:rsidR="00E25CC6" w:rsidRPr="00721A9C" w:rsidRDefault="00E25CC6" w:rsidP="00721A9C">
            <w:pPr>
              <w:pStyle w:val="Tabletext"/>
              <w:ind w:left="227" w:hanging="227"/>
            </w:pPr>
            <w:r w:rsidRPr="00721A9C">
              <w:t>Transport Safety, Security and Emergency Management</w:t>
            </w:r>
            <w:r>
              <w:t xml:space="preserve"> </w:t>
            </w:r>
            <w:r w:rsidRPr="00721A9C">
              <w:rPr>
                <w:vertAlign w:val="superscript"/>
                <w:lang w:eastAsia="en-AU"/>
              </w:rPr>
              <w:t>(o)</w:t>
            </w:r>
          </w:p>
        </w:tc>
        <w:tc>
          <w:tcPr>
            <w:tcW w:w="989" w:type="dxa"/>
            <w:tcBorders>
              <w:top w:val="nil"/>
              <w:left w:val="nil"/>
              <w:bottom w:val="single" w:sz="6" w:space="0" w:color="auto"/>
              <w:right w:val="nil"/>
            </w:tcBorders>
            <w:shd w:val="clear" w:color="000000" w:fill="FFFFFF"/>
          </w:tcPr>
          <w:p w:rsidR="00E25CC6" w:rsidRPr="00721A9C" w:rsidRDefault="00E25CC6" w:rsidP="00721A9C">
            <w:pPr>
              <w:spacing w:after="0"/>
              <w:jc w:val="right"/>
              <w:rPr>
                <w:rFonts w:ascii="Calibri" w:hAnsi="Calibri"/>
                <w:sz w:val="19"/>
                <w:szCs w:val="18"/>
              </w:rPr>
            </w:pPr>
            <w:r w:rsidRPr="00721A9C">
              <w:rPr>
                <w:rFonts w:ascii="Calibri" w:hAnsi="Calibri"/>
                <w:sz w:val="19"/>
                <w:szCs w:val="18"/>
              </w:rPr>
              <w:t>326.7</w:t>
            </w:r>
          </w:p>
        </w:tc>
        <w:tc>
          <w:tcPr>
            <w:tcW w:w="989" w:type="dxa"/>
            <w:tcBorders>
              <w:top w:val="nil"/>
              <w:left w:val="nil"/>
              <w:bottom w:val="single" w:sz="6" w:space="0" w:color="auto"/>
              <w:right w:val="nil"/>
            </w:tcBorders>
            <w:shd w:val="clear" w:color="000000" w:fill="FFFFFF"/>
          </w:tcPr>
          <w:p w:rsidR="00E25CC6" w:rsidRPr="00721A9C" w:rsidRDefault="00E25CC6" w:rsidP="00721A9C">
            <w:pPr>
              <w:pStyle w:val="TableofFigures"/>
              <w:rPr>
                <w:sz w:val="19"/>
              </w:rPr>
            </w:pPr>
            <w:r w:rsidRPr="00721A9C">
              <w:rPr>
                <w:sz w:val="19"/>
              </w:rPr>
              <w:t>310.1</w:t>
            </w:r>
          </w:p>
        </w:tc>
        <w:tc>
          <w:tcPr>
            <w:tcW w:w="989" w:type="dxa"/>
            <w:tcBorders>
              <w:top w:val="nil"/>
              <w:left w:val="nil"/>
              <w:bottom w:val="single" w:sz="6" w:space="0" w:color="auto"/>
              <w:right w:val="nil"/>
            </w:tcBorders>
            <w:shd w:val="clear" w:color="000000" w:fill="FFFFFF"/>
          </w:tcPr>
          <w:p w:rsidR="00E25CC6" w:rsidRPr="00721A9C" w:rsidRDefault="00E25CC6" w:rsidP="00721A9C">
            <w:pPr>
              <w:pStyle w:val="TableofFigures"/>
              <w:rPr>
                <w:sz w:val="19"/>
              </w:rPr>
            </w:pPr>
            <w:r w:rsidRPr="00721A9C">
              <w:rPr>
                <w:sz w:val="19"/>
              </w:rPr>
              <w:t>354.1</w:t>
            </w:r>
          </w:p>
        </w:tc>
        <w:tc>
          <w:tcPr>
            <w:tcW w:w="990" w:type="dxa"/>
            <w:tcBorders>
              <w:top w:val="nil"/>
              <w:left w:val="nil"/>
              <w:bottom w:val="single" w:sz="6" w:space="0" w:color="auto"/>
              <w:right w:val="nil"/>
            </w:tcBorders>
            <w:shd w:val="clear" w:color="000000" w:fill="FFFFFF"/>
          </w:tcPr>
          <w:p w:rsidR="00E25CC6" w:rsidRPr="00721A9C" w:rsidRDefault="00E25CC6" w:rsidP="00721A9C">
            <w:pPr>
              <w:pStyle w:val="TableofFigures"/>
              <w:rPr>
                <w:sz w:val="19"/>
              </w:rPr>
            </w:pPr>
            <w:r w:rsidRPr="00721A9C">
              <w:rPr>
                <w:sz w:val="19"/>
              </w:rPr>
              <w:t>8.4</w:t>
            </w:r>
          </w:p>
        </w:tc>
      </w:tr>
      <w:tr w:rsidR="00E25CC6" w:rsidRPr="00721A9C" w:rsidTr="00804F7C">
        <w:trPr>
          <w:cantSplit/>
        </w:trPr>
        <w:tc>
          <w:tcPr>
            <w:tcW w:w="3808" w:type="dxa"/>
            <w:tcBorders>
              <w:top w:val="single" w:sz="6" w:space="0" w:color="auto"/>
              <w:left w:val="nil"/>
              <w:bottom w:val="single" w:sz="12" w:space="0" w:color="auto"/>
              <w:right w:val="nil"/>
            </w:tcBorders>
            <w:shd w:val="clear" w:color="auto" w:fill="FFFFFF"/>
          </w:tcPr>
          <w:p w:rsidR="00E25CC6" w:rsidRPr="00721A9C" w:rsidRDefault="00E25CC6" w:rsidP="00721A9C">
            <w:pPr>
              <w:pStyle w:val="Tabletext"/>
              <w:ind w:left="227" w:hanging="227"/>
              <w:rPr>
                <w:b/>
                <w:bCs/>
                <w:color w:val="000000"/>
                <w:lang w:eastAsia="en-AU"/>
              </w:rPr>
            </w:pPr>
            <w:r w:rsidRPr="00721A9C">
              <w:rPr>
                <w:b/>
                <w:bCs/>
                <w:color w:val="000000"/>
                <w:lang w:eastAsia="en-AU"/>
              </w:rPr>
              <w:t>Total</w:t>
            </w:r>
          </w:p>
        </w:tc>
        <w:tc>
          <w:tcPr>
            <w:tcW w:w="989" w:type="dxa"/>
            <w:tcBorders>
              <w:top w:val="single" w:sz="6" w:space="0" w:color="auto"/>
              <w:left w:val="nil"/>
              <w:bottom w:val="single" w:sz="12" w:space="0" w:color="auto"/>
              <w:right w:val="nil"/>
            </w:tcBorders>
            <w:shd w:val="clear" w:color="auto" w:fill="FFFFFF"/>
          </w:tcPr>
          <w:p w:rsidR="00E25CC6" w:rsidRPr="00721A9C" w:rsidRDefault="00E25CC6" w:rsidP="00721A9C">
            <w:pPr>
              <w:pStyle w:val="TableofFigures"/>
              <w:rPr>
                <w:b/>
                <w:bCs/>
                <w:color w:val="000000"/>
                <w:sz w:val="19"/>
                <w:szCs w:val="22"/>
                <w:lang w:eastAsia="en-AU"/>
              </w:rPr>
            </w:pPr>
            <w:r w:rsidRPr="00721A9C">
              <w:rPr>
                <w:b/>
                <w:bCs/>
                <w:color w:val="000000"/>
                <w:sz w:val="19"/>
                <w:szCs w:val="22"/>
                <w:lang w:eastAsia="en-AU"/>
              </w:rPr>
              <w:t>7 984.8</w:t>
            </w:r>
          </w:p>
        </w:tc>
        <w:tc>
          <w:tcPr>
            <w:tcW w:w="989" w:type="dxa"/>
            <w:tcBorders>
              <w:top w:val="single" w:sz="6" w:space="0" w:color="auto"/>
              <w:left w:val="nil"/>
              <w:bottom w:val="single" w:sz="12" w:space="0" w:color="auto"/>
              <w:right w:val="nil"/>
            </w:tcBorders>
            <w:shd w:val="clear" w:color="auto" w:fill="FFFFFF"/>
          </w:tcPr>
          <w:p w:rsidR="00E25CC6" w:rsidRPr="00721A9C" w:rsidRDefault="00E25CC6" w:rsidP="00721A9C">
            <w:pPr>
              <w:pStyle w:val="TableofFigures"/>
              <w:rPr>
                <w:b/>
                <w:bCs/>
                <w:sz w:val="19"/>
                <w:szCs w:val="22"/>
                <w:lang w:eastAsia="en-AU"/>
              </w:rPr>
            </w:pPr>
            <w:r w:rsidRPr="00721A9C">
              <w:rPr>
                <w:b/>
                <w:bCs/>
                <w:sz w:val="19"/>
                <w:szCs w:val="22"/>
                <w:lang w:eastAsia="en-AU"/>
              </w:rPr>
              <w:t>8 195.4</w:t>
            </w:r>
          </w:p>
        </w:tc>
        <w:tc>
          <w:tcPr>
            <w:tcW w:w="989" w:type="dxa"/>
            <w:tcBorders>
              <w:top w:val="single" w:sz="6" w:space="0" w:color="auto"/>
              <w:left w:val="nil"/>
              <w:bottom w:val="single" w:sz="12" w:space="0" w:color="auto"/>
              <w:right w:val="nil"/>
            </w:tcBorders>
            <w:shd w:val="clear" w:color="auto" w:fill="FFFFFF"/>
          </w:tcPr>
          <w:p w:rsidR="00E25CC6" w:rsidRPr="00721A9C" w:rsidRDefault="00E25CC6" w:rsidP="00721A9C">
            <w:pPr>
              <w:pStyle w:val="TableofFigures"/>
              <w:rPr>
                <w:b/>
                <w:bCs/>
                <w:sz w:val="19"/>
                <w:szCs w:val="22"/>
                <w:lang w:eastAsia="en-AU"/>
              </w:rPr>
            </w:pPr>
            <w:r w:rsidRPr="00721A9C">
              <w:rPr>
                <w:b/>
                <w:bCs/>
                <w:sz w:val="19"/>
                <w:szCs w:val="22"/>
                <w:lang w:eastAsia="en-AU"/>
              </w:rPr>
              <w:t>8 588.5</w:t>
            </w:r>
          </w:p>
        </w:tc>
        <w:tc>
          <w:tcPr>
            <w:tcW w:w="990" w:type="dxa"/>
            <w:tcBorders>
              <w:top w:val="single" w:sz="6" w:space="0" w:color="auto"/>
              <w:left w:val="nil"/>
              <w:bottom w:val="single" w:sz="12" w:space="0" w:color="auto"/>
              <w:right w:val="nil"/>
            </w:tcBorders>
            <w:shd w:val="clear" w:color="auto" w:fill="FFFFFF"/>
          </w:tcPr>
          <w:p w:rsidR="00E25CC6" w:rsidRPr="00721A9C" w:rsidRDefault="00E25CC6" w:rsidP="00721A9C">
            <w:pPr>
              <w:pStyle w:val="TableofFigures"/>
              <w:rPr>
                <w:b/>
                <w:bCs/>
                <w:sz w:val="19"/>
                <w:szCs w:val="22"/>
                <w:lang w:eastAsia="en-AU"/>
              </w:rPr>
            </w:pPr>
            <w:r w:rsidRPr="00721A9C">
              <w:rPr>
                <w:b/>
                <w:bCs/>
                <w:sz w:val="19"/>
                <w:szCs w:val="22"/>
                <w:lang w:eastAsia="en-AU"/>
              </w:rPr>
              <w:t>7.6</w:t>
            </w:r>
          </w:p>
        </w:tc>
      </w:tr>
    </w:tbl>
    <w:p w:rsidR="00E25CC6" w:rsidRPr="004D69AD" w:rsidRDefault="00E25CC6" w:rsidP="00C50194">
      <w:pPr>
        <w:pStyle w:val="Source"/>
        <w:rPr>
          <w:rFonts w:eastAsiaTheme="minorHAnsi"/>
          <w:i w:val="0"/>
        </w:rPr>
      </w:pPr>
      <w:r>
        <w:rPr>
          <w:rFonts w:eastAsiaTheme="minorHAnsi"/>
        </w:rPr>
        <w:t xml:space="preserve">Source: Department of Economic Development, Jobs, Transport and Resources </w:t>
      </w:r>
      <w:r>
        <w:rPr>
          <w:rFonts w:eastAsiaTheme="minorHAnsi"/>
        </w:rPr>
        <w:fldChar w:fldCharType="begin"/>
      </w:r>
      <w:r>
        <w:instrText xml:space="preserve"> XE "</w:instrText>
      </w:r>
      <w:r w:rsidRPr="00112BC0">
        <w:instrText>Department of Economic Development, Jobs, Transport and Resources:Output summary</w:instrText>
      </w:r>
      <w:r>
        <w:instrText xml:space="preserve">" </w:instrText>
      </w:r>
      <w:r>
        <w:rPr>
          <w:rFonts w:eastAsiaTheme="minorHAnsi"/>
        </w:rPr>
        <w:fldChar w:fldCharType="end"/>
      </w:r>
    </w:p>
    <w:p w:rsidR="00E25CC6" w:rsidRPr="006C3F16" w:rsidRDefault="00E25CC6" w:rsidP="00721A9C">
      <w:pPr>
        <w:pStyle w:val="Notes"/>
        <w:rPr>
          <w:rFonts w:eastAsiaTheme="minorHAnsi"/>
        </w:rPr>
      </w:pPr>
      <w:r w:rsidRPr="006C3F16">
        <w:rPr>
          <w:rFonts w:eastAsiaTheme="minorHAnsi"/>
        </w:rPr>
        <w:t>Notes:</w:t>
      </w:r>
    </w:p>
    <w:p w:rsidR="00E25CC6" w:rsidRPr="00781CAC" w:rsidRDefault="00E25CC6" w:rsidP="00721A9C">
      <w:pPr>
        <w:pStyle w:val="Notes"/>
        <w:rPr>
          <w:rFonts w:eastAsiaTheme="minorHAnsi"/>
        </w:rPr>
      </w:pPr>
      <w:r w:rsidRPr="006C3F16">
        <w:rPr>
          <w:rFonts w:eastAsiaTheme="minorHAnsi"/>
        </w:rPr>
        <w:t>(a)</w:t>
      </w:r>
      <w:r w:rsidRPr="006C3F16">
        <w:rPr>
          <w:rFonts w:eastAsiaTheme="minorHAnsi"/>
        </w:rPr>
        <w:tab/>
      </w:r>
      <w:r w:rsidRPr="00781CAC">
        <w:rPr>
          <w:rFonts w:eastAsiaTheme="minorHAnsi"/>
        </w:rPr>
        <w:t>Variation between the 2015</w:t>
      </w:r>
      <w:r w:rsidRPr="00781CAC">
        <w:rPr>
          <w:rFonts w:eastAsiaTheme="minorHAnsi"/>
        </w:rPr>
        <w:noBreakHyphen/>
        <w:t>16 budget and the 2016</w:t>
      </w:r>
      <w:r w:rsidRPr="00781CAC">
        <w:rPr>
          <w:rFonts w:eastAsiaTheme="minorHAnsi"/>
        </w:rPr>
        <w:noBreakHyphen/>
        <w:t>17 budget.</w:t>
      </w:r>
    </w:p>
    <w:p w:rsidR="00E25CC6" w:rsidRPr="00781CAC" w:rsidRDefault="00E25CC6" w:rsidP="00721A9C">
      <w:pPr>
        <w:pStyle w:val="Notes"/>
        <w:rPr>
          <w:rFonts w:eastAsiaTheme="minorHAnsi"/>
        </w:rPr>
      </w:pPr>
      <w:r w:rsidRPr="00781CAC">
        <w:rPr>
          <w:rFonts w:eastAsiaTheme="minorHAnsi"/>
        </w:rPr>
        <w:t>(b)</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reflects new funding included in the </w:t>
      </w:r>
      <w:r w:rsidRPr="00781CAC">
        <w:rPr>
          <w:rFonts w:eastAsiaTheme="minorHAnsi"/>
          <w:i w:val="0"/>
        </w:rPr>
        <w:t>2016</w:t>
      </w:r>
      <w:r w:rsidRPr="00781CAC">
        <w:rPr>
          <w:rFonts w:eastAsiaTheme="minorHAnsi"/>
          <w:i w:val="0"/>
        </w:rPr>
        <w:noBreakHyphen/>
        <w:t>17 Budget</w:t>
      </w:r>
      <w:r>
        <w:rPr>
          <w:rFonts w:eastAsiaTheme="minorHAnsi"/>
          <w:i w:val="0"/>
        </w:rPr>
        <w:t>,</w:t>
      </w:r>
      <w:r w:rsidRPr="00781CAC">
        <w:rPr>
          <w:rFonts w:eastAsiaTheme="minorHAnsi"/>
        </w:rPr>
        <w:t xml:space="preserve"> including </w:t>
      </w:r>
      <w:r>
        <w:rPr>
          <w:rFonts w:eastAsiaTheme="minorHAnsi"/>
        </w:rPr>
        <w:t xml:space="preserve">Victoria’s </w:t>
      </w:r>
      <w:r w:rsidRPr="00781CAC">
        <w:rPr>
          <w:rFonts w:eastAsiaTheme="minorHAnsi"/>
        </w:rPr>
        <w:t>Creative State Strategy.</w:t>
      </w:r>
    </w:p>
    <w:p w:rsidR="00E25CC6" w:rsidRPr="00781CAC" w:rsidRDefault="00E25CC6" w:rsidP="00721A9C">
      <w:pPr>
        <w:pStyle w:val="Notes"/>
        <w:rPr>
          <w:rFonts w:eastAsiaTheme="minorHAnsi"/>
        </w:rPr>
      </w:pPr>
      <w:r w:rsidRPr="00781CAC">
        <w:rPr>
          <w:rFonts w:eastAsiaTheme="minorHAnsi"/>
        </w:rPr>
        <w:t>(c)</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reflects additional funding included in the </w:t>
      </w:r>
      <w:r w:rsidRPr="00781CAC">
        <w:rPr>
          <w:rFonts w:eastAsiaTheme="minorHAnsi"/>
          <w:i w:val="0"/>
        </w:rPr>
        <w:t>2016</w:t>
      </w:r>
      <w:r w:rsidRPr="00781CAC">
        <w:rPr>
          <w:rFonts w:eastAsiaTheme="minorHAnsi"/>
          <w:i w:val="0"/>
        </w:rPr>
        <w:noBreakHyphen/>
        <w:t xml:space="preserve">17 Budget </w:t>
      </w:r>
      <w:r>
        <w:rPr>
          <w:rFonts w:eastAsiaTheme="minorHAnsi"/>
        </w:rPr>
        <w:t>for the</w:t>
      </w:r>
      <w:r w:rsidRPr="00A63E8C">
        <w:rPr>
          <w:rFonts w:eastAsiaTheme="minorHAnsi"/>
        </w:rPr>
        <w:t xml:space="preserve"> expansion of the Central Bargaining Unit.</w:t>
      </w:r>
    </w:p>
    <w:p w:rsidR="00E25CC6" w:rsidRPr="00781CAC" w:rsidRDefault="00E25CC6" w:rsidP="00721A9C">
      <w:pPr>
        <w:pStyle w:val="Notes"/>
        <w:rPr>
          <w:rFonts w:eastAsiaTheme="minorHAnsi"/>
        </w:rPr>
      </w:pPr>
      <w:r w:rsidRPr="00781CAC">
        <w:rPr>
          <w:rFonts w:eastAsiaTheme="minorHAnsi"/>
        </w:rPr>
        <w:t>(d)</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17 budget primarily reflects rephasing of funding from 2015</w:t>
      </w:r>
      <w:r w:rsidRPr="00781CAC">
        <w:rPr>
          <w:rFonts w:eastAsiaTheme="minorHAnsi"/>
        </w:rPr>
        <w:noBreakHyphen/>
        <w:t>16 to 2016</w:t>
      </w:r>
      <w:r w:rsidRPr="00781CAC">
        <w:rPr>
          <w:rFonts w:eastAsiaTheme="minorHAnsi"/>
        </w:rPr>
        <w:noBreakHyphen/>
        <w:t xml:space="preserve">17 for the Future Industries Fund and additional funding in the </w:t>
      </w:r>
      <w:r w:rsidRPr="00781CAC">
        <w:rPr>
          <w:rFonts w:eastAsiaTheme="minorHAnsi"/>
          <w:i w:val="0"/>
        </w:rPr>
        <w:t>2016</w:t>
      </w:r>
      <w:r w:rsidRPr="00781CAC">
        <w:rPr>
          <w:rFonts w:eastAsiaTheme="minorHAnsi"/>
          <w:i w:val="0"/>
        </w:rPr>
        <w:noBreakHyphen/>
        <w:t>17 Budget</w:t>
      </w:r>
      <w:r w:rsidRPr="00781CAC">
        <w:rPr>
          <w:rFonts w:eastAsiaTheme="minorHAnsi"/>
        </w:rPr>
        <w:t xml:space="preserve"> for the extension of the Future Industries Fund</w:t>
      </w:r>
      <w:r>
        <w:rPr>
          <w:rFonts w:eastAsiaTheme="minorHAnsi"/>
        </w:rPr>
        <w:t xml:space="preserve"> </w:t>
      </w:r>
      <w:r w:rsidRPr="00781CAC">
        <w:t>and other initiatives</w:t>
      </w:r>
      <w:r w:rsidRPr="00781CAC">
        <w:rPr>
          <w:rFonts w:eastAsiaTheme="minorHAnsi"/>
        </w:rPr>
        <w:t>. It also reflects increased budgeted expenditure in the Automotive Supply Chain Transition Program.</w:t>
      </w:r>
    </w:p>
    <w:p w:rsidR="00E25CC6" w:rsidRPr="00781CAC" w:rsidRDefault="00E25CC6" w:rsidP="00721A9C">
      <w:pPr>
        <w:pStyle w:val="Notes"/>
        <w:rPr>
          <w:rFonts w:eastAsiaTheme="minorHAnsi"/>
        </w:rPr>
      </w:pPr>
      <w:r w:rsidRPr="00781CAC">
        <w:rPr>
          <w:rFonts w:eastAsiaTheme="minorHAnsi"/>
        </w:rPr>
        <w:t>(e)</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is primarily reflects additional funding in the </w:t>
      </w:r>
      <w:r w:rsidRPr="00781CAC">
        <w:rPr>
          <w:rFonts w:eastAsiaTheme="minorHAnsi"/>
          <w:i w:val="0"/>
        </w:rPr>
        <w:t>2016</w:t>
      </w:r>
      <w:r w:rsidRPr="00781CAC">
        <w:rPr>
          <w:rFonts w:eastAsiaTheme="minorHAnsi"/>
          <w:i w:val="0"/>
        </w:rPr>
        <w:noBreakHyphen/>
        <w:t xml:space="preserve">17 Budget </w:t>
      </w:r>
      <w:r w:rsidRPr="00781CAC">
        <w:rPr>
          <w:rFonts w:eastAsiaTheme="minorHAnsi"/>
        </w:rPr>
        <w:t>for the Regional Tourism Infrastructure Fund.</w:t>
      </w:r>
    </w:p>
    <w:p w:rsidR="00E25CC6" w:rsidRDefault="00E25CC6">
      <w:pPr>
        <w:spacing w:after="0"/>
        <w:rPr>
          <w:rFonts w:ascii="Calibri" w:eastAsiaTheme="minorHAnsi" w:hAnsi="Calibri"/>
          <w:i/>
          <w:sz w:val="15"/>
        </w:rPr>
      </w:pPr>
      <w:r>
        <w:rPr>
          <w:rFonts w:eastAsiaTheme="minorHAnsi"/>
        </w:rPr>
        <w:br w:type="page"/>
      </w:r>
    </w:p>
    <w:p w:rsidR="00E25CC6" w:rsidRDefault="00E25CC6" w:rsidP="00721A9C">
      <w:pPr>
        <w:pStyle w:val="Notes"/>
        <w:rPr>
          <w:rFonts w:eastAsiaTheme="minorHAnsi"/>
        </w:rPr>
      </w:pPr>
      <w:r>
        <w:rPr>
          <w:rFonts w:eastAsiaTheme="minorHAnsi"/>
        </w:rPr>
        <w:t>Notes (continued):</w:t>
      </w:r>
    </w:p>
    <w:p w:rsidR="00E25CC6" w:rsidRPr="00781CAC" w:rsidRDefault="00E25CC6" w:rsidP="00721A9C">
      <w:pPr>
        <w:pStyle w:val="Notes"/>
        <w:rPr>
          <w:rFonts w:eastAsiaTheme="minorHAnsi"/>
        </w:rPr>
      </w:pPr>
      <w:r w:rsidRPr="00781CAC">
        <w:rPr>
          <w:rFonts w:eastAsiaTheme="minorHAnsi"/>
        </w:rPr>
        <w:t>(f)</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17 budget reflects additional funding in 2016</w:t>
      </w:r>
      <w:r w:rsidRPr="00781CAC">
        <w:rPr>
          <w:rFonts w:eastAsiaTheme="minorHAnsi"/>
        </w:rPr>
        <w:noBreakHyphen/>
        <w:t>17 for major events, Visit Victoria and the International Education Sector Strategy. Consistent with past years, this output will be supplemented by major events funding held centrally until contractual arrangements are finalised. Additional funding is provided for tourism and events activities from the Premier</w:t>
      </w:r>
      <w:r>
        <w:rPr>
          <w:rFonts w:eastAsiaTheme="minorHAnsi"/>
        </w:rPr>
        <w:t>’</w:t>
      </w:r>
      <w:r w:rsidRPr="00781CAC">
        <w:rPr>
          <w:rFonts w:eastAsiaTheme="minorHAnsi"/>
        </w:rPr>
        <w:t>s Jobs and Investment Fund, reflected as part of the Employment and Investment outputs. Additional funding is also provided from the Regional Jobs and Infrastructure Fund, reflected as part of the Regional Development output.</w:t>
      </w:r>
    </w:p>
    <w:p w:rsidR="00E25CC6" w:rsidRDefault="00E25CC6" w:rsidP="00721A9C">
      <w:pPr>
        <w:pStyle w:val="Notes"/>
        <w:rPr>
          <w:rFonts w:eastAsiaTheme="minorHAnsi"/>
        </w:rPr>
      </w:pPr>
      <w:r w:rsidRPr="00781CAC">
        <w:rPr>
          <w:rFonts w:eastAsiaTheme="minorHAnsi"/>
        </w:rPr>
        <w:t>(g)</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reflects additional funding in the </w:t>
      </w:r>
      <w:r w:rsidRPr="00781CAC">
        <w:rPr>
          <w:rFonts w:eastAsiaTheme="minorHAnsi"/>
          <w:i w:val="0"/>
        </w:rPr>
        <w:t>2016</w:t>
      </w:r>
      <w:r w:rsidRPr="00781CAC">
        <w:rPr>
          <w:rFonts w:eastAsiaTheme="minorHAnsi"/>
          <w:i w:val="0"/>
        </w:rPr>
        <w:noBreakHyphen/>
        <w:t>17 Budget</w:t>
      </w:r>
      <w:r>
        <w:rPr>
          <w:rFonts w:eastAsiaTheme="minorHAnsi"/>
        </w:rPr>
        <w:t xml:space="preserve"> for the</w:t>
      </w:r>
      <w:r w:rsidRPr="00781CAC">
        <w:t xml:space="preserve"> International Victorian Government Business Office Network</w:t>
      </w:r>
      <w:r w:rsidRPr="00781CAC">
        <w:rPr>
          <w:rFonts w:eastAsiaTheme="minorHAnsi"/>
        </w:rPr>
        <w:t>.</w:t>
      </w:r>
    </w:p>
    <w:p w:rsidR="00E25CC6" w:rsidRDefault="00E25CC6" w:rsidP="00721A9C">
      <w:pPr>
        <w:pStyle w:val="Notes"/>
        <w:rPr>
          <w:rFonts w:eastAsiaTheme="minorHAnsi"/>
        </w:rPr>
      </w:pPr>
      <w:r w:rsidRPr="00781CAC">
        <w:rPr>
          <w:rFonts w:eastAsiaTheme="minorHAnsi"/>
        </w:rPr>
        <w:t xml:space="preserve"> (h)</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reflects additional funding in the </w:t>
      </w:r>
      <w:r w:rsidRPr="00781CAC">
        <w:rPr>
          <w:rFonts w:eastAsiaTheme="minorHAnsi"/>
          <w:i w:val="0"/>
        </w:rPr>
        <w:t>2016</w:t>
      </w:r>
      <w:r w:rsidRPr="00781CAC">
        <w:rPr>
          <w:rFonts w:eastAsiaTheme="minorHAnsi"/>
          <w:i w:val="0"/>
        </w:rPr>
        <w:noBreakHyphen/>
        <w:t>17 Budget</w:t>
      </w:r>
      <w:r>
        <w:rPr>
          <w:rFonts w:eastAsiaTheme="minorHAnsi"/>
        </w:rPr>
        <w:t xml:space="preserve"> for a number of E</w:t>
      </w:r>
      <w:r w:rsidRPr="00781CAC">
        <w:rPr>
          <w:rFonts w:eastAsiaTheme="minorHAnsi"/>
        </w:rPr>
        <w:t>nergy initiatives.</w:t>
      </w:r>
    </w:p>
    <w:p w:rsidR="00E25CC6" w:rsidRPr="00781CAC" w:rsidRDefault="00E25CC6" w:rsidP="00721A9C">
      <w:pPr>
        <w:pStyle w:val="Notes"/>
        <w:rPr>
          <w:rFonts w:eastAsiaTheme="minorHAnsi"/>
        </w:rPr>
      </w:pPr>
      <w:r w:rsidRPr="00181177">
        <w:rPr>
          <w:rFonts w:eastAsiaTheme="minorHAnsi"/>
        </w:rPr>
        <w:t>(i)</w:t>
      </w:r>
      <w:r w:rsidRPr="00181177">
        <w:rPr>
          <w:rFonts w:eastAsiaTheme="minorHAnsi"/>
        </w:rPr>
        <w:tab/>
      </w:r>
      <w:r w:rsidRPr="00781CAC">
        <w:rPr>
          <w:rFonts w:eastAsiaTheme="minorHAnsi"/>
        </w:rPr>
        <w:t>Variation between the 2015</w:t>
      </w:r>
      <w:r w:rsidRPr="00781CAC">
        <w:rPr>
          <w:rFonts w:eastAsiaTheme="minorHAnsi"/>
        </w:rPr>
        <w:noBreakHyphen/>
        <w:t>16 budget and the 2016</w:t>
      </w:r>
      <w:r w:rsidRPr="00781CAC">
        <w:rPr>
          <w:rFonts w:eastAsiaTheme="minorHAnsi"/>
        </w:rPr>
        <w:noBreakHyphen/>
        <w:t xml:space="preserve">17 budget primarily reflects additional funding in the </w:t>
      </w:r>
      <w:r w:rsidRPr="00781CAC">
        <w:rPr>
          <w:rFonts w:eastAsiaTheme="minorHAnsi"/>
          <w:i w:val="0"/>
        </w:rPr>
        <w:t>2016</w:t>
      </w:r>
      <w:r w:rsidRPr="00781CAC">
        <w:rPr>
          <w:rFonts w:eastAsiaTheme="minorHAnsi"/>
          <w:i w:val="0"/>
        </w:rPr>
        <w:noBreakHyphen/>
        <w:t>17</w:t>
      </w:r>
      <w:r>
        <w:rPr>
          <w:rFonts w:eastAsiaTheme="minorHAnsi"/>
          <w:i w:val="0"/>
        </w:rPr>
        <w:t> </w:t>
      </w:r>
      <w:r w:rsidRPr="00781CAC">
        <w:rPr>
          <w:rFonts w:eastAsiaTheme="minorHAnsi"/>
          <w:i w:val="0"/>
        </w:rPr>
        <w:t>Budget</w:t>
      </w:r>
      <w:r w:rsidRPr="00781CAC">
        <w:rPr>
          <w:rFonts w:eastAsiaTheme="minorHAnsi"/>
        </w:rPr>
        <w:t xml:space="preserve"> for recreational fishers.</w:t>
      </w:r>
    </w:p>
    <w:p w:rsidR="00E25CC6" w:rsidRPr="00781CAC" w:rsidRDefault="00E25CC6" w:rsidP="00721A9C">
      <w:pPr>
        <w:pStyle w:val="Notes"/>
        <w:rPr>
          <w:rFonts w:eastAsiaTheme="minorHAnsi"/>
        </w:rPr>
      </w:pPr>
      <w:r w:rsidRPr="00781CAC">
        <w:rPr>
          <w:rFonts w:eastAsiaTheme="minorHAnsi"/>
        </w:rPr>
        <w:t>(j)</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primarily reflects indexation on contract payments and a reallocation of costs across outputs. </w:t>
      </w:r>
    </w:p>
    <w:p w:rsidR="00E25CC6" w:rsidRPr="00781CAC" w:rsidRDefault="00E25CC6" w:rsidP="00721A9C">
      <w:pPr>
        <w:pStyle w:val="Notes"/>
        <w:rPr>
          <w:rFonts w:eastAsiaTheme="minorHAnsi"/>
        </w:rPr>
      </w:pPr>
      <w:r w:rsidRPr="00781CAC">
        <w:rPr>
          <w:rFonts w:eastAsiaTheme="minorHAnsi"/>
        </w:rPr>
        <w:t>(k)</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reflects an increase in the capital asset charge as a result of investment in infrastructure projects. </w:t>
      </w:r>
    </w:p>
    <w:p w:rsidR="00E25CC6" w:rsidRPr="00781CAC" w:rsidRDefault="00E25CC6" w:rsidP="00721A9C">
      <w:pPr>
        <w:pStyle w:val="Notes"/>
        <w:rPr>
          <w:rFonts w:eastAsiaTheme="minorHAnsi"/>
        </w:rPr>
      </w:pPr>
      <w:r w:rsidRPr="00781CAC">
        <w:rPr>
          <w:rFonts w:eastAsiaTheme="minorHAnsi"/>
        </w:rPr>
        <w:t>(l)</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17 budget reflects the allocation of funding for Victoria</w:t>
      </w:r>
      <w:r>
        <w:rPr>
          <w:rFonts w:eastAsiaTheme="minorHAnsi"/>
        </w:rPr>
        <w:t>’</w:t>
      </w:r>
      <w:r w:rsidRPr="00781CAC">
        <w:rPr>
          <w:rFonts w:eastAsiaTheme="minorHAnsi"/>
        </w:rPr>
        <w:t xml:space="preserve">s contribution to the National Heavy Vehicle Regulator and new funding for the Gippsland Lakes Ocean Access project. </w:t>
      </w:r>
    </w:p>
    <w:p w:rsidR="00E25CC6" w:rsidRPr="00781CAC" w:rsidRDefault="00E25CC6" w:rsidP="00721A9C">
      <w:pPr>
        <w:pStyle w:val="Notes"/>
        <w:rPr>
          <w:rFonts w:eastAsiaTheme="minorHAnsi"/>
        </w:rPr>
      </w:pPr>
      <w:r w:rsidRPr="00781CAC">
        <w:rPr>
          <w:rFonts w:eastAsiaTheme="minorHAnsi"/>
        </w:rPr>
        <w:t>(m)</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reflects the allocation of new funding from the </w:t>
      </w:r>
      <w:r w:rsidRPr="00781CAC">
        <w:rPr>
          <w:rFonts w:eastAsiaTheme="minorHAnsi"/>
          <w:i w:val="0"/>
        </w:rPr>
        <w:t>2016</w:t>
      </w:r>
      <w:r w:rsidRPr="00781CAC">
        <w:rPr>
          <w:rFonts w:eastAsiaTheme="minorHAnsi"/>
          <w:i w:val="0"/>
        </w:rPr>
        <w:noBreakHyphen/>
        <w:t>17</w:t>
      </w:r>
      <w:r>
        <w:rPr>
          <w:rFonts w:eastAsiaTheme="minorHAnsi"/>
          <w:i w:val="0"/>
        </w:rPr>
        <w:t> </w:t>
      </w:r>
      <w:r w:rsidRPr="00781CAC">
        <w:rPr>
          <w:rFonts w:eastAsiaTheme="minorHAnsi"/>
          <w:i w:val="0"/>
        </w:rPr>
        <w:t xml:space="preserve">Budget </w:t>
      </w:r>
      <w:r w:rsidRPr="00781CAC">
        <w:rPr>
          <w:rFonts w:eastAsiaTheme="minorHAnsi"/>
        </w:rPr>
        <w:t>towards roads maintenance activities.</w:t>
      </w:r>
    </w:p>
    <w:p w:rsidR="00E25CC6" w:rsidRPr="00781CAC" w:rsidRDefault="00E25CC6" w:rsidP="00721A9C">
      <w:pPr>
        <w:pStyle w:val="Notes"/>
        <w:rPr>
          <w:rFonts w:eastAsiaTheme="minorHAnsi"/>
        </w:rPr>
      </w:pPr>
      <w:r w:rsidRPr="00781CAC">
        <w:rPr>
          <w:rFonts w:eastAsiaTheme="minorHAnsi"/>
        </w:rPr>
        <w:t>(n)</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 xml:space="preserve">17 budget primarily reflects new funding included in the </w:t>
      </w:r>
      <w:r w:rsidRPr="00781CAC">
        <w:rPr>
          <w:rFonts w:eastAsiaTheme="minorHAnsi"/>
          <w:i w:val="0"/>
        </w:rPr>
        <w:t>2016</w:t>
      </w:r>
      <w:r w:rsidRPr="00781CAC">
        <w:rPr>
          <w:rFonts w:eastAsiaTheme="minorHAnsi"/>
          <w:i w:val="0"/>
        </w:rPr>
        <w:noBreakHyphen/>
        <w:t>17</w:t>
      </w:r>
      <w:r>
        <w:rPr>
          <w:rFonts w:eastAsiaTheme="minorHAnsi"/>
          <w:i w:val="0"/>
        </w:rPr>
        <w:t> </w:t>
      </w:r>
      <w:r w:rsidRPr="00781CAC">
        <w:rPr>
          <w:rFonts w:eastAsiaTheme="minorHAnsi"/>
          <w:i w:val="0"/>
        </w:rPr>
        <w:t xml:space="preserve">Budget </w:t>
      </w:r>
      <w:r w:rsidRPr="00781CAC">
        <w:rPr>
          <w:rFonts w:eastAsiaTheme="minorHAnsi"/>
        </w:rPr>
        <w:t>for various initiatives and an increase in the capital asset charge as a result of investment in infrastructure projects.</w:t>
      </w:r>
    </w:p>
    <w:p w:rsidR="00E25CC6" w:rsidRDefault="00E25CC6" w:rsidP="00721A9C">
      <w:pPr>
        <w:pStyle w:val="Notes"/>
        <w:rPr>
          <w:rFonts w:eastAsiaTheme="minorHAnsi"/>
        </w:rPr>
      </w:pPr>
      <w:r w:rsidRPr="00781CAC">
        <w:rPr>
          <w:rFonts w:eastAsiaTheme="minorHAnsi"/>
        </w:rPr>
        <w:t>(o)</w:t>
      </w:r>
      <w:r w:rsidRPr="00781CAC">
        <w:rPr>
          <w:rFonts w:eastAsiaTheme="minorHAnsi"/>
        </w:rPr>
        <w:tab/>
        <w:t>Variation between the 2015</w:t>
      </w:r>
      <w:r w:rsidRPr="00781CAC">
        <w:rPr>
          <w:rFonts w:eastAsiaTheme="minorHAnsi"/>
        </w:rPr>
        <w:noBreakHyphen/>
        <w:t>16 budget and the 2016</w:t>
      </w:r>
      <w:r w:rsidRPr="00781CAC">
        <w:rPr>
          <w:rFonts w:eastAsiaTheme="minorHAnsi"/>
        </w:rPr>
        <w:noBreakHyphen/>
        <w:t>17 budget is primarily reflects Safer Road Infrastructure Program operating projects.</w:t>
      </w:r>
    </w:p>
    <w:p w:rsidR="00E25CC6" w:rsidRPr="00781CAC" w:rsidRDefault="00E25CC6" w:rsidP="00721A9C">
      <w:pPr>
        <w:pStyle w:val="Notes"/>
        <w:rPr>
          <w:rFonts w:eastAsiaTheme="minorHAnsi"/>
        </w:rPr>
      </w:pPr>
    </w:p>
    <w:p w:rsidR="00E25CC6" w:rsidRPr="00781CAC" w:rsidRDefault="00E25CC6" w:rsidP="00721A9C">
      <w:pPr>
        <w:pStyle w:val="Heading2"/>
        <w:rPr>
          <w:rFonts w:eastAsiaTheme="minorHAnsi"/>
        </w:rPr>
      </w:pPr>
      <w:r w:rsidRPr="00781CAC">
        <w:rPr>
          <w:rFonts w:eastAsiaTheme="minorHAnsi"/>
        </w:rPr>
        <w:t>Amounts available</w:t>
      </w:r>
    </w:p>
    <w:p w:rsidR="00E25CC6" w:rsidRDefault="00E25CC6" w:rsidP="00A15F39">
      <w:pPr>
        <w:rPr>
          <w:rFonts w:eastAsiaTheme="minorHAnsi"/>
        </w:rPr>
      </w:pPr>
      <w:r>
        <w:rPr>
          <w:rFonts w:eastAsiaTheme="minorHAnsi"/>
        </w:rPr>
        <w:t>The following tables detail the amounts available to the Department from Parliamentary authority and income generated through transactions.</w:t>
      </w:r>
    </w:p>
    <w:p w:rsidR="00E25CC6" w:rsidRDefault="00E25CC6" w:rsidP="00A15F39">
      <w:pPr>
        <w:rPr>
          <w:rFonts w:eastAsiaTheme="minorHAnsi"/>
        </w:rPr>
      </w:pPr>
      <w:r>
        <w:rPr>
          <w:rFonts w:eastAsiaTheme="minorHAnsi"/>
        </w:rPr>
        <w:t>Table 2.3 outlines the Department’s income from transactions and 2.4 summarises the sources of Parliamentary authority available to the Department to fund the provision of outputs, additions to the net asset base and payments made on behalf of the State.</w:t>
      </w:r>
    </w:p>
    <w:p w:rsidR="00E25CC6" w:rsidRDefault="00E25CC6" w:rsidP="00C40419">
      <w:pPr>
        <w:pStyle w:val="Tableheading"/>
        <w:rPr>
          <w:rFonts w:eastAsiaTheme="minorHAnsi"/>
        </w:rPr>
      </w:pPr>
      <w:r>
        <w:rPr>
          <w:rFonts w:eastAsiaTheme="minorHAnsi"/>
        </w:rPr>
        <w:t>Table 2.3:</w:t>
      </w:r>
      <w:r>
        <w:rPr>
          <w:rFonts w:eastAsiaTheme="minorHAnsi"/>
        </w:rPr>
        <w:tab/>
        <w:t>Income from transactions</w:t>
      </w:r>
    </w:p>
    <w:p w:rsidR="00E25CC6" w:rsidRPr="00B60408" w:rsidRDefault="00E25CC6" w:rsidP="00B60408">
      <w:pPr>
        <w:pStyle w:val="million"/>
        <w:rPr>
          <w:rFonts w:ascii="Garamond" w:eastAsiaTheme="minorHAnsi" w:hAnsi="Garamond"/>
          <w:b/>
          <w:bCs/>
          <w:sz w:val="22"/>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B60408" w:rsidTr="00B60408">
        <w:tc>
          <w:tcPr>
            <w:tcW w:w="4365" w:type="dxa"/>
            <w:tcBorders>
              <w:top w:val="nil"/>
              <w:left w:val="nil"/>
              <w:bottom w:val="nil"/>
              <w:right w:val="nil"/>
            </w:tcBorders>
            <w:shd w:val="solid" w:color="000000" w:fill="auto"/>
          </w:tcPr>
          <w:p w:rsidR="00E25CC6" w:rsidRPr="00B60408" w:rsidRDefault="00E25CC6" w:rsidP="00B60408">
            <w:pPr>
              <w:autoSpaceDE w:val="0"/>
              <w:autoSpaceDN w:val="0"/>
              <w:adjustRightInd w:val="0"/>
              <w:spacing w:after="0"/>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2016-17</w:t>
            </w:r>
          </w:p>
        </w:tc>
      </w:tr>
      <w:tr w:rsidR="00E25CC6" w:rsidRPr="00B60408" w:rsidTr="00B60408">
        <w:tc>
          <w:tcPr>
            <w:tcW w:w="4365" w:type="dxa"/>
            <w:tcBorders>
              <w:top w:val="nil"/>
              <w:left w:val="nil"/>
              <w:right w:val="nil"/>
            </w:tcBorders>
            <w:shd w:val="solid" w:color="000000" w:fill="auto"/>
          </w:tcPr>
          <w:p w:rsidR="00E25CC6" w:rsidRPr="00B60408" w:rsidRDefault="00E25CC6" w:rsidP="00B60408">
            <w:pPr>
              <w:autoSpaceDE w:val="0"/>
              <w:autoSpaceDN w:val="0"/>
              <w:adjustRightInd w:val="0"/>
              <w:spacing w:after="0"/>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vertAlign w:val="superscript"/>
                <w:lang w:eastAsia="en-AU"/>
              </w:rPr>
            </w:pPr>
            <w:r w:rsidRPr="00B60408">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color w:val="FFFFFF"/>
                <w:sz w:val="19"/>
                <w:szCs w:val="19"/>
                <w:lang w:eastAsia="en-AU"/>
              </w:rPr>
            </w:pPr>
            <w:r w:rsidRPr="00B60408">
              <w:rPr>
                <w:rFonts w:ascii="Calibri" w:eastAsiaTheme="minorEastAsia" w:hAnsi="Calibri" w:cs="Calibri"/>
                <w:i/>
                <w:iCs/>
                <w:color w:val="FFFFFF"/>
                <w:sz w:val="19"/>
                <w:szCs w:val="19"/>
                <w:lang w:eastAsia="en-AU"/>
              </w:rPr>
              <w:t>budget</w:t>
            </w:r>
          </w:p>
        </w:tc>
      </w:tr>
      <w:tr w:rsidR="00E25CC6" w:rsidRPr="00B60408" w:rsidTr="00B60408">
        <w:tc>
          <w:tcPr>
            <w:tcW w:w="4365" w:type="dxa"/>
            <w:tcBorders>
              <w:top w:val="nil"/>
              <w:left w:val="nil"/>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3 736.7</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7 177.2</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7 215.7</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7 758.5</w:t>
            </w:r>
          </w:p>
        </w:tc>
      </w:tr>
      <w:tr w:rsidR="00E25CC6" w:rsidRPr="00B60408" w:rsidTr="00B60408">
        <w:tc>
          <w:tcPr>
            <w:tcW w:w="4365" w:type="dxa"/>
            <w:tcBorders>
              <w:top w:val="nil"/>
              <w:left w:val="nil"/>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0.9</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5.1</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2.0</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5.8</w:t>
            </w:r>
          </w:p>
        </w:tc>
      </w:tr>
      <w:tr w:rsidR="00E25CC6" w:rsidRPr="00B60408" w:rsidTr="00B60408">
        <w:tc>
          <w:tcPr>
            <w:tcW w:w="4365" w:type="dxa"/>
            <w:tcBorders>
              <w:top w:val="nil"/>
              <w:left w:val="nil"/>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Interest</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13.6</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14.6</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17.2</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17.4</w:t>
            </w:r>
          </w:p>
        </w:tc>
      </w:tr>
      <w:tr w:rsidR="00E25CC6" w:rsidRPr="00B60408" w:rsidTr="00B60408">
        <w:tc>
          <w:tcPr>
            <w:tcW w:w="4365" w:type="dxa"/>
            <w:tcBorders>
              <w:top w:val="nil"/>
              <w:left w:val="nil"/>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399.8</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510.5</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488.7</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481.5</w:t>
            </w:r>
          </w:p>
        </w:tc>
      </w:tr>
      <w:tr w:rsidR="00E25CC6" w:rsidRPr="00B60408" w:rsidTr="00B60408">
        <w:tc>
          <w:tcPr>
            <w:tcW w:w="4365" w:type="dxa"/>
            <w:tcBorders>
              <w:top w:val="nil"/>
              <w:left w:val="nil"/>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Grants</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249.5</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319.0</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407.1</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1 186.6</w:t>
            </w:r>
          </w:p>
        </w:tc>
      </w:tr>
      <w:tr w:rsidR="00E25CC6" w:rsidRPr="00B60408" w:rsidTr="00B60408">
        <w:tc>
          <w:tcPr>
            <w:tcW w:w="4365" w:type="dxa"/>
            <w:tcBorders>
              <w:top w:val="nil"/>
              <w:left w:val="nil"/>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Fair value of assets and services received free of charge or for nominal consideration</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71.5</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56.5</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93.5</w:t>
            </w:r>
          </w:p>
        </w:tc>
        <w:tc>
          <w:tcPr>
            <w:tcW w:w="850" w:type="dxa"/>
            <w:tcBorders>
              <w:top w:val="nil"/>
              <w:left w:val="nil"/>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54.6</w:t>
            </w:r>
          </w:p>
        </w:tc>
      </w:tr>
      <w:tr w:rsidR="00E25CC6" w:rsidRPr="00B60408" w:rsidTr="00B60408">
        <w:tc>
          <w:tcPr>
            <w:tcW w:w="4365" w:type="dxa"/>
            <w:tcBorders>
              <w:top w:val="nil"/>
              <w:left w:val="nil"/>
              <w:bottom w:val="single" w:sz="6" w:space="0" w:color="auto"/>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Other income</w:t>
            </w:r>
          </w:p>
        </w:tc>
        <w:tc>
          <w:tcPr>
            <w:tcW w:w="850" w:type="dxa"/>
            <w:tcBorders>
              <w:top w:val="nil"/>
              <w:left w:val="nil"/>
              <w:bottom w:val="single" w:sz="6"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201.9</w:t>
            </w:r>
          </w:p>
        </w:tc>
        <w:tc>
          <w:tcPr>
            <w:tcW w:w="850" w:type="dxa"/>
            <w:tcBorders>
              <w:top w:val="nil"/>
              <w:left w:val="nil"/>
              <w:bottom w:val="single" w:sz="6"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153.4</w:t>
            </w:r>
          </w:p>
        </w:tc>
        <w:tc>
          <w:tcPr>
            <w:tcW w:w="850" w:type="dxa"/>
            <w:tcBorders>
              <w:top w:val="nil"/>
              <w:left w:val="nil"/>
              <w:bottom w:val="single" w:sz="6"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161.2</w:t>
            </w:r>
          </w:p>
        </w:tc>
        <w:tc>
          <w:tcPr>
            <w:tcW w:w="850" w:type="dxa"/>
            <w:tcBorders>
              <w:top w:val="nil"/>
              <w:left w:val="nil"/>
              <w:bottom w:val="single" w:sz="6"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color w:val="000000"/>
                <w:sz w:val="19"/>
                <w:szCs w:val="19"/>
                <w:lang w:eastAsia="en-AU"/>
              </w:rPr>
            </w:pPr>
            <w:r w:rsidRPr="00B60408">
              <w:rPr>
                <w:rFonts w:ascii="Calibri" w:eastAsiaTheme="minorEastAsia" w:hAnsi="Calibri" w:cs="Calibri"/>
                <w:color w:val="000000"/>
                <w:sz w:val="19"/>
                <w:szCs w:val="19"/>
                <w:lang w:eastAsia="en-AU"/>
              </w:rPr>
              <w:t xml:space="preserve"> 159.2</w:t>
            </w:r>
          </w:p>
        </w:tc>
      </w:tr>
      <w:tr w:rsidR="00E25CC6" w:rsidRPr="00B60408" w:rsidTr="00B60408">
        <w:tc>
          <w:tcPr>
            <w:tcW w:w="4365" w:type="dxa"/>
            <w:tcBorders>
              <w:top w:val="single" w:sz="6" w:space="0" w:color="auto"/>
              <w:left w:val="nil"/>
              <w:bottom w:val="single" w:sz="12" w:space="0" w:color="auto"/>
              <w:right w:val="nil"/>
            </w:tcBorders>
            <w:shd w:val="clear" w:color="auto"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B60408">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b/>
                <w:bCs/>
                <w:color w:val="000000"/>
                <w:sz w:val="19"/>
                <w:szCs w:val="19"/>
                <w:lang w:eastAsia="en-AU"/>
              </w:rPr>
            </w:pPr>
            <w:r w:rsidRPr="00B60408">
              <w:rPr>
                <w:rFonts w:ascii="Calibri" w:eastAsiaTheme="minorEastAsia" w:hAnsi="Calibri" w:cs="Calibri"/>
                <w:b/>
                <w:bCs/>
                <w:color w:val="000000"/>
                <w:sz w:val="19"/>
                <w:szCs w:val="19"/>
                <w:lang w:eastAsia="en-AU"/>
              </w:rPr>
              <w:t>4 673.9</w:t>
            </w:r>
          </w:p>
        </w:tc>
        <w:tc>
          <w:tcPr>
            <w:tcW w:w="850" w:type="dxa"/>
            <w:tcBorders>
              <w:top w:val="single" w:sz="6" w:space="0" w:color="auto"/>
              <w:left w:val="nil"/>
              <w:bottom w:val="single" w:sz="12"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b/>
                <w:bCs/>
                <w:color w:val="000000"/>
                <w:sz w:val="19"/>
                <w:szCs w:val="19"/>
                <w:lang w:eastAsia="en-AU"/>
              </w:rPr>
            </w:pPr>
            <w:r w:rsidRPr="00B60408">
              <w:rPr>
                <w:rFonts w:ascii="Calibri" w:eastAsiaTheme="minorEastAsia" w:hAnsi="Calibri" w:cs="Calibri"/>
                <w:b/>
                <w:bCs/>
                <w:color w:val="000000"/>
                <w:sz w:val="19"/>
                <w:szCs w:val="19"/>
                <w:lang w:eastAsia="en-AU"/>
              </w:rPr>
              <w:t>8 236.3</w:t>
            </w:r>
          </w:p>
        </w:tc>
        <w:tc>
          <w:tcPr>
            <w:tcW w:w="850" w:type="dxa"/>
            <w:tcBorders>
              <w:top w:val="single" w:sz="6" w:space="0" w:color="auto"/>
              <w:left w:val="nil"/>
              <w:bottom w:val="single" w:sz="12"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b/>
                <w:bCs/>
                <w:color w:val="000000"/>
                <w:sz w:val="19"/>
                <w:szCs w:val="19"/>
                <w:lang w:eastAsia="en-AU"/>
              </w:rPr>
            </w:pPr>
            <w:r w:rsidRPr="00B60408">
              <w:rPr>
                <w:rFonts w:ascii="Calibri" w:eastAsiaTheme="minorEastAsia" w:hAnsi="Calibri" w:cs="Calibri"/>
                <w:b/>
                <w:bCs/>
                <w:color w:val="000000"/>
                <w:sz w:val="19"/>
                <w:szCs w:val="19"/>
                <w:lang w:eastAsia="en-AU"/>
              </w:rPr>
              <w:t>8 385.3</w:t>
            </w:r>
          </w:p>
        </w:tc>
        <w:tc>
          <w:tcPr>
            <w:tcW w:w="850" w:type="dxa"/>
            <w:tcBorders>
              <w:top w:val="single" w:sz="6" w:space="0" w:color="auto"/>
              <w:left w:val="nil"/>
              <w:bottom w:val="single" w:sz="12" w:space="0" w:color="auto"/>
              <w:right w:val="nil"/>
            </w:tcBorders>
            <w:shd w:val="clear" w:color="auto" w:fill="FFFFFF"/>
          </w:tcPr>
          <w:p w:rsidR="00E25CC6" w:rsidRPr="00B60408" w:rsidRDefault="00E25CC6" w:rsidP="00B60408">
            <w:pPr>
              <w:autoSpaceDE w:val="0"/>
              <w:autoSpaceDN w:val="0"/>
              <w:adjustRightInd w:val="0"/>
              <w:spacing w:after="0"/>
              <w:jc w:val="right"/>
              <w:rPr>
                <w:rFonts w:ascii="Calibri" w:eastAsiaTheme="minorEastAsia" w:hAnsi="Calibri" w:cs="Calibri"/>
                <w:b/>
                <w:bCs/>
                <w:color w:val="000000"/>
                <w:sz w:val="19"/>
                <w:szCs w:val="19"/>
                <w:lang w:eastAsia="en-AU"/>
              </w:rPr>
            </w:pPr>
            <w:r w:rsidRPr="00B60408">
              <w:rPr>
                <w:rFonts w:ascii="Calibri" w:eastAsiaTheme="minorEastAsia" w:hAnsi="Calibri" w:cs="Calibri"/>
                <w:b/>
                <w:bCs/>
                <w:color w:val="000000"/>
                <w:sz w:val="19"/>
                <w:szCs w:val="19"/>
                <w:lang w:eastAsia="en-AU"/>
              </w:rPr>
              <w:t>9 663.6</w:t>
            </w:r>
          </w:p>
        </w:tc>
      </w:tr>
    </w:tbl>
    <w:p w:rsidR="00E25CC6" w:rsidRPr="004D69AD" w:rsidRDefault="00E25CC6" w:rsidP="00804F7C">
      <w:pPr>
        <w:pStyle w:val="Source"/>
        <w:rPr>
          <w:rFonts w:eastAsiaTheme="minorHAnsi"/>
          <w:i w:val="0"/>
        </w:rPr>
      </w:pPr>
      <w:r>
        <w:rPr>
          <w:rFonts w:eastAsiaTheme="minorHAnsi"/>
        </w:rPr>
        <w:t xml:space="preserve">Source: Department of Economic Development, Jobs, Transport and Resources </w:t>
      </w:r>
      <w:r>
        <w:rPr>
          <w:rFonts w:eastAsiaTheme="minorHAnsi"/>
        </w:rPr>
        <w:fldChar w:fldCharType="begin"/>
      </w:r>
      <w:r>
        <w:instrText xml:space="preserve"> XE "</w:instrText>
      </w:r>
      <w:r w:rsidRPr="00112BC0">
        <w:instrText>Department of Economic Development, Jobs, Transport and Resources:</w:instrText>
      </w:r>
      <w:r>
        <w:instrText xml:space="preserve">Income from transactions" </w:instrText>
      </w:r>
      <w:r>
        <w:rPr>
          <w:rFonts w:eastAsiaTheme="minorHAnsi"/>
        </w:rPr>
        <w:fldChar w:fldCharType="end"/>
      </w:r>
    </w:p>
    <w:p w:rsidR="00E25CC6" w:rsidRDefault="00E25CC6" w:rsidP="00BE4840">
      <w:pPr>
        <w:pStyle w:val="Notes"/>
        <w:rPr>
          <w:rFonts w:eastAsiaTheme="minorHAnsi"/>
        </w:rPr>
      </w:pPr>
    </w:p>
    <w:p w:rsidR="00E25CC6" w:rsidRDefault="00E25CC6">
      <w:pPr>
        <w:spacing w:after="0"/>
        <w:rPr>
          <w:rFonts w:ascii="Calibri" w:eastAsiaTheme="minorHAnsi" w:hAnsi="Calibri"/>
          <w:b/>
        </w:rPr>
      </w:pPr>
      <w:r>
        <w:rPr>
          <w:rFonts w:eastAsiaTheme="minorHAnsi"/>
        </w:rPr>
        <w:br w:type="page"/>
      </w:r>
    </w:p>
    <w:p w:rsidR="00E25CC6" w:rsidRDefault="00E25CC6" w:rsidP="00C40419">
      <w:pPr>
        <w:pStyle w:val="Tableheading"/>
        <w:rPr>
          <w:rFonts w:eastAsiaTheme="minorHAnsi"/>
        </w:rPr>
      </w:pPr>
      <w:r>
        <w:rPr>
          <w:rFonts w:eastAsiaTheme="minorHAnsi"/>
        </w:rPr>
        <w:t>Table 2.4:</w:t>
      </w:r>
      <w:r>
        <w:rPr>
          <w:rFonts w:eastAsiaTheme="minorHAnsi"/>
        </w:rPr>
        <w:tab/>
        <w:t>Parliamentary authority for resources</w:t>
      </w:r>
    </w:p>
    <w:p w:rsidR="00E25CC6" w:rsidRPr="00B60408" w:rsidRDefault="00E25CC6" w:rsidP="00B60408">
      <w:pPr>
        <w:pStyle w:val="million"/>
        <w:rPr>
          <w:rFonts w:ascii="Garamond" w:eastAsiaTheme="minorHAnsi" w:hAnsi="Garamond"/>
          <w:sz w:val="22"/>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B60408" w:rsidTr="00B60408">
        <w:tc>
          <w:tcPr>
            <w:tcW w:w="5216" w:type="dxa"/>
            <w:tcBorders>
              <w:left w:val="nil"/>
              <w:bottom w:val="nil"/>
              <w:right w:val="nil"/>
            </w:tcBorders>
            <w:shd w:val="solid" w:color="000000" w:fill="auto"/>
          </w:tcPr>
          <w:p w:rsidR="00E25CC6" w:rsidRPr="00B60408" w:rsidRDefault="00E25CC6" w:rsidP="00B60408">
            <w:pPr>
              <w:autoSpaceDE w:val="0"/>
              <w:autoSpaceDN w:val="0"/>
              <w:adjustRightInd w:val="0"/>
              <w:spacing w:after="0"/>
              <w:rPr>
                <w:rFonts w:ascii="Calibri" w:eastAsiaTheme="minorEastAsia" w:hAnsi="Calibri" w:cs="Calibri"/>
                <w:sz w:val="19"/>
                <w:lang w:eastAsia="en-AU"/>
              </w:rPr>
            </w:pPr>
            <w:r w:rsidRPr="00B60408">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sz w:val="19"/>
                <w:lang w:eastAsia="en-AU"/>
              </w:rPr>
            </w:pPr>
            <w:r w:rsidRPr="00B60408">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sz w:val="19"/>
                <w:lang w:eastAsia="en-AU"/>
              </w:rPr>
            </w:pPr>
            <w:r w:rsidRPr="00B60408">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sz w:val="19"/>
                <w:lang w:eastAsia="en-AU"/>
              </w:rPr>
            </w:pPr>
            <w:r w:rsidRPr="00B60408">
              <w:rPr>
                <w:rFonts w:ascii="Calibri" w:eastAsiaTheme="minorEastAsia" w:hAnsi="Calibri" w:cs="Calibri"/>
                <w:i/>
                <w:iCs/>
                <w:sz w:val="19"/>
                <w:lang w:eastAsia="en-AU"/>
              </w:rPr>
              <w:t>2016-17</w:t>
            </w:r>
          </w:p>
        </w:tc>
      </w:tr>
      <w:tr w:rsidR="00E25CC6" w:rsidRPr="00B60408" w:rsidTr="00B60408">
        <w:tc>
          <w:tcPr>
            <w:tcW w:w="5216" w:type="dxa"/>
            <w:tcBorders>
              <w:top w:val="nil"/>
              <w:left w:val="nil"/>
              <w:bottom w:val="single" w:sz="6" w:space="0" w:color="auto"/>
              <w:right w:val="nil"/>
            </w:tcBorders>
            <w:shd w:val="solid" w:color="000000" w:fill="auto"/>
          </w:tcPr>
          <w:p w:rsidR="00E25CC6" w:rsidRPr="00B60408" w:rsidRDefault="00E25CC6" w:rsidP="00B60408">
            <w:pPr>
              <w:autoSpaceDE w:val="0"/>
              <w:autoSpaceDN w:val="0"/>
              <w:adjustRightInd w:val="0"/>
              <w:spacing w:after="0"/>
              <w:rPr>
                <w:rFonts w:ascii="Calibri" w:eastAsiaTheme="minorEastAsia" w:hAnsi="Calibri" w:cs="Calibri"/>
                <w:sz w:val="19"/>
                <w:lang w:eastAsia="en-AU"/>
              </w:rPr>
            </w:pPr>
            <w:r w:rsidRPr="00B60408">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sz w:val="19"/>
                <w:vertAlign w:val="superscript"/>
                <w:lang w:eastAsia="en-AU"/>
              </w:rPr>
            </w:pPr>
            <w:r w:rsidRPr="00B60408">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sz w:val="19"/>
                <w:vertAlign w:val="superscript"/>
                <w:lang w:eastAsia="en-AU"/>
              </w:rPr>
            </w:pPr>
            <w:r w:rsidRPr="00B60408">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B60408" w:rsidRDefault="00E25CC6" w:rsidP="00B60408">
            <w:pPr>
              <w:autoSpaceDE w:val="0"/>
              <w:autoSpaceDN w:val="0"/>
              <w:adjustRightInd w:val="0"/>
              <w:spacing w:after="0"/>
              <w:jc w:val="right"/>
              <w:rPr>
                <w:rFonts w:ascii="Calibri" w:eastAsiaTheme="minorEastAsia" w:hAnsi="Calibri" w:cs="Calibri"/>
                <w:i/>
                <w:iCs/>
                <w:sz w:val="19"/>
                <w:vertAlign w:val="superscript"/>
                <w:lang w:eastAsia="en-AU"/>
              </w:rPr>
            </w:pPr>
            <w:r w:rsidRPr="00B60408">
              <w:rPr>
                <w:rFonts w:ascii="Calibri" w:eastAsiaTheme="minorEastAsia" w:hAnsi="Calibri" w:cs="Calibri"/>
                <w:i/>
                <w:iCs/>
                <w:sz w:val="19"/>
                <w:lang w:eastAsia="en-AU"/>
              </w:rPr>
              <w:t>budget</w:t>
            </w:r>
          </w:p>
        </w:tc>
      </w:tr>
      <w:tr w:rsidR="00E25CC6" w:rsidRPr="00B60408" w:rsidTr="00B60408">
        <w:tc>
          <w:tcPr>
            <w:tcW w:w="5216"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b/>
                <w:bCs/>
                <w:sz w:val="19"/>
                <w:lang w:eastAsia="en-AU"/>
              </w:rPr>
            </w:pPr>
            <w:r w:rsidRPr="00B60408">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8 479.9</w:t>
            </w:r>
          </w:p>
        </w:tc>
        <w:tc>
          <w:tcPr>
            <w:tcW w:w="850"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8 970.1</w:t>
            </w:r>
          </w:p>
        </w:tc>
        <w:tc>
          <w:tcPr>
            <w:tcW w:w="850"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9 267.8</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6 604.7</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6 716.8</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7 213.4</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1 808.4</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2 188.6</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1 983.4</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66.8</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64.8</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71.1</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564.4</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477.3</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585.1</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b/>
                <w:bCs/>
                <w:sz w:val="19"/>
                <w:lang w:eastAsia="en-AU"/>
              </w:rPr>
            </w:pPr>
            <w:r w:rsidRPr="00B60408">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26.2</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221.1</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15.5</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134.1</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10.6</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84.2</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2.7</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w:t>
            </w:r>
          </w:p>
        </w:tc>
      </w:tr>
      <w:tr w:rsidR="00E25CC6" w:rsidRPr="00B60408" w:rsidTr="00B60408">
        <w:tc>
          <w:tcPr>
            <w:tcW w:w="5216"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0.5</w:t>
            </w:r>
          </w:p>
        </w:tc>
        <w:tc>
          <w:tcPr>
            <w:tcW w:w="850"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0.9</w:t>
            </w:r>
          </w:p>
        </w:tc>
        <w:tc>
          <w:tcPr>
            <w:tcW w:w="850"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19"/>
                <w:lang w:eastAsia="en-AU"/>
              </w:rPr>
            </w:pPr>
            <w:r w:rsidRPr="00B60408">
              <w:rPr>
                <w:rFonts w:ascii="Calibri" w:eastAsiaTheme="minorEastAsia" w:hAnsi="Calibri" w:cs="Calibri"/>
                <w:sz w:val="19"/>
                <w:lang w:eastAsia="en-AU"/>
              </w:rPr>
              <w:t>..</w:t>
            </w:r>
          </w:p>
        </w:tc>
      </w:tr>
      <w:tr w:rsidR="00E25CC6" w:rsidRPr="00B60408" w:rsidTr="00B60408">
        <w:tc>
          <w:tcPr>
            <w:tcW w:w="5216"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b/>
                <w:bCs/>
                <w:sz w:val="19"/>
                <w:lang w:eastAsia="en-AU"/>
              </w:rPr>
            </w:pPr>
            <w:r w:rsidRPr="00B60408">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9 070.9</w:t>
            </w:r>
          </w:p>
        </w:tc>
        <w:tc>
          <w:tcPr>
            <w:tcW w:w="850"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9 669.4</w:t>
            </w:r>
          </w:p>
        </w:tc>
        <w:tc>
          <w:tcPr>
            <w:tcW w:w="850" w:type="dxa"/>
            <w:tcBorders>
              <w:top w:val="single" w:sz="6" w:space="0" w:color="auto"/>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9 852.9</w:t>
            </w:r>
          </w:p>
        </w:tc>
      </w:tr>
      <w:tr w:rsidR="00E25CC6" w:rsidRPr="00B60408" w:rsidTr="00B60408">
        <w:tc>
          <w:tcPr>
            <w:tcW w:w="5216" w:type="dxa"/>
            <w:tcBorders>
              <w:top w:val="nil"/>
              <w:left w:val="nil"/>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5.1</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5.8</w:t>
            </w:r>
          </w:p>
        </w:tc>
        <w:tc>
          <w:tcPr>
            <w:tcW w:w="850" w:type="dxa"/>
            <w:tcBorders>
              <w:top w:val="nil"/>
              <w:left w:val="nil"/>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5.8</w:t>
            </w:r>
          </w:p>
        </w:tc>
      </w:tr>
      <w:tr w:rsidR="00E25CC6" w:rsidRPr="00B60408" w:rsidTr="00B60408">
        <w:tc>
          <w:tcPr>
            <w:tcW w:w="5216"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sz w:val="19"/>
                <w:lang w:eastAsia="en-AU"/>
              </w:rPr>
            </w:pPr>
            <w:r w:rsidRPr="00B60408">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74.2</w:t>
            </w:r>
          </w:p>
        </w:tc>
        <w:tc>
          <w:tcPr>
            <w:tcW w:w="850"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181.1</w:t>
            </w:r>
          </w:p>
        </w:tc>
        <w:tc>
          <w:tcPr>
            <w:tcW w:w="850" w:type="dxa"/>
            <w:tcBorders>
              <w:top w:val="nil"/>
              <w:left w:val="nil"/>
              <w:bottom w:val="single" w:sz="6"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sz w:val="20"/>
                <w:lang w:eastAsia="en-AU"/>
              </w:rPr>
            </w:pPr>
            <w:r w:rsidRPr="00B60408">
              <w:rPr>
                <w:rFonts w:ascii="Calibri" w:eastAsiaTheme="minorEastAsia" w:hAnsi="Calibri" w:cs="Calibri"/>
                <w:sz w:val="19"/>
                <w:lang w:eastAsia="en-AU"/>
              </w:rPr>
              <w:t xml:space="preserve"> 789.4</w:t>
            </w:r>
          </w:p>
        </w:tc>
      </w:tr>
      <w:tr w:rsidR="00E25CC6" w:rsidRPr="00B60408" w:rsidTr="00B60408">
        <w:tc>
          <w:tcPr>
            <w:tcW w:w="5216" w:type="dxa"/>
            <w:tcBorders>
              <w:top w:val="single" w:sz="6" w:space="0" w:color="auto"/>
              <w:left w:val="nil"/>
              <w:bottom w:val="single" w:sz="12" w:space="0" w:color="auto"/>
              <w:right w:val="nil"/>
            </w:tcBorders>
            <w:shd w:val="solid" w:color="FFFFFF" w:fill="FFFFFF"/>
          </w:tcPr>
          <w:p w:rsidR="00E25CC6" w:rsidRPr="00B60408" w:rsidRDefault="00E25CC6" w:rsidP="00B60408">
            <w:pPr>
              <w:autoSpaceDE w:val="0"/>
              <w:autoSpaceDN w:val="0"/>
              <w:adjustRightInd w:val="0"/>
              <w:spacing w:after="0"/>
              <w:ind w:left="227" w:hanging="227"/>
              <w:rPr>
                <w:rFonts w:ascii="Calibri" w:eastAsiaTheme="minorEastAsia" w:hAnsi="Calibri" w:cs="Calibri"/>
                <w:b/>
                <w:bCs/>
                <w:sz w:val="19"/>
                <w:lang w:eastAsia="en-AU"/>
              </w:rPr>
            </w:pPr>
            <w:r w:rsidRPr="00B60408">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9 150.3</w:t>
            </w:r>
          </w:p>
        </w:tc>
        <w:tc>
          <w:tcPr>
            <w:tcW w:w="850" w:type="dxa"/>
            <w:tcBorders>
              <w:top w:val="single" w:sz="6" w:space="0" w:color="auto"/>
              <w:left w:val="nil"/>
              <w:bottom w:val="single" w:sz="12"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9 856.3</w:t>
            </w:r>
          </w:p>
        </w:tc>
        <w:tc>
          <w:tcPr>
            <w:tcW w:w="850" w:type="dxa"/>
            <w:tcBorders>
              <w:top w:val="single" w:sz="6" w:space="0" w:color="auto"/>
              <w:left w:val="nil"/>
              <w:bottom w:val="single" w:sz="12" w:space="0" w:color="auto"/>
              <w:right w:val="nil"/>
            </w:tcBorders>
            <w:shd w:val="solid" w:color="FFFFFF" w:fill="FFFFFF"/>
          </w:tcPr>
          <w:p w:rsidR="00E25CC6" w:rsidRPr="00B60408" w:rsidRDefault="00E25CC6" w:rsidP="00B60408">
            <w:pPr>
              <w:autoSpaceDE w:val="0"/>
              <w:autoSpaceDN w:val="0"/>
              <w:adjustRightInd w:val="0"/>
              <w:spacing w:after="0"/>
              <w:jc w:val="right"/>
              <w:rPr>
                <w:rFonts w:ascii="Calibri" w:eastAsiaTheme="minorEastAsia" w:hAnsi="Calibri" w:cs="Calibri"/>
                <w:b/>
                <w:bCs/>
                <w:sz w:val="19"/>
                <w:lang w:eastAsia="en-AU"/>
              </w:rPr>
            </w:pPr>
            <w:r w:rsidRPr="00B60408">
              <w:rPr>
                <w:rFonts w:ascii="Calibri" w:eastAsiaTheme="minorEastAsia" w:hAnsi="Calibri" w:cs="Calibri"/>
                <w:b/>
                <w:bCs/>
                <w:sz w:val="19"/>
                <w:lang w:eastAsia="en-AU"/>
              </w:rPr>
              <w:t>10 648.1</w:t>
            </w:r>
          </w:p>
        </w:tc>
      </w:tr>
    </w:tbl>
    <w:p w:rsidR="00E25CC6" w:rsidRPr="004D69AD" w:rsidRDefault="00E25CC6" w:rsidP="00A15F39">
      <w:pPr>
        <w:pStyle w:val="Source"/>
        <w:rPr>
          <w:rFonts w:eastAsiaTheme="minorHAnsi"/>
          <w:i w:val="0"/>
        </w:rPr>
      </w:pPr>
      <w:r>
        <w:rPr>
          <w:rFonts w:eastAsiaTheme="minorHAnsi"/>
        </w:rPr>
        <w:t xml:space="preserve">Source: Department of Economic Development, Jobs, Transport and Resources </w:t>
      </w:r>
      <w:r>
        <w:rPr>
          <w:rFonts w:eastAsiaTheme="minorHAnsi"/>
        </w:rPr>
        <w:fldChar w:fldCharType="begin"/>
      </w:r>
      <w:r>
        <w:instrText xml:space="preserve"> XE "</w:instrText>
      </w:r>
      <w:r w:rsidRPr="00112BC0">
        <w:instrText>Department of Economic Development, Jobs, Transport and Resources:</w:instrText>
      </w:r>
      <w:r>
        <w:instrText xml:space="preserve">Parliamentary authority for resources" </w:instrText>
      </w:r>
      <w:r>
        <w:rPr>
          <w:rFonts w:eastAsiaTheme="minorHAnsi"/>
        </w:rPr>
        <w:fldChar w:fldCharType="end"/>
      </w:r>
    </w:p>
    <w:p w:rsidR="00E25CC6" w:rsidRDefault="00E25CC6" w:rsidP="00D86DE0">
      <w:pPr>
        <w:rPr>
          <w:rFonts w:eastAsiaTheme="minorHAnsi"/>
        </w:rPr>
      </w:pPr>
    </w:p>
    <w:p w:rsidR="00E25CC6" w:rsidRDefault="00E25CC6">
      <w:pPr>
        <w:spacing w:after="0"/>
        <w:rPr>
          <w:rFonts w:eastAsiaTheme="minorHAnsi"/>
        </w:rPr>
      </w:pPr>
      <w:r>
        <w:rPr>
          <w:rFonts w:eastAsiaTheme="minorHAnsi"/>
        </w:rPr>
        <w:br w:type="page"/>
      </w:r>
    </w:p>
    <w:p w:rsidR="00E25CC6" w:rsidRPr="00D2618F" w:rsidRDefault="00E25CC6" w:rsidP="00D2618F">
      <w:pPr>
        <w:pStyle w:val="OGHeading1"/>
        <w:rPr>
          <w:rFonts w:eastAsiaTheme="minorHAnsi"/>
        </w:rPr>
      </w:pPr>
      <w:r w:rsidRPr="00D2618F">
        <w:rPr>
          <w:rFonts w:eastAsiaTheme="minorHAnsi"/>
        </w:rPr>
        <w:t>Creative Industries</w:t>
      </w:r>
    </w:p>
    <w:p w:rsidR="00E25CC6" w:rsidRDefault="00E25CC6" w:rsidP="00D2618F">
      <w:pPr>
        <w:pStyle w:val="OGText"/>
        <w:rPr>
          <w:rFonts w:eastAsiaTheme="minorHAnsi"/>
        </w:rPr>
      </w:pPr>
      <w:bookmarkStart w:id="56" w:name="DEDJTR_CreatInd"/>
      <w:r w:rsidRPr="00D2618F">
        <w:rPr>
          <w:rFonts w:eastAsiaTheme="minorHAnsi"/>
        </w:rPr>
        <w:t>These outputs contr</w:t>
      </w:r>
      <w:r>
        <w:rPr>
          <w:rFonts w:eastAsiaTheme="minorHAnsi"/>
        </w:rPr>
        <w:t xml:space="preserve">ibute to the development of </w:t>
      </w:r>
      <w:r w:rsidRPr="00D2618F">
        <w:rPr>
          <w:rFonts w:eastAsiaTheme="minorHAnsi"/>
        </w:rPr>
        <w:t>Victorian creative industries through the provision of industry assistance programs, infrastructure development and policy advice. These outputs contribute to the departmental objective to increase the economic, social and cultural value and impact of the creative industries</w:t>
      </w:r>
      <w:r>
        <w:rPr>
          <w:rFonts w:eastAsiaTheme="minorHAnsi"/>
        </w:rPr>
        <w:t>.</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D2618F" w:rsidTr="00D2618F">
        <w:trPr>
          <w:cantSplit/>
          <w:tblHeader/>
        </w:trPr>
        <w:tc>
          <w:tcPr>
            <w:tcW w:w="3146" w:type="dxa"/>
            <w:tcBorders>
              <w:top w:val="nil"/>
              <w:left w:val="nil"/>
              <w:bottom w:val="single" w:sz="12" w:space="0" w:color="auto"/>
              <w:right w:val="nil"/>
            </w:tcBorders>
            <w:shd w:val="solid" w:color="000000" w:fill="auto"/>
            <w:vAlign w:val="bottom"/>
          </w:tcPr>
          <w:p w:rsidR="00E25CC6" w:rsidRPr="00D2618F" w:rsidRDefault="00E25CC6" w:rsidP="00D2618F">
            <w:pPr>
              <w:autoSpaceDE w:val="0"/>
              <w:autoSpaceDN w:val="0"/>
              <w:adjustRightInd w:val="0"/>
              <w:spacing w:after="0"/>
              <w:rPr>
                <w:rFonts w:ascii="Calibri" w:hAnsi="Calibri" w:cs="Calibri"/>
                <w:i/>
                <w:iCs/>
                <w:color w:val="FFFFFF"/>
                <w:sz w:val="19"/>
                <w:szCs w:val="22"/>
                <w:lang w:eastAsia="en-AU"/>
              </w:rPr>
            </w:pPr>
            <w:r w:rsidRPr="00D2618F">
              <w:rPr>
                <w:rFonts w:ascii="Calibri" w:hAnsi="Calibri" w:cs="Calibri"/>
                <w:b/>
                <w:bCs/>
                <w:color w:val="FFFFFF"/>
                <w:sz w:val="19"/>
                <w:szCs w:val="22"/>
                <w:lang w:eastAsia="en-AU"/>
              </w:rPr>
              <w:t>Major outputs/deliverables</w:t>
            </w:r>
          </w:p>
          <w:p w:rsidR="00E25CC6" w:rsidRPr="00D2618F" w:rsidRDefault="00E25CC6" w:rsidP="00D2618F">
            <w:pPr>
              <w:autoSpaceDE w:val="0"/>
              <w:autoSpaceDN w:val="0"/>
              <w:adjustRightInd w:val="0"/>
              <w:spacing w:after="0"/>
              <w:rPr>
                <w:rFonts w:ascii="Calibri" w:hAnsi="Calibri" w:cs="Calibri"/>
                <w:i/>
                <w:iCs/>
                <w:color w:val="FFFFFF"/>
                <w:sz w:val="19"/>
                <w:szCs w:val="22"/>
                <w:lang w:eastAsia="en-AU"/>
              </w:rPr>
            </w:pPr>
            <w:r w:rsidRPr="00D2618F">
              <w:rPr>
                <w:rFonts w:ascii="Calibri" w:hAnsi="Calibri" w:cs="Calibri"/>
                <w:i/>
                <w:iCs/>
                <w:color w:val="FFFFFF"/>
                <w:sz w:val="19"/>
                <w:szCs w:val="22"/>
                <w:lang w:eastAsia="en-AU"/>
              </w:rPr>
              <w:t>Performance measures</w:t>
            </w:r>
          </w:p>
        </w:tc>
        <w:tc>
          <w:tcPr>
            <w:tcW w:w="907" w:type="dxa"/>
            <w:tcBorders>
              <w:top w:val="nil"/>
              <w:left w:val="nil"/>
              <w:bottom w:val="single" w:sz="12" w:space="0" w:color="auto"/>
              <w:right w:val="nil"/>
            </w:tcBorders>
            <w:shd w:val="solid" w:color="000000" w:fill="auto"/>
            <w:vAlign w:val="bottom"/>
          </w:tcPr>
          <w:p w:rsidR="00E25CC6" w:rsidRPr="00D2618F" w:rsidRDefault="00E25CC6" w:rsidP="00D2618F">
            <w:pPr>
              <w:autoSpaceDE w:val="0"/>
              <w:autoSpaceDN w:val="0"/>
              <w:adjustRightInd w:val="0"/>
              <w:spacing w:after="0"/>
              <w:jc w:val="center"/>
              <w:rPr>
                <w:rFonts w:ascii="Calibri" w:hAnsi="Calibri" w:cs="Calibri"/>
                <w:i/>
                <w:iCs/>
                <w:color w:val="FFFFFF"/>
                <w:sz w:val="19"/>
                <w:szCs w:val="22"/>
                <w:lang w:eastAsia="en-AU"/>
              </w:rPr>
            </w:pPr>
            <w:r w:rsidRPr="00D2618F">
              <w:rPr>
                <w:rFonts w:ascii="Calibri" w:hAnsi="Calibri" w:cs="Calibri"/>
                <w:i/>
                <w:iCs/>
                <w:color w:val="FFFFFF"/>
                <w:sz w:val="19"/>
                <w:szCs w:val="22"/>
                <w:lang w:eastAsia="en-AU"/>
              </w:rPr>
              <w:t>Unit of measure</w:t>
            </w:r>
          </w:p>
        </w:tc>
        <w:tc>
          <w:tcPr>
            <w:tcW w:w="907" w:type="dxa"/>
            <w:tcBorders>
              <w:top w:val="nil"/>
              <w:left w:val="nil"/>
              <w:bottom w:val="single" w:sz="12" w:space="0" w:color="auto"/>
              <w:right w:val="nil"/>
            </w:tcBorders>
            <w:shd w:val="solid" w:color="000000" w:fill="auto"/>
            <w:vAlign w:val="bottom"/>
          </w:tcPr>
          <w:p w:rsidR="00E25CC6" w:rsidRPr="00D2618F" w:rsidRDefault="00E25CC6" w:rsidP="00D2618F">
            <w:pPr>
              <w:autoSpaceDE w:val="0"/>
              <w:autoSpaceDN w:val="0"/>
              <w:adjustRightInd w:val="0"/>
              <w:spacing w:after="0"/>
              <w:jc w:val="right"/>
              <w:rPr>
                <w:rFonts w:ascii="Calibri" w:hAnsi="Calibri" w:cs="Calibri"/>
                <w:i/>
                <w:iCs/>
                <w:color w:val="FFFFFF"/>
                <w:sz w:val="19"/>
                <w:szCs w:val="22"/>
                <w:lang w:eastAsia="en-AU"/>
              </w:rPr>
            </w:pPr>
            <w:r w:rsidRPr="00D2618F">
              <w:rPr>
                <w:rFonts w:ascii="Calibri" w:hAnsi="Calibri" w:cs="Calibri"/>
                <w:i/>
                <w:iCs/>
                <w:color w:val="FFFFFF"/>
                <w:sz w:val="19"/>
                <w:szCs w:val="22"/>
                <w:lang w:eastAsia="en-AU"/>
              </w:rPr>
              <w:t>2016</w:t>
            </w:r>
            <w:r w:rsidRPr="00804F7C">
              <w:rPr>
                <w:rFonts w:ascii="Calibri" w:hAnsi="Calibri" w:cs="Calibri"/>
                <w:i/>
                <w:iCs/>
                <w:color w:val="FFFFFF"/>
                <w:sz w:val="19"/>
                <w:szCs w:val="22"/>
                <w:lang w:eastAsia="en-AU"/>
              </w:rPr>
              <w:noBreakHyphen/>
            </w:r>
            <w:r w:rsidRPr="00D2618F">
              <w:rPr>
                <w:rFonts w:ascii="Calibri" w:hAnsi="Calibri" w:cs="Calibri"/>
                <w:i/>
                <w:iCs/>
                <w:color w:val="FFFFFF"/>
                <w:sz w:val="19"/>
                <w:szCs w:val="22"/>
                <w:lang w:eastAsia="en-AU"/>
              </w:rPr>
              <w:t>17 target</w:t>
            </w:r>
          </w:p>
        </w:tc>
        <w:tc>
          <w:tcPr>
            <w:tcW w:w="992" w:type="dxa"/>
            <w:tcBorders>
              <w:top w:val="nil"/>
              <w:left w:val="nil"/>
              <w:bottom w:val="single" w:sz="12" w:space="0" w:color="auto"/>
              <w:right w:val="nil"/>
            </w:tcBorders>
            <w:shd w:val="solid" w:color="000000" w:fill="auto"/>
            <w:vAlign w:val="bottom"/>
          </w:tcPr>
          <w:p w:rsidR="00E25CC6" w:rsidRPr="00D2618F" w:rsidRDefault="00E25CC6" w:rsidP="00D2618F">
            <w:pPr>
              <w:autoSpaceDE w:val="0"/>
              <w:autoSpaceDN w:val="0"/>
              <w:adjustRightInd w:val="0"/>
              <w:spacing w:after="0"/>
              <w:jc w:val="right"/>
              <w:rPr>
                <w:rFonts w:ascii="Calibri" w:hAnsi="Calibri" w:cs="Calibri"/>
                <w:i/>
                <w:iCs/>
                <w:color w:val="FFFFFF"/>
                <w:sz w:val="19"/>
                <w:szCs w:val="22"/>
                <w:lang w:eastAsia="en-AU"/>
              </w:rPr>
            </w:pPr>
            <w:r w:rsidRPr="00D2618F">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D2618F">
              <w:rPr>
                <w:rFonts w:ascii="Calibri" w:hAnsi="Calibri" w:cs="Calibri"/>
                <w:i/>
                <w:iCs/>
                <w:color w:val="FFFFFF"/>
                <w:sz w:val="19"/>
                <w:szCs w:val="22"/>
                <w:lang w:eastAsia="en-AU"/>
              </w:rPr>
              <w:t>16 expected outcome</w:t>
            </w:r>
          </w:p>
        </w:tc>
        <w:tc>
          <w:tcPr>
            <w:tcW w:w="907" w:type="dxa"/>
            <w:tcBorders>
              <w:top w:val="nil"/>
              <w:left w:val="nil"/>
              <w:bottom w:val="single" w:sz="12" w:space="0" w:color="auto"/>
              <w:right w:val="nil"/>
            </w:tcBorders>
            <w:shd w:val="solid" w:color="000000" w:fill="auto"/>
            <w:vAlign w:val="bottom"/>
          </w:tcPr>
          <w:p w:rsidR="00E25CC6" w:rsidRPr="00D2618F" w:rsidRDefault="00E25CC6" w:rsidP="00D2618F">
            <w:pPr>
              <w:autoSpaceDE w:val="0"/>
              <w:autoSpaceDN w:val="0"/>
              <w:adjustRightInd w:val="0"/>
              <w:spacing w:after="0"/>
              <w:jc w:val="right"/>
              <w:rPr>
                <w:rFonts w:ascii="Calibri" w:hAnsi="Calibri" w:cs="Calibri"/>
                <w:i/>
                <w:iCs/>
                <w:color w:val="FFFFFF"/>
                <w:sz w:val="19"/>
                <w:szCs w:val="22"/>
                <w:lang w:eastAsia="en-AU"/>
              </w:rPr>
            </w:pPr>
            <w:r w:rsidRPr="00D2618F">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D2618F">
              <w:rPr>
                <w:rFonts w:ascii="Calibri" w:hAnsi="Calibri" w:cs="Calibri"/>
                <w:i/>
                <w:iCs/>
                <w:color w:val="FFFFFF"/>
                <w:sz w:val="19"/>
                <w:szCs w:val="22"/>
                <w:lang w:eastAsia="en-AU"/>
              </w:rPr>
              <w:t>16 target</w:t>
            </w:r>
          </w:p>
        </w:tc>
        <w:tc>
          <w:tcPr>
            <w:tcW w:w="908" w:type="dxa"/>
            <w:tcBorders>
              <w:top w:val="nil"/>
              <w:left w:val="nil"/>
              <w:bottom w:val="single" w:sz="12" w:space="0" w:color="auto"/>
              <w:right w:val="nil"/>
            </w:tcBorders>
            <w:shd w:val="solid" w:color="000000" w:fill="auto"/>
            <w:vAlign w:val="bottom"/>
          </w:tcPr>
          <w:p w:rsidR="00E25CC6" w:rsidRPr="00D2618F" w:rsidRDefault="00E25CC6" w:rsidP="00D2618F">
            <w:pPr>
              <w:autoSpaceDE w:val="0"/>
              <w:autoSpaceDN w:val="0"/>
              <w:adjustRightInd w:val="0"/>
              <w:spacing w:after="0"/>
              <w:jc w:val="right"/>
              <w:rPr>
                <w:rFonts w:ascii="Calibri" w:hAnsi="Calibri" w:cs="Calibri"/>
                <w:i/>
                <w:iCs/>
                <w:color w:val="FFFFFF"/>
                <w:sz w:val="19"/>
                <w:szCs w:val="22"/>
                <w:lang w:eastAsia="en-AU"/>
              </w:rPr>
            </w:pPr>
            <w:r w:rsidRPr="00D2618F">
              <w:rPr>
                <w:rFonts w:ascii="Calibri" w:hAnsi="Calibri" w:cs="Calibri"/>
                <w:i/>
                <w:iCs/>
                <w:color w:val="FFFFFF"/>
                <w:sz w:val="19"/>
                <w:szCs w:val="22"/>
                <w:lang w:eastAsia="en-AU"/>
              </w:rPr>
              <w:t>2014</w:t>
            </w:r>
            <w:r w:rsidRPr="00804F7C">
              <w:rPr>
                <w:rFonts w:ascii="Calibri" w:hAnsi="Calibri" w:cs="Calibri"/>
                <w:i/>
                <w:iCs/>
                <w:color w:val="FFFFFF"/>
                <w:sz w:val="19"/>
                <w:szCs w:val="22"/>
                <w:lang w:eastAsia="en-AU"/>
              </w:rPr>
              <w:noBreakHyphen/>
            </w:r>
            <w:r w:rsidRPr="00D2618F">
              <w:rPr>
                <w:rFonts w:ascii="Calibri" w:hAnsi="Calibri" w:cs="Calibri"/>
                <w:i/>
                <w:iCs/>
                <w:color w:val="FFFFFF"/>
                <w:sz w:val="19"/>
                <w:szCs w:val="22"/>
                <w:lang w:eastAsia="en-AU"/>
              </w:rPr>
              <w:t>15 actual</w:t>
            </w:r>
          </w:p>
        </w:tc>
      </w:tr>
      <w:tr w:rsidR="00E25CC6" w:rsidRPr="00D2618F" w:rsidTr="00D2618F">
        <w:trPr>
          <w:cantSplit/>
        </w:trPr>
        <w:tc>
          <w:tcPr>
            <w:tcW w:w="7767" w:type="dxa"/>
            <w:gridSpan w:val="6"/>
            <w:tcBorders>
              <w:top w:val="single" w:sz="12" w:space="0" w:color="auto"/>
              <w:left w:val="nil"/>
              <w:bottom w:val="nil"/>
              <w:right w:val="nil"/>
            </w:tcBorders>
          </w:tcPr>
          <w:p w:rsidR="00E25CC6" w:rsidRPr="00D2618F" w:rsidRDefault="00E25CC6" w:rsidP="00D2618F">
            <w:pPr>
              <w:pStyle w:val="OGHeading2"/>
              <w:rPr>
                <w:lang w:eastAsia="en-AU"/>
              </w:rPr>
            </w:pPr>
            <w:r w:rsidRPr="00D2618F">
              <w:rPr>
                <w:lang w:eastAsia="en-AU"/>
              </w:rPr>
              <w:t xml:space="preserve">Access, Industry Development and Innovation </w:t>
            </w:r>
          </w:p>
        </w:tc>
      </w:tr>
      <w:tr w:rsidR="00E25CC6" w:rsidRPr="00D2618F" w:rsidTr="00804F7C">
        <w:trPr>
          <w:cantSplit/>
        </w:trPr>
        <w:tc>
          <w:tcPr>
            <w:tcW w:w="7767" w:type="dxa"/>
            <w:gridSpan w:val="6"/>
            <w:tcBorders>
              <w:top w:val="nil"/>
              <w:left w:val="nil"/>
              <w:bottom w:val="single" w:sz="6" w:space="0" w:color="auto"/>
              <w:right w:val="nil"/>
            </w:tcBorders>
          </w:tcPr>
          <w:p w:rsidR="00E25CC6" w:rsidRPr="00804F7C" w:rsidRDefault="00E25CC6" w:rsidP="00804F7C">
            <w:pPr>
              <w:pStyle w:val="OGText"/>
              <w:rPr>
                <w:lang w:eastAsia="en-AU"/>
              </w:rPr>
            </w:pPr>
            <w:r w:rsidRPr="00D2618F">
              <w:rPr>
                <w:lang w:eastAsia="en-AU"/>
              </w:rPr>
              <w:t>This output supports the creative industries to deliver economic, social and cultural benefit through: talent and leadership; the creative and business ecology; innovation and social impact; participation and place making; and international engagement.</w:t>
            </w:r>
          </w:p>
        </w:tc>
      </w:tr>
      <w:tr w:rsidR="00E25CC6" w:rsidRPr="00D2618F" w:rsidTr="00D2618F">
        <w:trPr>
          <w:cantSplit/>
        </w:trPr>
        <w:tc>
          <w:tcPr>
            <w:tcW w:w="3146" w:type="dxa"/>
            <w:tcBorders>
              <w:top w:val="nil"/>
              <w:left w:val="nil"/>
              <w:bottom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670E32">
        <w:trPr>
          <w:cantSplit/>
        </w:trPr>
        <w:tc>
          <w:tcPr>
            <w:tcW w:w="3146" w:type="dxa"/>
            <w:tcBorders>
              <w:top w:val="nil"/>
              <w:left w:val="nil"/>
              <w:right w:val="nil"/>
            </w:tcBorders>
          </w:tcPr>
          <w:p w:rsidR="00E25CC6" w:rsidRPr="00D2618F" w:rsidRDefault="00E25CC6" w:rsidP="00D2618F">
            <w:pPr>
              <w:pStyle w:val="OGTabText"/>
              <w:rPr>
                <w:lang w:eastAsia="en-AU"/>
              </w:rPr>
            </w:pPr>
            <w:r w:rsidRPr="00D2618F">
              <w:rPr>
                <w:lang w:eastAsia="en-AU"/>
              </w:rPr>
              <w:t>Artist residencies in schools</w:t>
            </w:r>
          </w:p>
        </w:tc>
        <w:tc>
          <w:tcPr>
            <w:tcW w:w="907" w:type="dxa"/>
            <w:tcBorders>
              <w:top w:val="nil"/>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16</w:t>
            </w:r>
          </w:p>
        </w:tc>
        <w:tc>
          <w:tcPr>
            <w:tcW w:w="992"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19</w:t>
            </w:r>
          </w:p>
        </w:tc>
        <w:tc>
          <w:tcPr>
            <w:tcW w:w="907"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22</w:t>
            </w:r>
          </w:p>
        </w:tc>
        <w:tc>
          <w:tcPr>
            <w:tcW w:w="908"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18</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781CAC" w:rsidRDefault="00E25CC6" w:rsidP="00D2618F">
            <w:pPr>
              <w:pStyle w:val="OGNotes"/>
            </w:pPr>
            <w:r w:rsidRPr="00D2618F">
              <w:t>The 2015</w:t>
            </w:r>
            <w:r w:rsidRPr="00804F7C">
              <w:noBreakHyphen/>
            </w:r>
            <w:r w:rsidRPr="00D2618F">
              <w:t xml:space="preserve">16 </w:t>
            </w:r>
            <w:r w:rsidRPr="00804F7C">
              <w:t xml:space="preserve">expected </w:t>
            </w:r>
            <w:r w:rsidRPr="00781CAC">
              <w:t>outcome is lower than the 2015</w:t>
            </w:r>
            <w:r w:rsidRPr="00781CAC">
              <w:noBreakHyphen/>
              <w:t>16 target due to fewer projects being supported in 2016 due to the panel recommendations and the withdrawal of projects.</w:t>
            </w:r>
          </w:p>
          <w:p w:rsidR="00E25CC6" w:rsidRPr="00781CAC" w:rsidRDefault="00E25CC6" w:rsidP="00D2618F">
            <w:pPr>
              <w:pStyle w:val="OGNotes"/>
            </w:pPr>
            <w:r w:rsidRPr="00781CAC">
              <w:t>The lower 2016</w:t>
            </w:r>
            <w:r w:rsidRPr="00781CAC">
              <w:noBreakHyphen/>
              <w:t>17 target reflects the withdrawal of Commonwealth Government funding for the Artists in Residencies program.</w:t>
            </w:r>
          </w:p>
          <w:p w:rsidR="00E25CC6" w:rsidRPr="00D2618F" w:rsidRDefault="00E25CC6" w:rsidP="00D2618F">
            <w:pPr>
              <w:pStyle w:val="OGNotes"/>
            </w:pPr>
            <w:r w:rsidRPr="00781CAC">
              <w:t>This performance measure renames the 2015</w:t>
            </w:r>
            <w:r w:rsidRPr="00781CAC">
              <w:noBreakHyphen/>
              <w:t xml:space="preserve">16 performance measure </w:t>
            </w:r>
            <w:r>
              <w:t>‘</w:t>
            </w:r>
            <w:r w:rsidRPr="00781CAC">
              <w:t>Access to diverse range of supported projects: artist residencies in schools</w:t>
            </w:r>
            <w:r>
              <w:t>’</w:t>
            </w:r>
            <w:r w:rsidRPr="00781CAC">
              <w:t xml:space="preserve">. The </w:t>
            </w:r>
            <w:r w:rsidRPr="00D2618F">
              <w:t>new measure reports on the same activity as the previous measure however has been amended for increased clarity.</w:t>
            </w:r>
          </w:p>
        </w:tc>
      </w:tr>
      <w:tr w:rsidR="00E25CC6" w:rsidRPr="00D2618F" w:rsidTr="00670E32">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Attendances at major performing arts organisations</w:t>
            </w:r>
          </w:p>
        </w:tc>
        <w:tc>
          <w:tcPr>
            <w:tcW w:w="907" w:type="dxa"/>
            <w:tcBorders>
              <w:top w:val="single" w:sz="6" w:space="0" w:color="auto"/>
              <w:left w:val="nil"/>
              <w:right w:val="nil"/>
            </w:tcBorders>
          </w:tcPr>
          <w:p w:rsidR="00E25CC6" w:rsidRPr="00D2618F" w:rsidRDefault="00E25CC6" w:rsidP="0040170D">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number </w:t>
            </w:r>
            <w:r w:rsidRPr="0040170D">
              <w:rPr>
                <w:rFonts w:ascii="Calibri" w:hAnsi="Calibri" w:cs="Calibri"/>
                <w:color w:val="000000"/>
                <w:sz w:val="19"/>
                <w:szCs w:val="19"/>
                <w:lang w:eastAsia="en-AU"/>
              </w:rPr>
              <w:t>(000)</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985</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914</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985</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1 083</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2015</w:t>
            </w:r>
            <w:r w:rsidRPr="00804F7C">
              <w:noBreakHyphen/>
            </w:r>
            <w:r w:rsidRPr="00D2618F">
              <w:t xml:space="preserve">16 </w:t>
            </w:r>
            <w:r w:rsidRPr="00804F7C">
              <w:t>expected outcome</w:t>
            </w:r>
            <w:r w:rsidRPr="00D2618F">
              <w:t xml:space="preserve"> is lower than the 2015</w:t>
            </w:r>
            <w:r w:rsidRPr="00804F7C">
              <w:noBreakHyphen/>
            </w:r>
            <w:r w:rsidRPr="00D2618F">
              <w:t xml:space="preserve">16 </w:t>
            </w:r>
            <w:r w:rsidRPr="00804F7C">
              <w:t>target</w:t>
            </w:r>
            <w:r w:rsidRPr="00D2618F">
              <w:t xml:space="preserve"> due to Opera Australia staging fewer performances in 2015</w:t>
            </w:r>
            <w:r w:rsidRPr="00804F7C">
              <w:noBreakHyphen/>
            </w:r>
            <w:r w:rsidRPr="00D2618F">
              <w:t>16.</w:t>
            </w:r>
          </w:p>
        </w:tc>
      </w:tr>
      <w:tr w:rsidR="00E25CC6" w:rsidRPr="00D2618F" w:rsidTr="00670E32">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Number of international market development and exchange initiatives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12</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New performance measure for 2016</w:t>
            </w:r>
            <w:r w:rsidRPr="00804F7C">
              <w:noBreakHyphen/>
            </w:r>
            <w:r w:rsidRPr="00D2618F">
              <w:t xml:space="preserve">17 to reflect new </w:t>
            </w:r>
            <w:r>
              <w:t>funding for Victoria’s Creative State S</w:t>
            </w:r>
            <w:r w:rsidRPr="00D2618F">
              <w:t>trategy.</w:t>
            </w:r>
          </w:p>
        </w:tc>
      </w:tr>
      <w:tr w:rsidR="00E25CC6" w:rsidRPr="00D2618F" w:rsidTr="00670E32">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Number of design organisations supported</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20</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New performance measure for 2016</w:t>
            </w:r>
            <w:r w:rsidRPr="00804F7C">
              <w:noBreakHyphen/>
            </w:r>
            <w:r w:rsidRPr="00D2618F">
              <w:t>17 to reflect new funding for the Victoria Design Leader initiative.</w:t>
            </w:r>
          </w:p>
        </w:tc>
      </w:tr>
      <w:tr w:rsidR="00E25CC6" w:rsidRPr="00D2618F" w:rsidTr="00670E32">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Organisations recurrently funded</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135</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141</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135</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137</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Diverse range of product, producers and cultural venues supported: organisations recurrently funded</w:t>
            </w:r>
            <w:r>
              <w:t>’</w:t>
            </w:r>
            <w:r w:rsidRPr="00D2618F">
              <w:t>. The new measure reports on the same activity as the previous measure however has been amended for increased clarity.</w:t>
            </w:r>
          </w:p>
        </w:tc>
      </w:tr>
      <w:tr w:rsidR="00E25CC6" w:rsidRPr="00D2618F" w:rsidTr="00670E32">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Project companies and artists funded</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323886">
              <w:rPr>
                <w:rFonts w:ascii="Calibri" w:hAnsi="Calibri" w:cs="Calibri"/>
                <w:color w:val="000000"/>
                <w:sz w:val="19"/>
                <w:szCs w:val="22"/>
                <w:lang w:eastAsia="en-AU"/>
              </w:rPr>
              <w:t>475</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450</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450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349</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higher 2016</w:t>
            </w:r>
            <w:r w:rsidRPr="00804F7C">
              <w:noBreakHyphen/>
            </w:r>
            <w:r w:rsidRPr="00D2618F">
              <w:t xml:space="preserve">17 </w:t>
            </w:r>
            <w:r w:rsidRPr="00804F7C">
              <w:t>target</w:t>
            </w:r>
            <w:r w:rsidRPr="00D2618F">
              <w:t xml:space="preserve"> reflects new funding in the </w:t>
            </w:r>
            <w:r w:rsidRPr="000939BA">
              <w:rPr>
                <w:i w:val="0"/>
              </w:rPr>
              <w:t>2016</w:t>
            </w:r>
            <w:r w:rsidRPr="000939BA">
              <w:rPr>
                <w:i w:val="0"/>
              </w:rPr>
              <w:noBreakHyphen/>
              <w:t>17 Budget</w:t>
            </w:r>
            <w:r>
              <w:t xml:space="preserve"> for the Creative State S</w:t>
            </w:r>
            <w:r w:rsidRPr="00D2618F">
              <w:t>trategy.</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Diverse range of product, producers and cultural venues supported: project companies and artists funded</w:t>
            </w:r>
            <w:r>
              <w:t>’</w:t>
            </w:r>
            <w:r w:rsidRPr="00D2618F">
              <w:t>. The new measure reports on the same activity as the previous measure however has been amended for increased clarity.</w:t>
            </w:r>
          </w:p>
        </w:tc>
      </w:tr>
      <w:tr w:rsidR="00E25CC6" w:rsidRPr="00D2618F" w:rsidTr="00215C84">
        <w:trPr>
          <w:cantSplit/>
        </w:trPr>
        <w:tc>
          <w:tcPr>
            <w:tcW w:w="3146" w:type="dxa"/>
            <w:tcBorders>
              <w:top w:val="single" w:sz="6" w:space="0" w:color="auto"/>
              <w:left w:val="nil"/>
              <w:right w:val="nil"/>
            </w:tcBorders>
          </w:tcPr>
          <w:p w:rsidR="00E25CC6" w:rsidRPr="00D2618F" w:rsidRDefault="00E25CC6" w:rsidP="00215C84">
            <w:pPr>
              <w:pStyle w:val="OGTabText"/>
              <w:keepNext/>
              <w:rPr>
                <w:lang w:eastAsia="en-AU"/>
              </w:rPr>
            </w:pPr>
            <w:r w:rsidRPr="00D2618F">
              <w:rPr>
                <w:lang w:eastAsia="en-AU"/>
              </w:rPr>
              <w:t>Project companies and artists funded which are regionally based</w:t>
            </w:r>
          </w:p>
        </w:tc>
        <w:tc>
          <w:tcPr>
            <w:tcW w:w="907" w:type="dxa"/>
            <w:tcBorders>
              <w:top w:val="single" w:sz="6" w:space="0" w:color="auto"/>
              <w:left w:val="nil"/>
              <w:right w:val="nil"/>
            </w:tcBorders>
          </w:tcPr>
          <w:p w:rsidR="00E25CC6" w:rsidRPr="00D2618F" w:rsidRDefault="00E25CC6" w:rsidP="00215C84">
            <w:pPr>
              <w:keepNext/>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D2618F" w:rsidRDefault="00E25CC6" w:rsidP="00215C84">
            <w:pPr>
              <w:keepNext/>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23</w:t>
            </w:r>
          </w:p>
        </w:tc>
        <w:tc>
          <w:tcPr>
            <w:tcW w:w="992" w:type="dxa"/>
            <w:tcBorders>
              <w:top w:val="single" w:sz="6" w:space="0" w:color="auto"/>
              <w:left w:val="nil"/>
              <w:right w:val="nil"/>
            </w:tcBorders>
          </w:tcPr>
          <w:p w:rsidR="00E25CC6" w:rsidRPr="00D2618F" w:rsidRDefault="00E25CC6" w:rsidP="00215C84">
            <w:pPr>
              <w:keepNext/>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23</w:t>
            </w:r>
          </w:p>
        </w:tc>
        <w:tc>
          <w:tcPr>
            <w:tcW w:w="907" w:type="dxa"/>
            <w:tcBorders>
              <w:top w:val="single" w:sz="6" w:space="0" w:color="auto"/>
              <w:left w:val="nil"/>
              <w:right w:val="nil"/>
            </w:tcBorders>
          </w:tcPr>
          <w:p w:rsidR="00E25CC6" w:rsidRPr="00D2618F" w:rsidRDefault="00E25CC6" w:rsidP="00215C84">
            <w:pPr>
              <w:keepNext/>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23</w:t>
            </w:r>
          </w:p>
        </w:tc>
        <w:tc>
          <w:tcPr>
            <w:tcW w:w="908" w:type="dxa"/>
            <w:tcBorders>
              <w:top w:val="single" w:sz="6" w:space="0" w:color="auto"/>
              <w:left w:val="nil"/>
              <w:right w:val="nil"/>
            </w:tcBorders>
          </w:tcPr>
          <w:p w:rsidR="00E25CC6" w:rsidRPr="00D2618F" w:rsidRDefault="00E25CC6" w:rsidP="00215C84">
            <w:pPr>
              <w:keepNext/>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22</w:t>
            </w:r>
          </w:p>
        </w:tc>
      </w:tr>
      <w:tr w:rsidR="00E25CC6" w:rsidRPr="00D2618F" w:rsidTr="00215C84">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Diverse range of product, producers and cultural venues supported: project companies and artists funded which are regionally based</w:t>
            </w:r>
            <w:r>
              <w:t>’</w:t>
            </w:r>
            <w:r w:rsidRPr="00D2618F">
              <w:t>. The new measure reports on the same activity as the previous measure however has been amended for increased clarity.</w:t>
            </w:r>
          </w:p>
        </w:tc>
      </w:tr>
      <w:tr w:rsidR="00E25CC6" w:rsidRPr="00D2618F" w:rsidTr="00215C84">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Regional Touring Victoria destinations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42</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57</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42</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48</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657DBC" w:rsidRDefault="00E25CC6" w:rsidP="00657DBC">
            <w:pPr>
              <w:pStyle w:val="OGNotes"/>
              <w:rPr>
                <w:color w:val="0070C0"/>
              </w:rPr>
            </w:pPr>
            <w:r w:rsidRPr="0065171C">
              <w:t>The 2015</w:t>
            </w:r>
            <w:r w:rsidRPr="0065171C">
              <w:noBreakHyphen/>
              <w:t>16 expected outcome is higher than the 2015</w:t>
            </w:r>
            <w:r w:rsidRPr="0065171C">
              <w:noBreakHyphen/>
              <w:t>16 target due to increased funds being made available for regional initiatives from the Regional Jobs and Infrastructure Fund</w:t>
            </w:r>
            <w:r>
              <w:t xml:space="preserve"> </w:t>
            </w:r>
            <w:r w:rsidRPr="00781CAC">
              <w:t>during 2015</w:t>
            </w:r>
            <w:r w:rsidRPr="00781CAC">
              <w:noBreakHyphen/>
              <w:t>16.</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Access to diverse range of supported projects: regional Touring Victoria destinations</w:t>
            </w:r>
            <w:r>
              <w:t>’</w:t>
            </w:r>
            <w:r w:rsidRPr="00D2618F">
              <w:t>. The new measure reports on the same activity as the previous measure however has been amended for increased clarity.</w:t>
            </w:r>
          </w:p>
        </w:tc>
      </w:tr>
      <w:tr w:rsidR="00E25CC6" w:rsidRPr="00D2618F" w:rsidTr="00670E32">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Regionally based organisations recurrently funded</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47</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53</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47</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53</w:t>
            </w:r>
          </w:p>
        </w:tc>
      </w:tr>
      <w:tr w:rsidR="00E25CC6" w:rsidRPr="00D2618F" w:rsidTr="00670E32">
        <w:trPr>
          <w:cantSplit/>
        </w:trPr>
        <w:tc>
          <w:tcPr>
            <w:tcW w:w="7767" w:type="dxa"/>
            <w:gridSpan w:val="6"/>
            <w:tcBorders>
              <w:top w:val="nil"/>
              <w:left w:val="nil"/>
              <w:bottom w:val="single" w:sz="6" w:space="0" w:color="auto"/>
              <w:right w:val="nil"/>
            </w:tcBorders>
          </w:tcPr>
          <w:p w:rsidR="00E25CC6" w:rsidRPr="00657DBC" w:rsidRDefault="00E25CC6" w:rsidP="00D2618F">
            <w:pPr>
              <w:pStyle w:val="OGNotes"/>
              <w:rPr>
                <w:color w:val="0070C0"/>
              </w:rPr>
            </w:pPr>
            <w:r w:rsidRPr="0065171C">
              <w:t>The 2015</w:t>
            </w:r>
            <w:r w:rsidRPr="0065171C">
              <w:noBreakHyphen/>
              <w:t>16 expected outcome is higher than the 2015</w:t>
            </w:r>
            <w:r w:rsidRPr="0065171C">
              <w:noBreakHyphen/>
              <w:t>16 target due to the expanding range of regionally based organisations requesting funding.</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Diverse range of product, producers and cultural venues supported: regionally based organisations recurrently funded</w:t>
            </w:r>
            <w:r>
              <w:t>’</w:t>
            </w:r>
            <w:r w:rsidRPr="00D2618F">
              <w:t>. The new measure reports on the same activity as the previous measure however has been amended for increased clarity.</w:t>
            </w:r>
          </w:p>
        </w:tc>
      </w:tr>
      <w:tr w:rsidR="00E25CC6" w:rsidRPr="00D2618F" w:rsidTr="00670E32">
        <w:trPr>
          <w:cantSplit/>
        </w:trPr>
        <w:tc>
          <w:tcPr>
            <w:tcW w:w="3146" w:type="dxa"/>
            <w:tcBorders>
              <w:top w:val="single" w:sz="6" w:space="0" w:color="auto"/>
              <w:left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670E32">
        <w:trPr>
          <w:cantSplit/>
        </w:trPr>
        <w:tc>
          <w:tcPr>
            <w:tcW w:w="3146" w:type="dxa"/>
            <w:tcBorders>
              <w:top w:val="nil"/>
              <w:left w:val="nil"/>
              <w:bottom w:val="single" w:sz="6" w:space="0" w:color="auto"/>
              <w:right w:val="nil"/>
            </w:tcBorders>
          </w:tcPr>
          <w:p w:rsidR="00E25CC6" w:rsidRPr="00D2618F" w:rsidRDefault="00E25CC6" w:rsidP="00D2618F">
            <w:pPr>
              <w:pStyle w:val="OGTabText"/>
              <w:rPr>
                <w:lang w:eastAsia="en-AU"/>
              </w:rPr>
            </w:pPr>
            <w:r w:rsidRPr="00D2618F">
              <w:rPr>
                <w:lang w:eastAsia="en-AU"/>
              </w:rPr>
              <w:t>Grant recipients who met or exceeded agreed outcomes</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85</w:t>
            </w:r>
          </w:p>
        </w:tc>
        <w:tc>
          <w:tcPr>
            <w:tcW w:w="992"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85</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85</w:t>
            </w:r>
          </w:p>
        </w:tc>
        <w:tc>
          <w:tcPr>
            <w:tcW w:w="908"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86</w:t>
            </w:r>
          </w:p>
        </w:tc>
      </w:tr>
      <w:tr w:rsidR="00E25CC6" w:rsidRPr="00D2618F" w:rsidTr="00670E32">
        <w:trPr>
          <w:cantSplit/>
        </w:trPr>
        <w:tc>
          <w:tcPr>
            <w:tcW w:w="3146" w:type="dxa"/>
            <w:tcBorders>
              <w:top w:val="single" w:sz="6" w:space="0" w:color="auto"/>
              <w:left w:val="nil"/>
              <w:bottom w:val="single" w:sz="6" w:space="0" w:color="auto"/>
              <w:right w:val="nil"/>
            </w:tcBorders>
          </w:tcPr>
          <w:p w:rsidR="00E25CC6" w:rsidRPr="00D2618F" w:rsidRDefault="00E25CC6" w:rsidP="00D2618F">
            <w:pPr>
              <w:pStyle w:val="OGTabText"/>
              <w:rPr>
                <w:lang w:eastAsia="en-AU"/>
              </w:rPr>
            </w:pPr>
            <w:r w:rsidRPr="00D2618F">
              <w:rPr>
                <w:lang w:eastAsia="en-AU"/>
              </w:rPr>
              <w:t xml:space="preserve">Public information rated </w:t>
            </w:r>
            <w:r>
              <w:rPr>
                <w:lang w:eastAsia="en-AU"/>
              </w:rPr>
              <w:t>‘</w:t>
            </w:r>
            <w:r w:rsidRPr="00D2618F">
              <w:rPr>
                <w:lang w:eastAsia="en-AU"/>
              </w:rPr>
              <w:t>informative</w:t>
            </w:r>
            <w:r>
              <w:rPr>
                <w:lang w:eastAsia="en-AU"/>
              </w:rPr>
              <w:t>’</w:t>
            </w:r>
            <w:r w:rsidRPr="00D2618F">
              <w:rPr>
                <w:lang w:eastAsia="en-AU"/>
              </w:rPr>
              <w:t xml:space="preserve"> or </w:t>
            </w:r>
            <w:r>
              <w:rPr>
                <w:lang w:eastAsia="en-AU"/>
              </w:rPr>
              <w:t>‘</w:t>
            </w:r>
            <w:r w:rsidRPr="00D2618F">
              <w:rPr>
                <w:lang w:eastAsia="en-AU"/>
              </w:rPr>
              <w:t>very informative</w:t>
            </w:r>
            <w:r>
              <w:rPr>
                <w:lang w:eastAsia="en-AU"/>
              </w:rPr>
              <w:t>’</w:t>
            </w:r>
            <w:r w:rsidRPr="00D2618F">
              <w:rPr>
                <w:lang w:eastAsia="en-AU"/>
              </w:rPr>
              <w:t xml:space="preserve"> by grant applicants</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8"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94</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CF3B43">
        <w:trPr>
          <w:cantSplit/>
        </w:trPr>
        <w:tc>
          <w:tcPr>
            <w:tcW w:w="3146" w:type="dxa"/>
            <w:tcBorders>
              <w:top w:val="nil"/>
              <w:left w:val="nil"/>
              <w:bottom w:val="single" w:sz="6" w:space="0" w:color="auto"/>
              <w:right w:val="nil"/>
            </w:tcBorders>
          </w:tcPr>
          <w:p w:rsidR="00E25CC6" w:rsidRPr="00D2618F" w:rsidRDefault="00E25CC6" w:rsidP="00D2618F">
            <w:pPr>
              <w:pStyle w:val="OGTabText"/>
              <w:rPr>
                <w:lang w:eastAsia="en-AU"/>
              </w:rPr>
            </w:pPr>
            <w:r w:rsidRPr="00D2618F">
              <w:rPr>
                <w:lang w:eastAsia="en-AU"/>
              </w:rPr>
              <w:t>Performance and grant agreements acquitted within timeframes specified in the funding agreement</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83</w:t>
            </w:r>
          </w:p>
        </w:tc>
        <w:tc>
          <w:tcPr>
            <w:tcW w:w="992"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83</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83</w:t>
            </w:r>
          </w:p>
        </w:tc>
        <w:tc>
          <w:tcPr>
            <w:tcW w:w="908"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87</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Average time to process VicArts Grants applications for each round for Ministerial consideration</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days</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45</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45</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50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44</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2015</w:t>
            </w:r>
            <w:r w:rsidRPr="00804F7C">
              <w:noBreakHyphen/>
            </w:r>
            <w:r w:rsidRPr="00D2618F">
              <w:t xml:space="preserve">16 </w:t>
            </w:r>
            <w:r w:rsidRPr="00804F7C">
              <w:t>expected outcome</w:t>
            </w:r>
            <w:r w:rsidRPr="00D2618F">
              <w:t xml:space="preserve"> is lower than the 2015</w:t>
            </w:r>
            <w:r w:rsidRPr="00804F7C">
              <w:noBreakHyphen/>
            </w:r>
            <w:r w:rsidRPr="00D2618F">
              <w:t xml:space="preserve">16 </w:t>
            </w:r>
            <w:r w:rsidRPr="00804F7C">
              <w:t>target</w:t>
            </w:r>
            <w:r w:rsidRPr="00D2618F">
              <w:t xml:space="preserve"> as it is anticipated that there will be reduced processing times reflecting greater efficiency.</w:t>
            </w:r>
          </w:p>
          <w:p w:rsidR="00E25CC6" w:rsidRPr="00D2618F" w:rsidRDefault="00E25CC6" w:rsidP="00D2618F">
            <w:pPr>
              <w:pStyle w:val="OGNotes"/>
            </w:pPr>
            <w:r w:rsidRPr="00D2618F">
              <w:t>The lower 2016</w:t>
            </w:r>
            <w:r w:rsidRPr="00804F7C">
              <w:noBreakHyphen/>
            </w:r>
            <w:r w:rsidRPr="00D2618F">
              <w:t xml:space="preserve">17 </w:t>
            </w:r>
            <w:r w:rsidRPr="00804F7C">
              <w:t>target</w:t>
            </w:r>
            <w:r w:rsidRPr="00D2618F">
              <w:t xml:space="preserve"> reflects the effect of reduced processing times which is a better outcome as it indicates greater efficiency.</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VicArts Grants applications processed for Ministerial consideration</w:t>
            </w:r>
            <w:r>
              <w:t>’</w:t>
            </w:r>
            <w:r w:rsidRPr="00D2618F">
              <w:t>. The new measure reports on the same activity as the previous measure however has been</w:t>
            </w:r>
            <w:r>
              <w:t xml:space="preserve"> amended for increased clarity.</w:t>
            </w:r>
            <w:r w:rsidRPr="00D2618F">
              <w:t xml:space="preserve"> </w:t>
            </w:r>
          </w:p>
        </w:tc>
      </w:tr>
      <w:tr w:rsidR="00E25CC6" w:rsidRPr="00D2618F" w:rsidTr="00CF3B43">
        <w:trPr>
          <w:cantSplit/>
        </w:trPr>
        <w:tc>
          <w:tcPr>
            <w:tcW w:w="3146" w:type="dxa"/>
            <w:tcBorders>
              <w:top w:val="single" w:sz="6" w:space="0" w:color="auto"/>
              <w:left w:val="nil"/>
              <w:bottom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EC1940">
        <w:trPr>
          <w:cantSplit/>
        </w:trPr>
        <w:tc>
          <w:tcPr>
            <w:tcW w:w="3146" w:type="dxa"/>
            <w:tcBorders>
              <w:top w:val="nil"/>
              <w:left w:val="nil"/>
              <w:right w:val="nil"/>
            </w:tcBorders>
          </w:tcPr>
          <w:p w:rsidR="00E25CC6" w:rsidRPr="00D2618F" w:rsidRDefault="00E25CC6" w:rsidP="00D2618F">
            <w:pPr>
              <w:pStyle w:val="OGTabText"/>
              <w:rPr>
                <w:lang w:eastAsia="en-AU"/>
              </w:rPr>
            </w:pPr>
            <w:r w:rsidRPr="00D2618F">
              <w:rPr>
                <w:lang w:eastAsia="en-AU"/>
              </w:rPr>
              <w:t>Total output cost</w:t>
            </w:r>
          </w:p>
        </w:tc>
        <w:tc>
          <w:tcPr>
            <w:tcW w:w="907" w:type="dxa"/>
            <w:tcBorders>
              <w:top w:val="nil"/>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78.3</w:t>
            </w:r>
          </w:p>
        </w:tc>
        <w:tc>
          <w:tcPr>
            <w:tcW w:w="992"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62.5</w:t>
            </w:r>
          </w:p>
        </w:tc>
        <w:tc>
          <w:tcPr>
            <w:tcW w:w="907"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61.9</w:t>
            </w:r>
          </w:p>
        </w:tc>
        <w:tc>
          <w:tcPr>
            <w:tcW w:w="908"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58.6</w:t>
            </w:r>
          </w:p>
        </w:tc>
      </w:tr>
      <w:tr w:rsidR="00E25CC6" w:rsidRPr="00D2618F" w:rsidTr="00EC1940">
        <w:trPr>
          <w:cantSplit/>
        </w:trPr>
        <w:tc>
          <w:tcPr>
            <w:tcW w:w="7767" w:type="dxa"/>
            <w:gridSpan w:val="6"/>
            <w:tcBorders>
              <w:top w:val="nil"/>
              <w:left w:val="nil"/>
              <w:bottom w:val="single" w:sz="6" w:space="0" w:color="auto"/>
              <w:right w:val="nil"/>
            </w:tcBorders>
          </w:tcPr>
          <w:p w:rsidR="00E25CC6" w:rsidRPr="00D2618F" w:rsidRDefault="00E25CC6" w:rsidP="00735473">
            <w:pPr>
              <w:pStyle w:val="OGNotes"/>
            </w:pPr>
            <w:r w:rsidRPr="00781CAC">
              <w:t>The higher 2016</w:t>
            </w:r>
            <w:r w:rsidRPr="00781CAC">
              <w:noBreakHyphen/>
              <w:t xml:space="preserve">17 target reflects new funding included in the </w:t>
            </w:r>
            <w:r w:rsidRPr="00781CAC">
              <w:rPr>
                <w:i w:val="0"/>
              </w:rPr>
              <w:t>2016</w:t>
            </w:r>
            <w:r w:rsidRPr="00781CAC">
              <w:rPr>
                <w:i w:val="0"/>
              </w:rPr>
              <w:noBreakHyphen/>
              <w:t>17 Budget</w:t>
            </w:r>
            <w:r w:rsidRPr="00781CAC">
              <w:t xml:space="preserve">, including </w:t>
            </w:r>
            <w:r>
              <w:t>Victoria’s</w:t>
            </w:r>
            <w:r w:rsidRPr="00781CAC">
              <w:t xml:space="preserve"> Creative State Strategy.</w:t>
            </w:r>
          </w:p>
        </w:tc>
      </w:tr>
      <w:tr w:rsidR="00E25CC6" w:rsidRPr="00D2618F" w:rsidTr="00EC1940">
        <w:trPr>
          <w:cantSplit/>
        </w:trPr>
        <w:tc>
          <w:tcPr>
            <w:tcW w:w="7767" w:type="dxa"/>
            <w:gridSpan w:val="6"/>
            <w:tcBorders>
              <w:top w:val="single" w:sz="6" w:space="0" w:color="auto"/>
              <w:left w:val="nil"/>
              <w:bottom w:val="nil"/>
              <w:right w:val="nil"/>
            </w:tcBorders>
          </w:tcPr>
          <w:p w:rsidR="00E25CC6" w:rsidRPr="00D2618F" w:rsidRDefault="00E25CC6" w:rsidP="00D2618F">
            <w:pPr>
              <w:pStyle w:val="OGHeading2"/>
              <w:rPr>
                <w:lang w:eastAsia="en-AU"/>
              </w:rPr>
            </w:pPr>
            <w:r w:rsidRPr="00D2618F">
              <w:rPr>
                <w:lang w:eastAsia="en-AU"/>
              </w:rPr>
              <w:t xml:space="preserve">Creative Industries Portfolio Agencies </w:t>
            </w:r>
          </w:p>
        </w:tc>
      </w:tr>
      <w:tr w:rsidR="00E25CC6" w:rsidRPr="00D2618F" w:rsidTr="00D2618F">
        <w:trPr>
          <w:cantSplit/>
        </w:trPr>
        <w:tc>
          <w:tcPr>
            <w:tcW w:w="7767" w:type="dxa"/>
            <w:gridSpan w:val="6"/>
            <w:tcBorders>
              <w:top w:val="nil"/>
              <w:left w:val="nil"/>
              <w:bottom w:val="single" w:sz="6" w:space="0" w:color="auto"/>
              <w:right w:val="nil"/>
            </w:tcBorders>
          </w:tcPr>
          <w:p w:rsidR="00E25CC6" w:rsidRPr="00D2618F" w:rsidRDefault="00E25CC6" w:rsidP="00215C84">
            <w:pPr>
              <w:pStyle w:val="OGText"/>
            </w:pPr>
            <w:r w:rsidRPr="00D2618F">
              <w:t>This output promotes, presents and preserves our heritage and the creative industries through Victoria</w:t>
            </w:r>
            <w:r>
              <w:t>’</w:t>
            </w:r>
            <w:r w:rsidRPr="00D2618F">
              <w:t xml:space="preserve">s cultural agencies: Arts Centre Melbourne, Australian Centre for the Moving Image (ACMI), Docklands Studios Melbourne, Film Victoria, Geelong Performing Arts Centre, Melbourne Recital Centre, Museum Victoria, National Gallery of Victoria, and the State Library of Victoria. </w:t>
            </w:r>
          </w:p>
        </w:tc>
      </w:tr>
      <w:tr w:rsidR="00E25CC6" w:rsidRPr="00D2618F" w:rsidTr="00D2618F">
        <w:trPr>
          <w:cantSplit/>
        </w:trPr>
        <w:tc>
          <w:tcPr>
            <w:tcW w:w="3146" w:type="dxa"/>
            <w:tcBorders>
              <w:top w:val="nil"/>
              <w:left w:val="nil"/>
              <w:bottom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CF3B43">
        <w:trPr>
          <w:cantSplit/>
        </w:trPr>
        <w:tc>
          <w:tcPr>
            <w:tcW w:w="3146" w:type="dxa"/>
            <w:tcBorders>
              <w:top w:val="nil"/>
              <w:left w:val="nil"/>
              <w:right w:val="nil"/>
            </w:tcBorders>
          </w:tcPr>
          <w:p w:rsidR="00E25CC6" w:rsidRPr="00D2618F" w:rsidRDefault="00E25CC6" w:rsidP="00D2618F">
            <w:pPr>
              <w:pStyle w:val="OGTabText"/>
              <w:rPr>
                <w:lang w:eastAsia="en-AU"/>
              </w:rPr>
            </w:pPr>
            <w:r w:rsidRPr="00D2618F">
              <w:rPr>
                <w:lang w:eastAsia="en-AU"/>
              </w:rPr>
              <w:t>Agency website visitation</w:t>
            </w:r>
          </w:p>
        </w:tc>
        <w:tc>
          <w:tcPr>
            <w:tcW w:w="907" w:type="dxa"/>
            <w:tcBorders>
              <w:top w:val="nil"/>
              <w:left w:val="nil"/>
              <w:right w:val="nil"/>
            </w:tcBorders>
          </w:tcPr>
          <w:p w:rsidR="00E25CC6" w:rsidRPr="00D2618F" w:rsidRDefault="00E25CC6" w:rsidP="0040170D">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number </w:t>
            </w:r>
            <w:r w:rsidRPr="0040170D">
              <w:rPr>
                <w:rFonts w:ascii="Calibri" w:hAnsi="Calibri" w:cs="Calibri"/>
                <w:color w:val="000000"/>
                <w:sz w:val="19"/>
                <w:szCs w:val="19"/>
                <w:lang w:eastAsia="en-AU"/>
              </w:rPr>
              <w:t>(000)</w:t>
            </w:r>
          </w:p>
        </w:tc>
        <w:tc>
          <w:tcPr>
            <w:tcW w:w="907" w:type="dxa"/>
            <w:tcBorders>
              <w:top w:val="nil"/>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14 500</w:t>
            </w:r>
          </w:p>
        </w:tc>
        <w:tc>
          <w:tcPr>
            <w:tcW w:w="992"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16 277</w:t>
            </w:r>
          </w:p>
        </w:tc>
        <w:tc>
          <w:tcPr>
            <w:tcW w:w="907"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13 930</w:t>
            </w:r>
          </w:p>
        </w:tc>
        <w:tc>
          <w:tcPr>
            <w:tcW w:w="908"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17 034</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657DBC" w:rsidRDefault="00E25CC6" w:rsidP="00D2618F">
            <w:pPr>
              <w:pStyle w:val="OGNotes"/>
              <w:rPr>
                <w:color w:val="0070C0"/>
              </w:rPr>
            </w:pPr>
            <w:r w:rsidRPr="0065171C">
              <w:t>The 2015</w:t>
            </w:r>
            <w:r w:rsidRPr="0065171C">
              <w:noBreakHyphen/>
              <w:t>16 expected outcome is higher than the 2015</w:t>
            </w:r>
            <w:r w:rsidRPr="0065171C">
              <w:noBreakHyphen/>
              <w:t>16 target due to various factors, including the State Library</w:t>
            </w:r>
            <w:r>
              <w:t>’</w:t>
            </w:r>
            <w:r w:rsidRPr="0065171C">
              <w:t>s redevelopment of their website last year, an increase in online programming and online bookings.</w:t>
            </w:r>
            <w:r>
              <w:rPr>
                <w:color w:val="0070C0"/>
              </w:rPr>
              <w:t xml:space="preserve"> </w:t>
            </w:r>
          </w:p>
          <w:p w:rsidR="00E25CC6" w:rsidRPr="00781CAC" w:rsidRDefault="00E25CC6" w:rsidP="00D2618F">
            <w:pPr>
              <w:pStyle w:val="OGNotes"/>
            </w:pPr>
            <w:r w:rsidRPr="00781CAC">
              <w:t>The higher 2016</w:t>
            </w:r>
            <w:r w:rsidRPr="00781CAC">
              <w:noBreakHyphen/>
              <w:t xml:space="preserve">17 target reflects an ongoing strong uptake of online sales, resources and services across all agencies due to programming and the digitisation of collections. </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Access: agency website visitation</w:t>
            </w:r>
            <w:r>
              <w:t>’</w:t>
            </w:r>
            <w:r w:rsidRPr="00D2618F">
              <w:t>. The new measure reports on the same activity as the previous measure however has been</w:t>
            </w:r>
            <w:r>
              <w:t xml:space="preserve"> amended for increased clarity.</w:t>
            </w:r>
            <w:r w:rsidRPr="00D2618F">
              <w:t xml:space="preserve"> </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Users/attendances at all agencies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number </w:t>
            </w:r>
            <w:r w:rsidRPr="0040170D">
              <w:rPr>
                <w:rFonts w:ascii="Calibri" w:hAnsi="Calibri" w:cs="Calibri"/>
                <w:color w:val="000000"/>
                <w:sz w:val="19"/>
                <w:szCs w:val="19"/>
                <w:lang w:eastAsia="en-AU"/>
              </w:rPr>
              <w:t>(000)</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9 000</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9 743</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8 800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10 189</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2015</w:t>
            </w:r>
            <w:r w:rsidRPr="00804F7C">
              <w:noBreakHyphen/>
            </w:r>
            <w:r w:rsidRPr="00D2618F">
              <w:t xml:space="preserve">16 </w:t>
            </w:r>
            <w:r w:rsidRPr="00804F7C">
              <w:t>expected outcome</w:t>
            </w:r>
            <w:r w:rsidRPr="00D2618F">
              <w:t xml:space="preserve"> is higher than the 2015</w:t>
            </w:r>
            <w:r w:rsidRPr="00804F7C">
              <w:noBreakHyphen/>
            </w:r>
            <w:r w:rsidRPr="00D2618F">
              <w:t xml:space="preserve">16 </w:t>
            </w:r>
            <w:r w:rsidRPr="00804F7C">
              <w:t>target</w:t>
            </w:r>
            <w:r w:rsidRPr="00D2618F">
              <w:t xml:space="preserve"> due to various factors, including ACMI</w:t>
            </w:r>
            <w:r>
              <w:t>’</w:t>
            </w:r>
            <w:r w:rsidRPr="00D2618F">
              <w:t>s opening of the entrance at Flinders Street and the success of its shows, as well as the new and diverse programs being offered at the National Gallery of Victoria and the State Library of Victoria.</w:t>
            </w:r>
          </w:p>
          <w:p w:rsidR="00E25CC6" w:rsidRPr="00D2618F" w:rsidRDefault="00E25CC6" w:rsidP="00D2618F">
            <w:pPr>
              <w:pStyle w:val="OGNotes"/>
            </w:pPr>
            <w:r w:rsidRPr="00D2618F">
              <w:t>The higher 2016</w:t>
            </w:r>
            <w:r w:rsidRPr="00804F7C">
              <w:noBreakHyphen/>
            </w:r>
            <w:r w:rsidRPr="00D2618F">
              <w:t xml:space="preserve">17 </w:t>
            </w:r>
            <w:r w:rsidRPr="00804F7C">
              <w:t>target</w:t>
            </w:r>
            <w:r w:rsidRPr="00D2618F">
              <w:t xml:space="preserve"> reflects an anticipated strong attendance at successful major exhibitions and an increase in the audience base due to providing diverse programming and services.</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Access: users/attendances at all agencies</w:t>
            </w:r>
            <w:r>
              <w:t>’</w:t>
            </w:r>
            <w:r w:rsidRPr="00D2618F">
              <w:t>. The new measure reports on the same activity as the previous measure however has been</w:t>
            </w:r>
            <w:r>
              <w:t xml:space="preserve"> amended for increased clarity.</w:t>
            </w:r>
            <w:r w:rsidRPr="00D2618F">
              <w:t xml:space="preserve"> </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Additional employment from production supported by Film Victoria</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7 500</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8 232</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7 500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6 556</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2015</w:t>
            </w:r>
            <w:r w:rsidRPr="00804F7C">
              <w:noBreakHyphen/>
            </w:r>
            <w:r w:rsidRPr="00D2618F">
              <w:t xml:space="preserve">16 </w:t>
            </w:r>
            <w:r w:rsidRPr="00804F7C">
              <w:t>expected outcome</w:t>
            </w:r>
            <w:r w:rsidRPr="00D2618F">
              <w:t xml:space="preserve"> is higher than the 2015</w:t>
            </w:r>
            <w:r w:rsidRPr="00804F7C">
              <w:noBreakHyphen/>
            </w:r>
            <w:r w:rsidRPr="00D2618F">
              <w:t xml:space="preserve">16 </w:t>
            </w:r>
            <w:r w:rsidRPr="00804F7C">
              <w:t>target</w:t>
            </w:r>
            <w:r w:rsidRPr="00D2618F">
              <w:t xml:space="preserve"> due to a higher number of games projects commencing production in 2015</w:t>
            </w:r>
            <w:r w:rsidRPr="00804F7C">
              <w:noBreakHyphen/>
            </w:r>
            <w:r w:rsidRPr="00D2618F">
              <w:t>16.</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Members and friends of agencies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6E7D27">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45 000</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48 860</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43 000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48 539</w:t>
            </w:r>
          </w:p>
        </w:tc>
      </w:tr>
      <w:tr w:rsidR="00E25CC6" w:rsidRPr="00D2618F" w:rsidTr="00CF3B43">
        <w:trPr>
          <w:cantSplit/>
        </w:trPr>
        <w:tc>
          <w:tcPr>
            <w:tcW w:w="7767" w:type="dxa"/>
            <w:gridSpan w:val="6"/>
            <w:tcBorders>
              <w:top w:val="nil"/>
              <w:left w:val="nil"/>
              <w:bottom w:val="single" w:sz="6" w:space="0" w:color="auto"/>
              <w:right w:val="nil"/>
            </w:tcBorders>
          </w:tcPr>
          <w:p w:rsidR="00E25CC6" w:rsidRDefault="00E25CC6" w:rsidP="00D2618F">
            <w:pPr>
              <w:pStyle w:val="OGNotes"/>
            </w:pPr>
            <w:r w:rsidRPr="00D2618F">
              <w:t>The 2015</w:t>
            </w:r>
            <w:r w:rsidRPr="00804F7C">
              <w:noBreakHyphen/>
            </w:r>
            <w:r w:rsidRPr="00D2618F">
              <w:t xml:space="preserve">16 </w:t>
            </w:r>
            <w:r w:rsidRPr="00804F7C">
              <w:t>expected outcome</w:t>
            </w:r>
            <w:r w:rsidRPr="00D2618F">
              <w:t xml:space="preserve"> is higher than the 2015</w:t>
            </w:r>
            <w:r w:rsidRPr="00804F7C">
              <w:noBreakHyphen/>
            </w:r>
            <w:r w:rsidRPr="00D2618F">
              <w:t xml:space="preserve">16 </w:t>
            </w:r>
            <w:r w:rsidRPr="00804F7C">
              <w:t>target</w:t>
            </w:r>
            <w:r w:rsidRPr="00D2618F">
              <w:t xml:space="preserve"> due to concentrated effort by agencies to retain current members and attract new members.</w:t>
            </w:r>
          </w:p>
          <w:p w:rsidR="00E25CC6" w:rsidRPr="00D2618F" w:rsidRDefault="00E25CC6" w:rsidP="00D2618F">
            <w:pPr>
              <w:pStyle w:val="OGNotes"/>
            </w:pPr>
            <w:r w:rsidRPr="00F76830">
              <w:t>The higher 2016-17 target reflects the expected popularity of programming and exhibitions, and the concentrated effort by agencies to retain current members and attract new members.</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Community engagement: members and friends of agencies</w:t>
            </w:r>
            <w:r>
              <w:t>’</w:t>
            </w:r>
            <w:r w:rsidRPr="00D2618F">
              <w:t>. The new measure reports on the same activity as the previous measure however has been</w:t>
            </w:r>
            <w:r>
              <w:t xml:space="preserve"> amended for increased clarity.</w:t>
            </w:r>
            <w:r w:rsidRPr="00D2618F">
              <w:t xml:space="preserve"> </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Volunteer hours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90 500</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93 550</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90 500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103 686</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Community engagement: volunteer hours</w:t>
            </w:r>
            <w:r>
              <w:t>’</w:t>
            </w:r>
            <w:r w:rsidRPr="00D2618F">
              <w:t>. The new measure reports on the same activity as the previous measure however has been amended for increased clarity.</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Students participating in agency education programs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500 000</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524 319</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500 000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575 653</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Education: students participating in agency education programs</w:t>
            </w:r>
            <w:r>
              <w:t>’</w:t>
            </w:r>
            <w:r w:rsidRPr="00D2618F">
              <w:t>. The new measure reports on the same activity as the previous measure however has been amended for increased clarity.</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 xml:space="preserve">Value of film, television and digital media production supported by Film Victoria </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million</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173</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168</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173</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173</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2015</w:t>
            </w:r>
            <w:r w:rsidRPr="00804F7C">
              <w:noBreakHyphen/>
            </w:r>
            <w:r w:rsidRPr="00D2618F">
              <w:t xml:space="preserve">16 </w:t>
            </w:r>
            <w:r w:rsidRPr="00804F7C">
              <w:t>expected outcome</w:t>
            </w:r>
            <w:r w:rsidRPr="00D2618F">
              <w:t xml:space="preserve"> is lower than the 2015</w:t>
            </w:r>
            <w:r w:rsidRPr="00804F7C">
              <w:noBreakHyphen/>
            </w:r>
            <w:r w:rsidRPr="00D2618F">
              <w:t xml:space="preserve">16 </w:t>
            </w:r>
            <w:r w:rsidRPr="00804F7C">
              <w:t>target</w:t>
            </w:r>
            <w:r w:rsidRPr="00D2618F">
              <w:t xml:space="preserve"> due to several projects commencing later than expected.</w:t>
            </w:r>
          </w:p>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Value of film, television and digital media production supported by Film Victoria production</w:t>
            </w:r>
            <w:r>
              <w:t>’</w:t>
            </w:r>
            <w:r w:rsidRPr="00D2618F">
              <w:t>. The new measure reports on the same activity as the previous measure however has been amended f</w:t>
            </w:r>
            <w:r>
              <w:t>or increased clarity.</w:t>
            </w:r>
            <w:r w:rsidRPr="00D2618F">
              <w:t xml:space="preserve"> </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CF3B43">
        <w:trPr>
          <w:cantSplit/>
        </w:trPr>
        <w:tc>
          <w:tcPr>
            <w:tcW w:w="3146" w:type="dxa"/>
            <w:tcBorders>
              <w:top w:val="nil"/>
              <w:left w:val="nil"/>
              <w:bottom w:val="single" w:sz="6" w:space="0" w:color="auto"/>
              <w:right w:val="nil"/>
            </w:tcBorders>
          </w:tcPr>
          <w:p w:rsidR="00E25CC6" w:rsidRPr="00D2618F" w:rsidRDefault="00E25CC6" w:rsidP="00D2618F">
            <w:pPr>
              <w:pStyle w:val="OGTabText"/>
              <w:rPr>
                <w:lang w:eastAsia="en-AU"/>
              </w:rPr>
            </w:pPr>
            <w:r w:rsidRPr="00D2618F">
              <w:rPr>
                <w:lang w:eastAsia="en-AU"/>
              </w:rPr>
              <w:t>Agency collections storage meeting industry standard</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86</w:t>
            </w:r>
          </w:p>
        </w:tc>
        <w:tc>
          <w:tcPr>
            <w:tcW w:w="992"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86</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86</w:t>
            </w:r>
          </w:p>
        </w:tc>
        <w:tc>
          <w:tcPr>
            <w:tcW w:w="908"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84</w:t>
            </w:r>
          </w:p>
        </w:tc>
      </w:tr>
      <w:tr w:rsidR="00E25CC6" w:rsidRPr="00D2618F" w:rsidTr="00CF3B43">
        <w:trPr>
          <w:cantSplit/>
        </w:trPr>
        <w:tc>
          <w:tcPr>
            <w:tcW w:w="3146" w:type="dxa"/>
            <w:tcBorders>
              <w:top w:val="single" w:sz="6" w:space="0" w:color="auto"/>
              <w:left w:val="nil"/>
              <w:bottom w:val="single" w:sz="6" w:space="0" w:color="auto"/>
              <w:right w:val="nil"/>
            </w:tcBorders>
          </w:tcPr>
          <w:p w:rsidR="00E25CC6" w:rsidRPr="00D2618F" w:rsidRDefault="00E25CC6" w:rsidP="00D2618F">
            <w:pPr>
              <w:pStyle w:val="OGTabText"/>
              <w:rPr>
                <w:lang w:eastAsia="en-AU"/>
              </w:rPr>
            </w:pPr>
            <w:r w:rsidRPr="00D2618F">
              <w:rPr>
                <w:lang w:eastAsia="en-AU"/>
              </w:rPr>
              <w:t>Visitors satisfied with visit: Australian Centre for the Moving Image</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92</w:t>
            </w:r>
          </w:p>
        </w:tc>
        <w:tc>
          <w:tcPr>
            <w:tcW w:w="992"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95</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92</w:t>
            </w:r>
          </w:p>
        </w:tc>
        <w:tc>
          <w:tcPr>
            <w:tcW w:w="908"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96</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Visitors satisfied with visit: Geelong Performing Arts Centre</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98</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98</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96</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2015</w:t>
            </w:r>
            <w:r w:rsidRPr="00804F7C">
              <w:noBreakHyphen/>
            </w:r>
            <w:r w:rsidRPr="00D2618F">
              <w:t xml:space="preserve">16 </w:t>
            </w:r>
            <w:r w:rsidRPr="00804F7C">
              <w:t>expected outcome</w:t>
            </w:r>
            <w:r w:rsidRPr="00D2618F">
              <w:t xml:space="preserve"> is lower than the 2015</w:t>
            </w:r>
            <w:r w:rsidRPr="00804F7C">
              <w:noBreakHyphen/>
            </w:r>
            <w:r w:rsidRPr="00D2618F">
              <w:t xml:space="preserve">16 </w:t>
            </w:r>
            <w:r w:rsidRPr="00804F7C">
              <w:t>target</w:t>
            </w:r>
            <w:r w:rsidRPr="00D2618F">
              <w:t xml:space="preserve"> due to deteriorating facilities which the </w:t>
            </w:r>
            <w:r>
              <w:t>Geelong Performing Arts Centre R</w:t>
            </w:r>
            <w:r w:rsidRPr="00D2618F">
              <w:t xml:space="preserve">edevelopment project is expected to rectify. </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Visitors satisfied with visit: Melbourne Recital Centre</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92</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98</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92</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98</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The 2015</w:t>
            </w:r>
            <w:r w:rsidRPr="00804F7C">
              <w:noBreakHyphen/>
            </w:r>
            <w:r w:rsidRPr="00D2618F">
              <w:t xml:space="preserve">16 </w:t>
            </w:r>
            <w:r w:rsidRPr="00804F7C">
              <w:t>expected outcome</w:t>
            </w:r>
            <w:r w:rsidRPr="00D2618F">
              <w:t xml:space="preserve"> is higher than the 2015</w:t>
            </w:r>
            <w:r w:rsidRPr="00804F7C">
              <w:noBreakHyphen/>
            </w:r>
            <w:r w:rsidRPr="00D2618F">
              <w:t xml:space="preserve">16 </w:t>
            </w:r>
            <w:r w:rsidRPr="00804F7C">
              <w:t>target</w:t>
            </w:r>
            <w:r w:rsidRPr="00D2618F">
              <w:t xml:space="preserve"> due to improvements in the Centre</w:t>
            </w:r>
            <w:r>
              <w:t>’</w:t>
            </w:r>
            <w:r w:rsidRPr="00D2618F">
              <w:t>s front of house, communications and customer service as well as programming which has been well received.</w:t>
            </w:r>
          </w:p>
        </w:tc>
      </w:tr>
      <w:tr w:rsidR="00E25CC6" w:rsidRPr="00D2618F" w:rsidTr="00CF3B43">
        <w:trPr>
          <w:cantSplit/>
        </w:trPr>
        <w:tc>
          <w:tcPr>
            <w:tcW w:w="3146" w:type="dxa"/>
            <w:tcBorders>
              <w:top w:val="single" w:sz="6" w:space="0" w:color="auto"/>
              <w:left w:val="nil"/>
              <w:bottom w:val="single" w:sz="6" w:space="0" w:color="auto"/>
              <w:right w:val="nil"/>
            </w:tcBorders>
          </w:tcPr>
          <w:p w:rsidR="00E25CC6" w:rsidRPr="00D2618F" w:rsidRDefault="00E25CC6" w:rsidP="00D2618F">
            <w:pPr>
              <w:pStyle w:val="OGTabText"/>
              <w:rPr>
                <w:lang w:eastAsia="en-AU"/>
              </w:rPr>
            </w:pPr>
            <w:r w:rsidRPr="00D2618F">
              <w:rPr>
                <w:lang w:eastAsia="en-AU"/>
              </w:rPr>
              <w:t>Visitors satisfied with visit: Museum Victoria</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8"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92</w:t>
            </w:r>
          </w:p>
        </w:tc>
      </w:tr>
      <w:tr w:rsidR="00E25CC6" w:rsidRPr="00D2618F" w:rsidTr="00CF3B43">
        <w:trPr>
          <w:cantSplit/>
        </w:trPr>
        <w:tc>
          <w:tcPr>
            <w:tcW w:w="3146" w:type="dxa"/>
            <w:tcBorders>
              <w:top w:val="single" w:sz="6" w:space="0" w:color="auto"/>
              <w:left w:val="nil"/>
              <w:bottom w:val="single" w:sz="6" w:space="0" w:color="auto"/>
              <w:right w:val="nil"/>
            </w:tcBorders>
          </w:tcPr>
          <w:p w:rsidR="00E25CC6" w:rsidRPr="00D2618F" w:rsidRDefault="00E25CC6" w:rsidP="00D2618F">
            <w:pPr>
              <w:pStyle w:val="OGTabText"/>
              <w:rPr>
                <w:lang w:eastAsia="en-AU"/>
              </w:rPr>
            </w:pPr>
            <w:r w:rsidRPr="00D2618F">
              <w:rPr>
                <w:lang w:eastAsia="en-AU"/>
              </w:rPr>
              <w:t>Visitors satisfied with visit: National Gallery of Victoria</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95</w:t>
            </w:r>
          </w:p>
        </w:tc>
        <w:tc>
          <w:tcPr>
            <w:tcW w:w="992"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97</w:t>
            </w:r>
          </w:p>
        </w:tc>
        <w:tc>
          <w:tcPr>
            <w:tcW w:w="907"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95</w:t>
            </w:r>
          </w:p>
        </w:tc>
        <w:tc>
          <w:tcPr>
            <w:tcW w:w="908" w:type="dxa"/>
            <w:tcBorders>
              <w:top w:val="single" w:sz="6" w:space="0" w:color="auto"/>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98</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Visitors satisfied with visit: State Library of Victoria</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86</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83</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370CB4">
            <w:pPr>
              <w:pStyle w:val="OGNotes"/>
            </w:pPr>
            <w:r w:rsidRPr="00D2618F">
              <w:t>The 2015</w:t>
            </w:r>
            <w:r w:rsidRPr="00804F7C">
              <w:noBreakHyphen/>
            </w:r>
            <w:r w:rsidRPr="00D2618F">
              <w:t xml:space="preserve">16 </w:t>
            </w:r>
            <w:r w:rsidRPr="00804F7C">
              <w:t>expected outcome</w:t>
            </w:r>
            <w:r w:rsidRPr="00D2618F">
              <w:t xml:space="preserve"> is lower than the 2015</w:t>
            </w:r>
            <w:r w:rsidRPr="00804F7C">
              <w:noBreakHyphen/>
            </w:r>
            <w:r w:rsidRPr="00D2618F">
              <w:t xml:space="preserve">16 </w:t>
            </w:r>
            <w:r w:rsidRPr="00804F7C">
              <w:t>target</w:t>
            </w:r>
            <w:r w:rsidRPr="00D2618F">
              <w:t xml:space="preserve"> due to overcrowding, overuse of </w:t>
            </w:r>
            <w:r>
              <w:t xml:space="preserve">facilities and poor wayfinding. </w:t>
            </w:r>
            <w:r w:rsidRPr="00D2618F">
              <w:t xml:space="preserve">The State Library of Victoria redevelopment project is </w:t>
            </w:r>
            <w:r>
              <w:t>expected to rectify this issue.</w:t>
            </w:r>
            <w:r w:rsidRPr="00D2618F">
              <w:t xml:space="preserve"> </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pStyle w:val="OGTabText"/>
              <w:rPr>
                <w:lang w:eastAsia="en-AU"/>
              </w:rPr>
            </w:pPr>
            <w:r w:rsidRPr="00D2618F">
              <w:rPr>
                <w:lang w:eastAsia="en-AU"/>
              </w:rPr>
              <w:t>Visitors satisfied with visit: Arts Centre Melbourne</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95</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95</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95</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94</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D2618F" w:rsidRDefault="00E25CC6" w:rsidP="00D2618F">
            <w:pPr>
              <w:pStyle w:val="OGNotes"/>
            </w:pPr>
            <w:r w:rsidRPr="00D2618F">
              <w:t>This performance measure renames the 2015</w:t>
            </w:r>
            <w:r w:rsidRPr="00804F7C">
              <w:noBreakHyphen/>
            </w:r>
            <w:r w:rsidRPr="00D2618F">
              <w:t xml:space="preserve">16 performance measure </w:t>
            </w:r>
            <w:r>
              <w:t>‘</w:t>
            </w:r>
            <w:r w:rsidRPr="00D2618F">
              <w:t>Visitors satisfied with visit: Victorian Arts Centre</w:t>
            </w:r>
            <w:r>
              <w:t>’</w:t>
            </w:r>
            <w:r w:rsidRPr="00D2618F">
              <w:t>. The new measure reports on the same activity as the previous measure however has been am</w:t>
            </w:r>
            <w:r>
              <w:t xml:space="preserve">ended due to the </w:t>
            </w:r>
            <w:r w:rsidRPr="00781CAC">
              <w:t xml:space="preserve">official renaming of the </w:t>
            </w:r>
            <w:r w:rsidRPr="00D2618F">
              <w:t>Victorian Arts Centre to Arts Centre Melbourne.</w:t>
            </w:r>
          </w:p>
        </w:tc>
      </w:tr>
      <w:tr w:rsidR="00E25CC6" w:rsidRPr="00D2618F" w:rsidTr="00CF3B43">
        <w:trPr>
          <w:cantSplit/>
        </w:trPr>
        <w:tc>
          <w:tcPr>
            <w:tcW w:w="3146" w:type="dxa"/>
            <w:tcBorders>
              <w:top w:val="single" w:sz="6" w:space="0" w:color="auto"/>
              <w:left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CF3B43">
        <w:trPr>
          <w:cantSplit/>
        </w:trPr>
        <w:tc>
          <w:tcPr>
            <w:tcW w:w="3146" w:type="dxa"/>
            <w:tcBorders>
              <w:top w:val="nil"/>
              <w:left w:val="nil"/>
              <w:bottom w:val="single" w:sz="6" w:space="0" w:color="auto"/>
              <w:right w:val="nil"/>
            </w:tcBorders>
          </w:tcPr>
          <w:p w:rsidR="00E25CC6" w:rsidRPr="00D2618F" w:rsidRDefault="00E25CC6" w:rsidP="00D2618F">
            <w:pPr>
              <w:pStyle w:val="OGTabText"/>
              <w:rPr>
                <w:lang w:eastAsia="en-AU"/>
              </w:rPr>
            </w:pPr>
            <w:r w:rsidRPr="00D2618F">
              <w:rPr>
                <w:lang w:eastAsia="en-AU"/>
              </w:rPr>
              <w:t>Arts portfolio public body annual reports tabled in Parliament by the required statutory dates</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100</w:t>
            </w:r>
          </w:p>
        </w:tc>
      </w:tr>
      <w:tr w:rsidR="00E25CC6" w:rsidRPr="00D2618F" w:rsidTr="00CF3B43">
        <w:trPr>
          <w:cantSplit/>
        </w:trPr>
        <w:tc>
          <w:tcPr>
            <w:tcW w:w="3146" w:type="dxa"/>
            <w:tcBorders>
              <w:top w:val="single" w:sz="6" w:space="0" w:color="auto"/>
              <w:left w:val="nil"/>
              <w:bottom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215C84">
        <w:trPr>
          <w:cantSplit/>
        </w:trPr>
        <w:tc>
          <w:tcPr>
            <w:tcW w:w="3146" w:type="dxa"/>
            <w:tcBorders>
              <w:top w:val="nil"/>
              <w:left w:val="nil"/>
              <w:right w:val="nil"/>
            </w:tcBorders>
          </w:tcPr>
          <w:p w:rsidR="00E25CC6" w:rsidRPr="00D2618F" w:rsidRDefault="00E25CC6" w:rsidP="00D2618F">
            <w:pPr>
              <w:pStyle w:val="OGTabText"/>
              <w:rPr>
                <w:lang w:eastAsia="en-AU"/>
              </w:rPr>
            </w:pPr>
            <w:r w:rsidRPr="00D2618F">
              <w:rPr>
                <w:lang w:eastAsia="en-AU"/>
              </w:rPr>
              <w:t>Total output cost</w:t>
            </w:r>
          </w:p>
        </w:tc>
        <w:tc>
          <w:tcPr>
            <w:tcW w:w="907" w:type="dxa"/>
            <w:tcBorders>
              <w:top w:val="nil"/>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328.8</w:t>
            </w:r>
          </w:p>
        </w:tc>
        <w:tc>
          <w:tcPr>
            <w:tcW w:w="992"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328.9</w:t>
            </w:r>
          </w:p>
        </w:tc>
        <w:tc>
          <w:tcPr>
            <w:tcW w:w="907"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337.0</w:t>
            </w:r>
          </w:p>
        </w:tc>
        <w:tc>
          <w:tcPr>
            <w:tcW w:w="908"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343.1</w:t>
            </w:r>
          </w:p>
        </w:tc>
      </w:tr>
      <w:tr w:rsidR="00E25CC6" w:rsidRPr="00D2618F" w:rsidTr="00215C84">
        <w:trPr>
          <w:cantSplit/>
        </w:trPr>
        <w:tc>
          <w:tcPr>
            <w:tcW w:w="7767" w:type="dxa"/>
            <w:gridSpan w:val="6"/>
            <w:tcBorders>
              <w:top w:val="nil"/>
              <w:left w:val="nil"/>
              <w:bottom w:val="single" w:sz="6" w:space="0" w:color="auto"/>
              <w:right w:val="nil"/>
            </w:tcBorders>
          </w:tcPr>
          <w:p w:rsidR="00E25CC6" w:rsidRPr="00781CAC" w:rsidRDefault="00E25CC6" w:rsidP="00237057">
            <w:pPr>
              <w:pStyle w:val="OGNotes"/>
            </w:pPr>
            <w:r w:rsidRPr="00781CAC">
              <w:t>The lower 2016</w:t>
            </w:r>
            <w:r w:rsidRPr="00781CAC">
              <w:noBreakHyphen/>
              <w:t>17 target primarily reflects a reduction in depreciation expenditure following the revaluation of assets.</w:t>
            </w:r>
          </w:p>
          <w:p w:rsidR="00E25CC6" w:rsidRPr="00D2618F" w:rsidRDefault="00E25CC6" w:rsidP="009D74DE">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D2618F" w:rsidTr="00215C84">
        <w:trPr>
          <w:cantSplit/>
        </w:trPr>
        <w:tc>
          <w:tcPr>
            <w:tcW w:w="7767" w:type="dxa"/>
            <w:gridSpan w:val="6"/>
            <w:tcBorders>
              <w:top w:val="single" w:sz="6" w:space="0" w:color="auto"/>
              <w:left w:val="nil"/>
              <w:bottom w:val="nil"/>
              <w:right w:val="nil"/>
            </w:tcBorders>
          </w:tcPr>
          <w:p w:rsidR="00E25CC6" w:rsidRPr="00D2618F" w:rsidRDefault="00E25CC6" w:rsidP="00D2618F">
            <w:pPr>
              <w:pStyle w:val="OGHeading2"/>
              <w:rPr>
                <w:lang w:eastAsia="en-AU"/>
              </w:rPr>
            </w:pPr>
            <w:r w:rsidRPr="00D2618F">
              <w:rPr>
                <w:lang w:eastAsia="en-AU"/>
              </w:rPr>
              <w:t xml:space="preserve">Cultural Infrastructure and Facilities </w:t>
            </w:r>
          </w:p>
        </w:tc>
      </w:tr>
      <w:tr w:rsidR="00E25CC6" w:rsidRPr="00D2618F" w:rsidTr="00D2618F">
        <w:trPr>
          <w:cantSplit/>
        </w:trPr>
        <w:tc>
          <w:tcPr>
            <w:tcW w:w="7767" w:type="dxa"/>
            <w:gridSpan w:val="6"/>
            <w:tcBorders>
              <w:top w:val="nil"/>
              <w:left w:val="nil"/>
              <w:bottom w:val="single" w:sz="6" w:space="0" w:color="auto"/>
              <w:right w:val="nil"/>
            </w:tcBorders>
          </w:tcPr>
          <w:p w:rsidR="00E25CC6" w:rsidRPr="00D2618F" w:rsidRDefault="00E25CC6" w:rsidP="00BF3E01">
            <w:pPr>
              <w:pStyle w:val="OGText"/>
            </w:pPr>
            <w:r w:rsidRPr="00D2618F">
              <w:t xml:space="preserve">This output supports Victorian cultural venues and stateowned facilities through strategic assessment and provision of advice on portfolio infrastructure proposals and projects. The output includes consolidation of portfolio asset management plans and management of funding programs for maintenance and minor capital works. </w:t>
            </w:r>
          </w:p>
        </w:tc>
      </w:tr>
      <w:tr w:rsidR="00E25CC6" w:rsidRPr="00D2618F" w:rsidTr="00D2618F">
        <w:trPr>
          <w:cantSplit/>
        </w:trPr>
        <w:tc>
          <w:tcPr>
            <w:tcW w:w="3146" w:type="dxa"/>
            <w:tcBorders>
              <w:top w:val="nil"/>
              <w:left w:val="nil"/>
              <w:bottom w:val="nil"/>
              <w:right w:val="nil"/>
            </w:tcBorders>
          </w:tcPr>
          <w:p w:rsidR="00E25CC6" w:rsidRPr="00D2618F" w:rsidRDefault="00E25CC6" w:rsidP="00D2618F">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CF3B43">
        <w:trPr>
          <w:cantSplit/>
        </w:trPr>
        <w:tc>
          <w:tcPr>
            <w:tcW w:w="3146" w:type="dxa"/>
            <w:tcBorders>
              <w:top w:val="nil"/>
              <w:left w:val="nil"/>
              <w:right w:val="nil"/>
            </w:tcBorders>
          </w:tcPr>
          <w:p w:rsidR="00E25CC6" w:rsidRPr="00D2618F" w:rsidRDefault="00E25CC6" w:rsidP="00D2618F">
            <w:pPr>
              <w:pStyle w:val="OGTabText"/>
              <w:rPr>
                <w:lang w:eastAsia="en-AU"/>
              </w:rPr>
            </w:pPr>
            <w:r w:rsidRPr="00D2618F">
              <w:rPr>
                <w:lang w:eastAsia="en-AU"/>
              </w:rPr>
              <w:t xml:space="preserve">All facility safety audits conducted </w:t>
            </w:r>
          </w:p>
        </w:tc>
        <w:tc>
          <w:tcPr>
            <w:tcW w:w="907" w:type="dxa"/>
            <w:tcBorders>
              <w:top w:val="nil"/>
              <w:left w:val="nil"/>
              <w:right w:val="nil"/>
            </w:tcBorders>
          </w:tcPr>
          <w:p w:rsidR="00E25CC6" w:rsidRPr="00D2618F" w:rsidRDefault="00E25CC6" w:rsidP="00D2618F">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16</w:t>
            </w:r>
          </w:p>
        </w:tc>
        <w:tc>
          <w:tcPr>
            <w:tcW w:w="992"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c>
          <w:tcPr>
            <w:tcW w:w="907"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c>
          <w:tcPr>
            <w:tcW w:w="908" w:type="dxa"/>
            <w:tcBorders>
              <w:top w:val="nil"/>
              <w:left w:val="nil"/>
              <w:right w:val="nil"/>
            </w:tcBorders>
          </w:tcPr>
          <w:p w:rsidR="00E25CC6" w:rsidRPr="00D2618F" w:rsidRDefault="00E25CC6" w:rsidP="00D2618F">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nm</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781CAC" w:rsidRDefault="00E25CC6" w:rsidP="0040170D">
            <w:pPr>
              <w:pStyle w:val="OGNotes"/>
            </w:pPr>
            <w:r w:rsidRPr="00781CAC">
              <w:t>This performance measure is proposed to consolidate the 2015</w:t>
            </w:r>
            <w:r w:rsidRPr="00781CAC">
              <w:noBreakHyphen/>
              <w:t xml:space="preserve">16 performance measures </w:t>
            </w:r>
            <w:r>
              <w:t>‘</w:t>
            </w:r>
            <w:r w:rsidRPr="00781CAC">
              <w:t>Risk management projects completed</w:t>
            </w:r>
            <w:r>
              <w:t>’</w:t>
            </w:r>
            <w:r w:rsidRPr="00781CAC">
              <w:t xml:space="preserve"> and </w:t>
            </w:r>
            <w:r>
              <w:t>‘</w:t>
            </w:r>
            <w:r w:rsidRPr="00781CAC">
              <w:t>State</w:t>
            </w:r>
            <w:r w:rsidRPr="00781CAC">
              <w:noBreakHyphen/>
              <w:t>owned cultural facilities maintained to meet service and statutory standards</w:t>
            </w:r>
            <w:r>
              <w:t>’</w:t>
            </w:r>
            <w:r w:rsidRPr="00781CAC">
              <w:t xml:space="preserve"> into a new measure for 2016</w:t>
            </w:r>
            <w:r w:rsidRPr="00781CAC">
              <w:noBreakHyphen/>
              <w:t xml:space="preserve">17. These measures have been consolidated to more accurately reflect the risk management priorities of the Department. </w:t>
            </w:r>
          </w:p>
        </w:tc>
      </w:tr>
      <w:tr w:rsidR="00E25CC6" w:rsidRPr="00D2618F" w:rsidTr="00CF3B43">
        <w:trPr>
          <w:cantSplit/>
        </w:trPr>
        <w:tc>
          <w:tcPr>
            <w:tcW w:w="3146" w:type="dxa"/>
            <w:tcBorders>
              <w:top w:val="single" w:sz="6" w:space="0" w:color="auto"/>
              <w:left w:val="nil"/>
              <w:right w:val="nil"/>
            </w:tcBorders>
          </w:tcPr>
          <w:p w:rsidR="00E25CC6" w:rsidRPr="00781CAC" w:rsidRDefault="00E25CC6" w:rsidP="00D2618F">
            <w:pPr>
              <w:pStyle w:val="OGTabText"/>
              <w:rPr>
                <w:lang w:eastAsia="en-AU"/>
              </w:rPr>
            </w:pPr>
            <w:r w:rsidRPr="00781CAC">
              <w:rPr>
                <w:lang w:eastAsia="en-AU"/>
              </w:rPr>
              <w:t>Infrastructure development projects underway</w:t>
            </w:r>
          </w:p>
        </w:tc>
        <w:tc>
          <w:tcPr>
            <w:tcW w:w="907" w:type="dxa"/>
            <w:tcBorders>
              <w:top w:val="single" w:sz="6" w:space="0" w:color="auto"/>
              <w:left w:val="nil"/>
              <w:right w:val="nil"/>
            </w:tcBorders>
          </w:tcPr>
          <w:p w:rsidR="00E25CC6" w:rsidRPr="00781CAC" w:rsidRDefault="00E25CC6" w:rsidP="00D2618F">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5</w:t>
            </w:r>
          </w:p>
        </w:tc>
        <w:tc>
          <w:tcPr>
            <w:tcW w:w="992" w:type="dxa"/>
            <w:tcBorders>
              <w:top w:val="single" w:sz="6" w:space="0" w:color="auto"/>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4</w:t>
            </w:r>
          </w:p>
        </w:tc>
        <w:tc>
          <w:tcPr>
            <w:tcW w:w="907" w:type="dxa"/>
            <w:tcBorders>
              <w:top w:val="single" w:sz="6" w:space="0" w:color="auto"/>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4</w:t>
            </w:r>
          </w:p>
        </w:tc>
        <w:tc>
          <w:tcPr>
            <w:tcW w:w="908" w:type="dxa"/>
            <w:tcBorders>
              <w:top w:val="single" w:sz="6" w:space="0" w:color="auto"/>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4</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781CAC" w:rsidRDefault="00E25CC6" w:rsidP="00D2618F">
            <w:pPr>
              <w:pStyle w:val="OGNotes"/>
            </w:pPr>
            <w:r w:rsidRPr="00781CAC">
              <w:t>The higher 2016</w:t>
            </w:r>
            <w:r w:rsidRPr="00781CAC">
              <w:noBreakHyphen/>
              <w:t xml:space="preserve">17 target reflects new funding in the </w:t>
            </w:r>
            <w:r w:rsidRPr="00781CAC">
              <w:rPr>
                <w:i w:val="0"/>
              </w:rPr>
              <w:t>2016</w:t>
            </w:r>
            <w:r w:rsidRPr="00781CAC">
              <w:rPr>
                <w:i w:val="0"/>
              </w:rPr>
              <w:noBreakHyphen/>
              <w:t>17 Budget</w:t>
            </w:r>
            <w:r w:rsidRPr="00781CAC">
              <w:t xml:space="preserve"> for the Collections Storage Victoria </w:t>
            </w:r>
            <w:r>
              <w:t xml:space="preserve">– phase 1 </w:t>
            </w:r>
            <w:r w:rsidRPr="00781CAC">
              <w:t>project.</w:t>
            </w:r>
          </w:p>
        </w:tc>
      </w:tr>
      <w:tr w:rsidR="00E25CC6" w:rsidRPr="00D2618F" w:rsidTr="00CF3B43">
        <w:trPr>
          <w:cantSplit/>
        </w:trPr>
        <w:tc>
          <w:tcPr>
            <w:tcW w:w="3146" w:type="dxa"/>
            <w:tcBorders>
              <w:top w:val="single" w:sz="6" w:space="0" w:color="auto"/>
              <w:left w:val="nil"/>
              <w:bottom w:val="nil"/>
              <w:right w:val="nil"/>
            </w:tcBorders>
          </w:tcPr>
          <w:p w:rsidR="00E25CC6" w:rsidRPr="00781CAC" w:rsidRDefault="00E25CC6" w:rsidP="00D2618F">
            <w:pPr>
              <w:autoSpaceDE w:val="0"/>
              <w:autoSpaceDN w:val="0"/>
              <w:adjustRightInd w:val="0"/>
              <w:spacing w:after="0"/>
              <w:ind w:left="227" w:hanging="227"/>
              <w:rPr>
                <w:rFonts w:ascii="Calibri" w:hAnsi="Calibri" w:cs="Calibri"/>
                <w:i/>
                <w:iCs/>
                <w:sz w:val="19"/>
                <w:szCs w:val="22"/>
                <w:lang w:eastAsia="en-AU"/>
              </w:rPr>
            </w:pPr>
            <w:r w:rsidRPr="00781CAC">
              <w:rPr>
                <w:rFonts w:ascii="Calibri" w:hAnsi="Calibri" w:cs="Calibri"/>
                <w:i/>
                <w:iCs/>
                <w:sz w:val="19"/>
                <w:szCs w:val="22"/>
                <w:lang w:eastAsia="en-AU"/>
              </w:rPr>
              <w:t>Quality</w:t>
            </w:r>
          </w:p>
        </w:tc>
        <w:tc>
          <w:tcPr>
            <w:tcW w:w="907"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8"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r>
      <w:tr w:rsidR="00E25CC6" w:rsidRPr="00D2618F" w:rsidTr="00CF3B43">
        <w:trPr>
          <w:cantSplit/>
        </w:trPr>
        <w:tc>
          <w:tcPr>
            <w:tcW w:w="3146" w:type="dxa"/>
            <w:tcBorders>
              <w:top w:val="nil"/>
              <w:left w:val="nil"/>
              <w:right w:val="nil"/>
            </w:tcBorders>
          </w:tcPr>
          <w:p w:rsidR="00E25CC6" w:rsidRPr="00781CAC" w:rsidRDefault="00E25CC6" w:rsidP="00D2618F">
            <w:pPr>
              <w:pStyle w:val="OGTabText"/>
              <w:rPr>
                <w:lang w:eastAsia="en-AU"/>
              </w:rPr>
            </w:pPr>
            <w:r w:rsidRPr="00781CAC">
              <w:rPr>
                <w:lang w:eastAsia="en-AU"/>
              </w:rPr>
              <w:t>State-owned tenanted cultural facilities maintained to agreed service standards</w:t>
            </w:r>
          </w:p>
        </w:tc>
        <w:tc>
          <w:tcPr>
            <w:tcW w:w="907" w:type="dxa"/>
            <w:tcBorders>
              <w:top w:val="nil"/>
              <w:left w:val="nil"/>
              <w:right w:val="nil"/>
            </w:tcBorders>
          </w:tcPr>
          <w:p w:rsidR="00E25CC6" w:rsidRPr="00781CAC" w:rsidRDefault="00E25CC6" w:rsidP="00D2618F">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per cent</w:t>
            </w:r>
          </w:p>
        </w:tc>
        <w:tc>
          <w:tcPr>
            <w:tcW w:w="907" w:type="dxa"/>
            <w:tcBorders>
              <w:top w:val="nil"/>
              <w:left w:val="nil"/>
              <w:right w:val="nil"/>
            </w:tcBorders>
            <w:shd w:val="clear" w:color="auto" w:fill="DCDCDC"/>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&gt;90</w:t>
            </w:r>
          </w:p>
        </w:tc>
        <w:tc>
          <w:tcPr>
            <w:tcW w:w="992" w:type="dxa"/>
            <w:tcBorders>
              <w:top w:val="nil"/>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c>
          <w:tcPr>
            <w:tcW w:w="907" w:type="dxa"/>
            <w:tcBorders>
              <w:top w:val="nil"/>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c>
          <w:tcPr>
            <w:tcW w:w="908" w:type="dxa"/>
            <w:tcBorders>
              <w:top w:val="nil"/>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781CAC" w:rsidRDefault="00E25CC6" w:rsidP="002E48DB">
            <w:pPr>
              <w:pStyle w:val="OGNotes"/>
            </w:pPr>
            <w:r w:rsidRPr="00781CAC">
              <w:t>This performance measure is proposed to replace the 2015</w:t>
            </w:r>
            <w:r w:rsidRPr="00781CAC">
              <w:noBreakHyphen/>
              <w:t xml:space="preserve">16 performance measure </w:t>
            </w:r>
            <w:r>
              <w:t>‘</w:t>
            </w:r>
            <w:r w:rsidRPr="00781CAC">
              <w:t>Success measures of projects achieved</w:t>
            </w:r>
            <w:r>
              <w:t>’</w:t>
            </w:r>
            <w:r w:rsidRPr="00781CAC">
              <w:t xml:space="preserve">. It has been replaced to more accurately reflect the asset management framework methodology. </w:t>
            </w:r>
          </w:p>
        </w:tc>
      </w:tr>
      <w:tr w:rsidR="00E25CC6" w:rsidRPr="00D2618F" w:rsidTr="00CF3B43">
        <w:trPr>
          <w:cantSplit/>
        </w:trPr>
        <w:tc>
          <w:tcPr>
            <w:tcW w:w="3146" w:type="dxa"/>
            <w:tcBorders>
              <w:top w:val="single" w:sz="6" w:space="0" w:color="auto"/>
              <w:left w:val="nil"/>
              <w:bottom w:val="nil"/>
              <w:right w:val="nil"/>
            </w:tcBorders>
          </w:tcPr>
          <w:p w:rsidR="00E25CC6" w:rsidRPr="00781CAC" w:rsidRDefault="00E25CC6" w:rsidP="00D2618F">
            <w:pPr>
              <w:autoSpaceDE w:val="0"/>
              <w:autoSpaceDN w:val="0"/>
              <w:adjustRightInd w:val="0"/>
              <w:spacing w:after="0"/>
              <w:ind w:left="227" w:hanging="227"/>
              <w:rPr>
                <w:rFonts w:ascii="Calibri" w:hAnsi="Calibri" w:cs="Calibri"/>
                <w:i/>
                <w:iCs/>
                <w:sz w:val="19"/>
                <w:szCs w:val="22"/>
                <w:lang w:eastAsia="en-AU"/>
              </w:rPr>
            </w:pPr>
            <w:r w:rsidRPr="00781CAC">
              <w:rPr>
                <w:rFonts w:ascii="Calibri" w:hAnsi="Calibri" w:cs="Calibri"/>
                <w:i/>
                <w:iCs/>
                <w:sz w:val="19"/>
                <w:szCs w:val="22"/>
                <w:lang w:eastAsia="en-AU"/>
              </w:rPr>
              <w:t>Timeliness</w:t>
            </w:r>
          </w:p>
        </w:tc>
        <w:tc>
          <w:tcPr>
            <w:tcW w:w="907"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8"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r>
      <w:tr w:rsidR="00E25CC6" w:rsidRPr="00D2618F" w:rsidTr="00CF3B43">
        <w:trPr>
          <w:cantSplit/>
        </w:trPr>
        <w:tc>
          <w:tcPr>
            <w:tcW w:w="3146" w:type="dxa"/>
            <w:tcBorders>
              <w:top w:val="nil"/>
              <w:left w:val="nil"/>
              <w:right w:val="nil"/>
            </w:tcBorders>
          </w:tcPr>
          <w:p w:rsidR="00E25CC6" w:rsidRPr="00781CAC" w:rsidRDefault="00E25CC6" w:rsidP="00D2618F">
            <w:pPr>
              <w:pStyle w:val="OGTabText"/>
              <w:rPr>
                <w:lang w:eastAsia="en-AU"/>
              </w:rPr>
            </w:pPr>
            <w:r w:rsidRPr="00781CAC">
              <w:rPr>
                <w:lang w:eastAsia="en-AU"/>
              </w:rPr>
              <w:t>Cultural Facilities Maintenance Fund projects delivered within agreed timeframes</w:t>
            </w:r>
          </w:p>
        </w:tc>
        <w:tc>
          <w:tcPr>
            <w:tcW w:w="907" w:type="dxa"/>
            <w:tcBorders>
              <w:top w:val="nil"/>
              <w:left w:val="nil"/>
              <w:right w:val="nil"/>
            </w:tcBorders>
          </w:tcPr>
          <w:p w:rsidR="00E25CC6" w:rsidRPr="00781CAC" w:rsidRDefault="00E25CC6" w:rsidP="00D2618F">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per cent</w:t>
            </w:r>
          </w:p>
        </w:tc>
        <w:tc>
          <w:tcPr>
            <w:tcW w:w="907" w:type="dxa"/>
            <w:tcBorders>
              <w:top w:val="nil"/>
              <w:left w:val="nil"/>
              <w:right w:val="nil"/>
            </w:tcBorders>
            <w:shd w:val="clear" w:color="auto" w:fill="DCDCDC"/>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&gt;90</w:t>
            </w:r>
          </w:p>
        </w:tc>
        <w:tc>
          <w:tcPr>
            <w:tcW w:w="992" w:type="dxa"/>
            <w:tcBorders>
              <w:top w:val="nil"/>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c>
          <w:tcPr>
            <w:tcW w:w="907" w:type="dxa"/>
            <w:tcBorders>
              <w:top w:val="nil"/>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c>
          <w:tcPr>
            <w:tcW w:w="908" w:type="dxa"/>
            <w:tcBorders>
              <w:top w:val="nil"/>
              <w:left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r>
      <w:tr w:rsidR="00E25CC6" w:rsidRPr="00D2618F" w:rsidTr="00CF3B43">
        <w:trPr>
          <w:cantSplit/>
        </w:trPr>
        <w:tc>
          <w:tcPr>
            <w:tcW w:w="7767" w:type="dxa"/>
            <w:gridSpan w:val="6"/>
            <w:tcBorders>
              <w:top w:val="nil"/>
              <w:left w:val="nil"/>
              <w:bottom w:val="single" w:sz="6" w:space="0" w:color="auto"/>
              <w:right w:val="nil"/>
            </w:tcBorders>
          </w:tcPr>
          <w:p w:rsidR="00E25CC6" w:rsidRPr="00781CAC" w:rsidRDefault="00E25CC6" w:rsidP="00657DBC">
            <w:pPr>
              <w:pStyle w:val="OGNotes"/>
            </w:pPr>
            <w:r w:rsidRPr="00781CAC">
              <w:t>This performance measure is proposed to replace the 2015</w:t>
            </w:r>
            <w:r w:rsidRPr="00781CAC">
              <w:noBreakHyphen/>
              <w:t xml:space="preserve">16 performance measure </w:t>
            </w:r>
            <w:r>
              <w:t>‘</w:t>
            </w:r>
            <w:r w:rsidRPr="00781CAC">
              <w:t>Performance and grant agreements completed within agreed timeframes</w:t>
            </w:r>
            <w:r>
              <w:t>’</w:t>
            </w:r>
            <w:r w:rsidRPr="00781CAC">
              <w:t>. It has been replaced to more accurately reflect the management of the Cultural Facilities Maintenance Fund.</w:t>
            </w:r>
          </w:p>
        </w:tc>
      </w:tr>
      <w:tr w:rsidR="00E25CC6" w:rsidRPr="00D2618F" w:rsidTr="00CF3B43">
        <w:trPr>
          <w:cantSplit/>
        </w:trPr>
        <w:tc>
          <w:tcPr>
            <w:tcW w:w="3146" w:type="dxa"/>
            <w:tcBorders>
              <w:top w:val="single" w:sz="6" w:space="0" w:color="auto"/>
              <w:left w:val="nil"/>
              <w:bottom w:val="nil"/>
              <w:right w:val="nil"/>
            </w:tcBorders>
          </w:tcPr>
          <w:p w:rsidR="00E25CC6" w:rsidRPr="00781CAC" w:rsidRDefault="00E25CC6" w:rsidP="00D2618F">
            <w:pPr>
              <w:autoSpaceDE w:val="0"/>
              <w:autoSpaceDN w:val="0"/>
              <w:adjustRightInd w:val="0"/>
              <w:spacing w:after="0"/>
              <w:ind w:left="227" w:hanging="227"/>
              <w:rPr>
                <w:rFonts w:ascii="Calibri" w:hAnsi="Calibri" w:cs="Calibri"/>
                <w:i/>
                <w:iCs/>
                <w:sz w:val="19"/>
                <w:szCs w:val="22"/>
                <w:lang w:eastAsia="en-AU"/>
              </w:rPr>
            </w:pPr>
            <w:r w:rsidRPr="00781CAC">
              <w:rPr>
                <w:rFonts w:ascii="Calibri" w:hAnsi="Calibri" w:cs="Calibri"/>
                <w:i/>
                <w:iCs/>
                <w:sz w:val="19"/>
                <w:szCs w:val="22"/>
                <w:lang w:eastAsia="en-AU"/>
              </w:rPr>
              <w:t>Cost</w:t>
            </w:r>
          </w:p>
        </w:tc>
        <w:tc>
          <w:tcPr>
            <w:tcW w:w="907"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8" w:type="dxa"/>
            <w:tcBorders>
              <w:top w:val="single" w:sz="6" w:space="0" w:color="auto"/>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r>
      <w:tr w:rsidR="00E25CC6" w:rsidRPr="00D2618F" w:rsidTr="00D2618F">
        <w:trPr>
          <w:cantSplit/>
        </w:trPr>
        <w:tc>
          <w:tcPr>
            <w:tcW w:w="3146" w:type="dxa"/>
            <w:tcBorders>
              <w:top w:val="nil"/>
              <w:left w:val="nil"/>
              <w:bottom w:val="nil"/>
              <w:right w:val="nil"/>
            </w:tcBorders>
          </w:tcPr>
          <w:p w:rsidR="00E25CC6" w:rsidRPr="00781CAC" w:rsidRDefault="00E25CC6" w:rsidP="00D2618F">
            <w:pPr>
              <w:pStyle w:val="OGTabText"/>
              <w:rPr>
                <w:lang w:eastAsia="en-AU"/>
              </w:rPr>
            </w:pPr>
            <w:r w:rsidRPr="00781CAC">
              <w:rPr>
                <w:lang w:eastAsia="en-AU"/>
              </w:rPr>
              <w:t>Total output cost</w:t>
            </w:r>
          </w:p>
        </w:tc>
        <w:tc>
          <w:tcPr>
            <w:tcW w:w="907" w:type="dxa"/>
            <w:tcBorders>
              <w:top w:val="nil"/>
              <w:left w:val="nil"/>
              <w:bottom w:val="nil"/>
              <w:right w:val="nil"/>
            </w:tcBorders>
          </w:tcPr>
          <w:p w:rsidR="00E25CC6" w:rsidRPr="00781CAC" w:rsidRDefault="00E25CC6" w:rsidP="00D2618F">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102.5</w:t>
            </w:r>
          </w:p>
        </w:tc>
        <w:tc>
          <w:tcPr>
            <w:tcW w:w="992" w:type="dxa"/>
            <w:tcBorders>
              <w:top w:val="nil"/>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104.8</w:t>
            </w:r>
          </w:p>
        </w:tc>
        <w:tc>
          <w:tcPr>
            <w:tcW w:w="907" w:type="dxa"/>
            <w:tcBorders>
              <w:top w:val="nil"/>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101.3</w:t>
            </w:r>
          </w:p>
        </w:tc>
        <w:tc>
          <w:tcPr>
            <w:tcW w:w="908" w:type="dxa"/>
            <w:tcBorders>
              <w:top w:val="nil"/>
              <w:left w:val="nil"/>
              <w:bottom w:val="nil"/>
              <w:right w:val="nil"/>
            </w:tcBorders>
          </w:tcPr>
          <w:p w:rsidR="00E25CC6" w:rsidRPr="00781CAC" w:rsidRDefault="00E25CC6" w:rsidP="00D2618F">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100.9</w:t>
            </w:r>
          </w:p>
        </w:tc>
      </w:tr>
      <w:tr w:rsidR="00E25CC6" w:rsidRPr="00D2618F" w:rsidTr="00D2618F">
        <w:trPr>
          <w:cantSplit/>
        </w:trPr>
        <w:tc>
          <w:tcPr>
            <w:tcW w:w="7767" w:type="dxa"/>
            <w:gridSpan w:val="6"/>
            <w:tcBorders>
              <w:top w:val="nil"/>
              <w:left w:val="nil"/>
              <w:bottom w:val="single" w:sz="12" w:space="0" w:color="auto"/>
              <w:right w:val="nil"/>
            </w:tcBorders>
          </w:tcPr>
          <w:p w:rsidR="00E25CC6" w:rsidRPr="00781CAC" w:rsidRDefault="00E25CC6" w:rsidP="005B2208">
            <w:pPr>
              <w:pStyle w:val="OGNotes"/>
            </w:pPr>
            <w:r w:rsidRPr="00781CAC">
              <w:t>The higher 2016</w:t>
            </w:r>
            <w:r w:rsidRPr="00781CAC">
              <w:noBreakHyphen/>
              <w:t xml:space="preserve">17 target reflects funding in the </w:t>
            </w:r>
            <w:r w:rsidRPr="00781CAC">
              <w:rPr>
                <w:i w:val="0"/>
              </w:rPr>
              <w:t>2016</w:t>
            </w:r>
            <w:r w:rsidRPr="00781CAC">
              <w:rPr>
                <w:i w:val="0"/>
              </w:rPr>
              <w:noBreakHyphen/>
              <w:t>17 Budget</w:t>
            </w:r>
            <w:r w:rsidRPr="00781CAC">
              <w:t xml:space="preserve"> </w:t>
            </w:r>
            <w:r w:rsidRPr="00781CAC">
              <w:rPr>
                <w:rFonts w:eastAsiaTheme="minorHAnsi"/>
              </w:rPr>
              <w:t xml:space="preserve">for </w:t>
            </w:r>
            <w:r w:rsidRPr="00781CAC">
              <w:t>the Geelong Performing Arts Centre Redevelopment project.</w:t>
            </w:r>
          </w:p>
        </w:tc>
      </w:tr>
    </w:tbl>
    <w:p w:rsidR="00E25CC6" w:rsidRDefault="00E25CC6" w:rsidP="00215C84">
      <w:pPr>
        <w:pStyle w:val="Source"/>
        <w:rPr>
          <w:rFonts w:eastAsiaTheme="minorHAnsi"/>
        </w:rPr>
      </w:pPr>
      <w:r>
        <w:rPr>
          <w:rFonts w:eastAsiaTheme="minorHAnsi"/>
        </w:rPr>
        <w:t>Source: Department of Economic Development, Jobs, Transport and Resources</w:t>
      </w:r>
      <w:bookmarkEnd w:id="56"/>
      <w:r>
        <w:rPr>
          <w:rFonts w:eastAsiaTheme="minorHAnsi"/>
        </w:rPr>
        <w:t xml:space="preserve"> </w:t>
      </w:r>
      <w:r>
        <w:rPr>
          <w:rFonts w:eastAsiaTheme="minorHAnsi"/>
        </w:rPr>
        <w:fldChar w:fldCharType="begin"/>
      </w:r>
      <w:r>
        <w:instrText xml:space="preserve"> XE "</w:instrText>
      </w:r>
      <w:r w:rsidRPr="00B6483F">
        <w:instrText>Department of Economic Development, Jobs, Transport and Resources:Creative Industries</w:instrText>
      </w:r>
      <w:r>
        <w:instrText xml:space="preserve">" \r "DEDJTR_CreatInd" </w:instrText>
      </w:r>
      <w:r>
        <w:rPr>
          <w:rFonts w:eastAsiaTheme="minorHAnsi"/>
        </w:rPr>
        <w:fldChar w:fldCharType="end"/>
      </w:r>
      <w:r>
        <w:rPr>
          <w:rFonts w:eastAsiaTheme="minorHAnsi"/>
        </w:rPr>
        <w:t xml:space="preserve"> </w:t>
      </w:r>
      <w:r>
        <w:rPr>
          <w:rFonts w:eastAsiaTheme="minorHAnsi"/>
        </w:rPr>
        <w:fldChar w:fldCharType="begin"/>
      </w:r>
      <w:r>
        <w:instrText xml:space="preserve"> XE "</w:instrText>
      </w:r>
      <w:r w:rsidRPr="00BD0804">
        <w:instrText>Creative Industries</w:instrText>
      </w:r>
      <w:r>
        <w:instrText xml:space="preserve">" \r "DEDJTR_CreatInd" </w:instrText>
      </w:r>
      <w:r>
        <w:rPr>
          <w:rFonts w:eastAsiaTheme="minorHAnsi"/>
        </w:rPr>
        <w:fldChar w:fldCharType="end"/>
      </w:r>
    </w:p>
    <w:p w:rsidR="00E25CC6" w:rsidRDefault="00E25CC6">
      <w:pPr>
        <w:spacing w:after="0"/>
        <w:rPr>
          <w:rFonts w:eastAsiaTheme="minorHAnsi"/>
        </w:rPr>
      </w:pPr>
      <w:r>
        <w:rPr>
          <w:rFonts w:eastAsiaTheme="minorHAnsi"/>
        </w:rPr>
        <w:br w:type="page"/>
      </w:r>
    </w:p>
    <w:p w:rsidR="00E25CC6" w:rsidRPr="00B57F10" w:rsidRDefault="00E25CC6" w:rsidP="00B57F10">
      <w:pPr>
        <w:pStyle w:val="OGHeading1"/>
        <w:rPr>
          <w:rFonts w:eastAsiaTheme="minorHAnsi"/>
        </w:rPr>
      </w:pPr>
      <w:r w:rsidRPr="00B57F10">
        <w:rPr>
          <w:rFonts w:eastAsiaTheme="minorHAnsi"/>
        </w:rPr>
        <w:t xml:space="preserve">Employment, Industry and Growth </w:t>
      </w:r>
    </w:p>
    <w:p w:rsidR="00E25CC6" w:rsidRDefault="00E25CC6" w:rsidP="00B57F10">
      <w:pPr>
        <w:pStyle w:val="OGText"/>
        <w:rPr>
          <w:rFonts w:eastAsiaTheme="minorHAnsi"/>
        </w:rPr>
      </w:pPr>
      <w:bookmarkStart w:id="57" w:name="DEDJTR_EmpIndGwth"/>
      <w:r w:rsidRPr="00B57F10">
        <w:rPr>
          <w:rFonts w:eastAsiaTheme="minorHAnsi"/>
        </w:rPr>
        <w:t>This output group delivers initiatives and activities to foster investment, growth and employment opportunities to support workers, industries and regions. These outputs contribute to the departmental objective to increase sustainable employment opportunities for Victorians and build investment, trade and tourism prospects for the State through working with priority industry sectors, delivering major projects, investing in regional Victoria, providing innovation opportunities for businesses, and building resilience in the State</w:t>
      </w:r>
      <w:r>
        <w:rPr>
          <w:rFonts w:eastAsiaTheme="minorHAnsi"/>
        </w:rPr>
        <w:t>’</w:t>
      </w:r>
      <w:r w:rsidRPr="00B57F10">
        <w:rPr>
          <w:rFonts w:eastAsiaTheme="minorHAnsi"/>
        </w:rPr>
        <w:t>s workforce.</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7"/>
        <w:gridCol w:w="907"/>
        <w:gridCol w:w="992"/>
        <w:gridCol w:w="907"/>
        <w:gridCol w:w="910"/>
      </w:tblGrid>
      <w:tr w:rsidR="00E25CC6" w:rsidRPr="00B57F10" w:rsidTr="00B57F10">
        <w:trPr>
          <w:cantSplit/>
          <w:tblHeader/>
        </w:trPr>
        <w:tc>
          <w:tcPr>
            <w:tcW w:w="3144" w:type="dxa"/>
            <w:tcBorders>
              <w:top w:val="nil"/>
              <w:left w:val="nil"/>
              <w:bottom w:val="single" w:sz="12" w:space="0" w:color="auto"/>
              <w:right w:val="nil"/>
            </w:tcBorders>
            <w:shd w:val="solid" w:color="000000" w:fill="auto"/>
            <w:vAlign w:val="bottom"/>
          </w:tcPr>
          <w:p w:rsidR="00E25CC6" w:rsidRPr="00B57F10" w:rsidRDefault="00E25CC6" w:rsidP="00B57F10">
            <w:pPr>
              <w:autoSpaceDE w:val="0"/>
              <w:autoSpaceDN w:val="0"/>
              <w:adjustRightInd w:val="0"/>
              <w:spacing w:after="0"/>
              <w:rPr>
                <w:rFonts w:ascii="Calibri" w:hAnsi="Calibri" w:cs="Calibri"/>
                <w:i/>
                <w:iCs/>
                <w:color w:val="FFFFFF"/>
                <w:sz w:val="19"/>
                <w:szCs w:val="22"/>
                <w:lang w:eastAsia="en-AU"/>
              </w:rPr>
            </w:pPr>
            <w:r w:rsidRPr="00B57F10">
              <w:rPr>
                <w:rFonts w:ascii="Calibri" w:hAnsi="Calibri" w:cs="Calibri"/>
                <w:b/>
                <w:bCs/>
                <w:color w:val="FFFFFF"/>
                <w:sz w:val="19"/>
                <w:szCs w:val="22"/>
                <w:lang w:eastAsia="en-AU"/>
              </w:rPr>
              <w:t>Major outputs/deliverables</w:t>
            </w:r>
          </w:p>
          <w:p w:rsidR="00E25CC6" w:rsidRPr="00B57F10" w:rsidRDefault="00E25CC6" w:rsidP="00B57F10">
            <w:pPr>
              <w:autoSpaceDE w:val="0"/>
              <w:autoSpaceDN w:val="0"/>
              <w:adjustRightInd w:val="0"/>
              <w:spacing w:after="0"/>
              <w:rPr>
                <w:rFonts w:ascii="Calibri" w:hAnsi="Calibri" w:cs="Calibri"/>
                <w:i/>
                <w:iCs/>
                <w:color w:val="FFFFFF"/>
                <w:sz w:val="19"/>
                <w:szCs w:val="22"/>
                <w:lang w:eastAsia="en-AU"/>
              </w:rPr>
            </w:pPr>
            <w:r w:rsidRPr="00B57F10">
              <w:rPr>
                <w:rFonts w:ascii="Calibri" w:hAnsi="Calibri" w:cs="Calibri"/>
                <w:i/>
                <w:iCs/>
                <w:color w:val="FFFFFF"/>
                <w:sz w:val="19"/>
                <w:szCs w:val="22"/>
                <w:lang w:eastAsia="en-AU"/>
              </w:rPr>
              <w:t>Performance measures</w:t>
            </w:r>
          </w:p>
        </w:tc>
        <w:tc>
          <w:tcPr>
            <w:tcW w:w="907" w:type="dxa"/>
            <w:tcBorders>
              <w:top w:val="nil"/>
              <w:left w:val="nil"/>
              <w:bottom w:val="single" w:sz="12" w:space="0" w:color="auto"/>
              <w:right w:val="nil"/>
            </w:tcBorders>
            <w:shd w:val="solid" w:color="000000" w:fill="auto"/>
            <w:vAlign w:val="bottom"/>
          </w:tcPr>
          <w:p w:rsidR="00E25CC6" w:rsidRPr="00B57F10" w:rsidRDefault="00E25CC6" w:rsidP="00B57F10">
            <w:pPr>
              <w:autoSpaceDE w:val="0"/>
              <w:autoSpaceDN w:val="0"/>
              <w:adjustRightInd w:val="0"/>
              <w:spacing w:after="0"/>
              <w:jc w:val="center"/>
              <w:rPr>
                <w:rFonts w:ascii="Calibri" w:hAnsi="Calibri" w:cs="Calibri"/>
                <w:i/>
                <w:iCs/>
                <w:color w:val="FFFFFF"/>
                <w:sz w:val="19"/>
                <w:szCs w:val="22"/>
                <w:lang w:eastAsia="en-AU"/>
              </w:rPr>
            </w:pPr>
            <w:r w:rsidRPr="00B57F10">
              <w:rPr>
                <w:rFonts w:ascii="Calibri" w:hAnsi="Calibri" w:cs="Calibri"/>
                <w:i/>
                <w:iCs/>
                <w:color w:val="FFFFFF"/>
                <w:sz w:val="19"/>
                <w:szCs w:val="22"/>
                <w:lang w:eastAsia="en-AU"/>
              </w:rPr>
              <w:t>Unit of measure</w:t>
            </w:r>
          </w:p>
        </w:tc>
        <w:tc>
          <w:tcPr>
            <w:tcW w:w="907" w:type="dxa"/>
            <w:tcBorders>
              <w:top w:val="nil"/>
              <w:left w:val="nil"/>
              <w:bottom w:val="single" w:sz="12" w:space="0" w:color="auto"/>
              <w:right w:val="nil"/>
            </w:tcBorders>
            <w:shd w:val="solid" w:color="000000" w:fill="auto"/>
            <w:vAlign w:val="bottom"/>
          </w:tcPr>
          <w:p w:rsidR="00E25CC6" w:rsidRPr="00B57F10" w:rsidRDefault="00E25CC6" w:rsidP="00B57F10">
            <w:pPr>
              <w:autoSpaceDE w:val="0"/>
              <w:autoSpaceDN w:val="0"/>
              <w:adjustRightInd w:val="0"/>
              <w:spacing w:after="0"/>
              <w:jc w:val="right"/>
              <w:rPr>
                <w:rFonts w:ascii="Calibri" w:hAnsi="Calibri" w:cs="Calibri"/>
                <w:i/>
                <w:iCs/>
                <w:color w:val="FFFFFF"/>
                <w:sz w:val="19"/>
                <w:szCs w:val="22"/>
                <w:lang w:eastAsia="en-AU"/>
              </w:rPr>
            </w:pPr>
            <w:r w:rsidRPr="00B57F10">
              <w:rPr>
                <w:rFonts w:ascii="Calibri" w:hAnsi="Calibri" w:cs="Calibri"/>
                <w:i/>
                <w:iCs/>
                <w:color w:val="FFFFFF"/>
                <w:sz w:val="19"/>
                <w:szCs w:val="22"/>
                <w:lang w:eastAsia="en-AU"/>
              </w:rPr>
              <w:t>2016</w:t>
            </w:r>
            <w:r w:rsidRPr="00804F7C">
              <w:rPr>
                <w:rFonts w:ascii="Calibri" w:hAnsi="Calibri" w:cs="Calibri"/>
                <w:i/>
                <w:iCs/>
                <w:color w:val="FFFFFF"/>
                <w:sz w:val="19"/>
                <w:szCs w:val="22"/>
                <w:lang w:eastAsia="en-AU"/>
              </w:rPr>
              <w:noBreakHyphen/>
            </w:r>
            <w:r w:rsidRPr="00B57F10">
              <w:rPr>
                <w:rFonts w:ascii="Calibri" w:hAnsi="Calibri" w:cs="Calibri"/>
                <w:i/>
                <w:iCs/>
                <w:color w:val="FFFFFF"/>
                <w:sz w:val="19"/>
                <w:szCs w:val="22"/>
                <w:lang w:eastAsia="en-AU"/>
              </w:rPr>
              <w:t>17 target</w:t>
            </w:r>
          </w:p>
        </w:tc>
        <w:tc>
          <w:tcPr>
            <w:tcW w:w="992" w:type="dxa"/>
            <w:tcBorders>
              <w:top w:val="nil"/>
              <w:left w:val="nil"/>
              <w:bottom w:val="single" w:sz="12" w:space="0" w:color="auto"/>
              <w:right w:val="nil"/>
            </w:tcBorders>
            <w:shd w:val="solid" w:color="000000" w:fill="auto"/>
            <w:vAlign w:val="bottom"/>
          </w:tcPr>
          <w:p w:rsidR="00E25CC6" w:rsidRPr="00B57F10" w:rsidRDefault="00E25CC6" w:rsidP="00B57F10">
            <w:pPr>
              <w:autoSpaceDE w:val="0"/>
              <w:autoSpaceDN w:val="0"/>
              <w:adjustRightInd w:val="0"/>
              <w:spacing w:after="0"/>
              <w:jc w:val="right"/>
              <w:rPr>
                <w:rFonts w:ascii="Calibri" w:hAnsi="Calibri" w:cs="Calibri"/>
                <w:i/>
                <w:iCs/>
                <w:color w:val="FFFFFF"/>
                <w:sz w:val="19"/>
                <w:szCs w:val="22"/>
                <w:lang w:eastAsia="en-AU"/>
              </w:rPr>
            </w:pPr>
            <w:r w:rsidRPr="00B57F10">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B57F10">
              <w:rPr>
                <w:rFonts w:ascii="Calibri" w:hAnsi="Calibri" w:cs="Calibri"/>
                <w:i/>
                <w:iCs/>
                <w:color w:val="FFFFFF"/>
                <w:sz w:val="19"/>
                <w:szCs w:val="22"/>
                <w:lang w:eastAsia="en-AU"/>
              </w:rPr>
              <w:t>16 expected outcome</w:t>
            </w:r>
          </w:p>
        </w:tc>
        <w:tc>
          <w:tcPr>
            <w:tcW w:w="907" w:type="dxa"/>
            <w:tcBorders>
              <w:top w:val="nil"/>
              <w:left w:val="nil"/>
              <w:bottom w:val="single" w:sz="12" w:space="0" w:color="auto"/>
              <w:right w:val="nil"/>
            </w:tcBorders>
            <w:shd w:val="solid" w:color="000000" w:fill="auto"/>
            <w:vAlign w:val="bottom"/>
          </w:tcPr>
          <w:p w:rsidR="00E25CC6" w:rsidRPr="00B57F10" w:rsidRDefault="00E25CC6" w:rsidP="00B57F10">
            <w:pPr>
              <w:autoSpaceDE w:val="0"/>
              <w:autoSpaceDN w:val="0"/>
              <w:adjustRightInd w:val="0"/>
              <w:spacing w:after="0"/>
              <w:jc w:val="right"/>
              <w:rPr>
                <w:rFonts w:ascii="Calibri" w:hAnsi="Calibri" w:cs="Calibri"/>
                <w:i/>
                <w:iCs/>
                <w:color w:val="FFFFFF"/>
                <w:sz w:val="19"/>
                <w:szCs w:val="22"/>
                <w:lang w:eastAsia="en-AU"/>
              </w:rPr>
            </w:pPr>
            <w:r w:rsidRPr="00B57F10">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B57F10">
              <w:rPr>
                <w:rFonts w:ascii="Calibri" w:hAnsi="Calibri" w:cs="Calibri"/>
                <w:i/>
                <w:iCs/>
                <w:color w:val="FFFFFF"/>
                <w:sz w:val="19"/>
                <w:szCs w:val="22"/>
                <w:lang w:eastAsia="en-AU"/>
              </w:rPr>
              <w:t>16 target</w:t>
            </w:r>
          </w:p>
        </w:tc>
        <w:tc>
          <w:tcPr>
            <w:tcW w:w="910" w:type="dxa"/>
            <w:tcBorders>
              <w:top w:val="nil"/>
              <w:left w:val="nil"/>
              <w:bottom w:val="single" w:sz="12" w:space="0" w:color="auto"/>
              <w:right w:val="nil"/>
            </w:tcBorders>
            <w:shd w:val="solid" w:color="000000" w:fill="auto"/>
            <w:vAlign w:val="bottom"/>
          </w:tcPr>
          <w:p w:rsidR="00E25CC6" w:rsidRPr="00B57F10" w:rsidRDefault="00E25CC6" w:rsidP="00B57F10">
            <w:pPr>
              <w:autoSpaceDE w:val="0"/>
              <w:autoSpaceDN w:val="0"/>
              <w:adjustRightInd w:val="0"/>
              <w:spacing w:after="0"/>
              <w:jc w:val="right"/>
              <w:rPr>
                <w:rFonts w:ascii="Calibri" w:hAnsi="Calibri" w:cs="Calibri"/>
                <w:i/>
                <w:iCs/>
                <w:color w:val="FFFFFF"/>
                <w:sz w:val="19"/>
                <w:szCs w:val="22"/>
                <w:lang w:eastAsia="en-AU"/>
              </w:rPr>
            </w:pPr>
            <w:r w:rsidRPr="00B57F10">
              <w:rPr>
                <w:rFonts w:ascii="Calibri" w:hAnsi="Calibri" w:cs="Calibri"/>
                <w:i/>
                <w:iCs/>
                <w:color w:val="FFFFFF"/>
                <w:sz w:val="19"/>
                <w:szCs w:val="22"/>
                <w:lang w:eastAsia="en-AU"/>
              </w:rPr>
              <w:t>2014</w:t>
            </w:r>
            <w:r w:rsidRPr="00804F7C">
              <w:rPr>
                <w:rFonts w:ascii="Calibri" w:hAnsi="Calibri" w:cs="Calibri"/>
                <w:i/>
                <w:iCs/>
                <w:color w:val="FFFFFF"/>
                <w:sz w:val="19"/>
                <w:szCs w:val="22"/>
                <w:lang w:eastAsia="en-AU"/>
              </w:rPr>
              <w:noBreakHyphen/>
            </w:r>
            <w:r w:rsidRPr="00B57F10">
              <w:rPr>
                <w:rFonts w:ascii="Calibri" w:hAnsi="Calibri" w:cs="Calibri"/>
                <w:i/>
                <w:iCs/>
                <w:color w:val="FFFFFF"/>
                <w:sz w:val="19"/>
                <w:szCs w:val="22"/>
                <w:lang w:eastAsia="en-AU"/>
              </w:rPr>
              <w:t>15 actual</w:t>
            </w:r>
          </w:p>
        </w:tc>
      </w:tr>
      <w:tr w:rsidR="00E25CC6" w:rsidRPr="00B57F10" w:rsidTr="00B57F10">
        <w:trPr>
          <w:cantSplit/>
        </w:trPr>
        <w:tc>
          <w:tcPr>
            <w:tcW w:w="7767" w:type="dxa"/>
            <w:gridSpan w:val="6"/>
            <w:tcBorders>
              <w:top w:val="single" w:sz="12" w:space="0" w:color="auto"/>
              <w:left w:val="nil"/>
              <w:bottom w:val="nil"/>
              <w:right w:val="nil"/>
            </w:tcBorders>
          </w:tcPr>
          <w:p w:rsidR="00E25CC6" w:rsidRPr="00B57F10" w:rsidRDefault="00E25CC6" w:rsidP="00B57F10">
            <w:pPr>
              <w:pStyle w:val="OGHeading2"/>
              <w:rPr>
                <w:lang w:eastAsia="en-AU"/>
              </w:rPr>
            </w:pPr>
            <w:r w:rsidRPr="00B57F10">
              <w:rPr>
                <w:lang w:eastAsia="en-AU"/>
              </w:rPr>
              <w:t>Employment and Investment</w:t>
            </w:r>
          </w:p>
        </w:tc>
      </w:tr>
      <w:tr w:rsidR="00E25CC6" w:rsidRPr="00B57F10" w:rsidTr="00783D7E">
        <w:trPr>
          <w:cantSplit/>
        </w:trPr>
        <w:tc>
          <w:tcPr>
            <w:tcW w:w="7767" w:type="dxa"/>
            <w:gridSpan w:val="6"/>
            <w:tcBorders>
              <w:top w:val="nil"/>
              <w:left w:val="nil"/>
              <w:bottom w:val="single" w:sz="6" w:space="0" w:color="auto"/>
              <w:right w:val="nil"/>
            </w:tcBorders>
          </w:tcPr>
          <w:p w:rsidR="00E25CC6" w:rsidRPr="00B57F10" w:rsidRDefault="00E25CC6" w:rsidP="00B57F10">
            <w:pPr>
              <w:pStyle w:val="OGTabText"/>
              <w:rPr>
                <w:lang w:eastAsia="en-AU"/>
              </w:rPr>
            </w:pPr>
            <w:r w:rsidRPr="00B57F10">
              <w:rPr>
                <w:lang w:eastAsia="en-AU"/>
              </w:rPr>
              <w:t>This output provides programs to link business and workforce needs with training, retraining and support for skills required in the economy. It also provides investment attraction and facilitation services to attract new investment and encourage additional investment by companies already operating in Victoria.</w:t>
            </w:r>
            <w:r w:rsidRPr="00B57F10">
              <w:rPr>
                <w:rFonts w:cs="Calibri"/>
                <w:color w:val="000000"/>
                <w:sz w:val="19"/>
                <w:szCs w:val="22"/>
                <w:lang w:eastAsia="en-AU"/>
              </w:rPr>
              <w:t xml:space="preserve"> </w:t>
            </w:r>
          </w:p>
        </w:tc>
      </w:tr>
      <w:tr w:rsidR="00E25CC6" w:rsidRPr="00B57F10" w:rsidTr="00B57F10">
        <w:trPr>
          <w:cantSplit/>
        </w:trPr>
        <w:tc>
          <w:tcPr>
            <w:tcW w:w="3144" w:type="dxa"/>
            <w:tcBorders>
              <w:top w:val="nil"/>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CF3B43">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Businesses assisted with skills needs</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1 200</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1 300</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1 200</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1 310</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2015</w:t>
            </w:r>
            <w:r w:rsidRPr="00804F7C">
              <w:noBreakHyphen/>
            </w:r>
            <w:r w:rsidRPr="00B57F10">
              <w:t>16 expected outcome is higher than the 2015</w:t>
            </w:r>
            <w:r w:rsidRPr="00804F7C">
              <w:noBreakHyphen/>
            </w:r>
            <w:r w:rsidRPr="00B57F10">
              <w:t>16 target due to the skilled migration program activity.</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Disadvantaged jobseekers who achieve sustainable employment (minimum number of 26 weeks)</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350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781CAC" w:rsidRDefault="00E25CC6" w:rsidP="00507D09">
            <w:pPr>
              <w:pStyle w:val="OGNotes"/>
            </w:pPr>
            <w:r w:rsidRPr="00781CAC">
              <w:t>New performance measure for 2016</w:t>
            </w:r>
            <w:r w:rsidRPr="00781CAC">
              <w:noBreakHyphen/>
              <w:t xml:space="preserve">17 to reflect new funding provided in the </w:t>
            </w:r>
            <w:r w:rsidRPr="00781CAC">
              <w:rPr>
                <w:i w:val="0"/>
              </w:rPr>
              <w:t>2016</w:t>
            </w:r>
            <w:r w:rsidRPr="00781CAC">
              <w:rPr>
                <w:i w:val="0"/>
              </w:rPr>
              <w:noBreakHyphen/>
              <w:t>17 Budget</w:t>
            </w:r>
            <w:r w:rsidRPr="00781CAC">
              <w:t xml:space="preserve"> to support disadvantaged job seekers to find employment through Victorian Government funded employment services.</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Employment resulting from government investment facilitation services and assistance</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4 800</w:t>
            </w:r>
          </w:p>
        </w:tc>
        <w:tc>
          <w:tcPr>
            <w:tcW w:w="992"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4 600</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4 600</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6 120</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The higher 2016</w:t>
            </w:r>
            <w:r w:rsidRPr="00781CAC">
              <w:noBreakHyphen/>
              <w:t xml:space="preserve">17 target reflects new funding provided in the </w:t>
            </w:r>
            <w:r w:rsidRPr="00781CAC">
              <w:rPr>
                <w:i w:val="0"/>
              </w:rPr>
              <w:t>2016</w:t>
            </w:r>
            <w:r w:rsidRPr="00781CAC">
              <w:rPr>
                <w:i w:val="0"/>
              </w:rPr>
              <w:noBreakHyphen/>
              <w:t>17 Budget</w:t>
            </w:r>
            <w:r w:rsidRPr="00781CAC">
              <w:t xml:space="preserve"> for investment attraction and facilitation services.</w:t>
            </w:r>
          </w:p>
        </w:tc>
      </w:tr>
      <w:tr w:rsidR="00E25CC6" w:rsidRPr="00B57F10" w:rsidTr="00CF3B43">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Government Youth Employment Scheme traineeships commenced</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280</w:t>
            </w:r>
          </w:p>
        </w:tc>
        <w:tc>
          <w:tcPr>
            <w:tcW w:w="992" w:type="dxa"/>
            <w:tcBorders>
              <w:top w:val="single" w:sz="6" w:space="0" w:color="auto"/>
              <w:left w:val="nil"/>
              <w:bottom w:val="single" w:sz="6" w:space="0" w:color="auto"/>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280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280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307</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New Australian/International regional headquarters of firms and/or research development centres attracted to Victoria</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w:t>
            </w:r>
          </w:p>
        </w:tc>
        <w:tc>
          <w:tcPr>
            <w:tcW w:w="992"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New performance measure for 2016</w:t>
            </w:r>
            <w:r w:rsidRPr="00781CAC">
              <w:noBreakHyphen/>
              <w:t xml:space="preserve">17 to reflect new funding provided in the </w:t>
            </w:r>
            <w:r w:rsidRPr="00781CAC">
              <w:rPr>
                <w:i w:val="0"/>
              </w:rPr>
              <w:t>2016</w:t>
            </w:r>
            <w:r w:rsidRPr="00781CAC">
              <w:rPr>
                <w:i w:val="0"/>
              </w:rPr>
              <w:noBreakHyphen/>
              <w:t>17 Budget</w:t>
            </w:r>
            <w:r w:rsidRPr="00781CAC">
              <w:t xml:space="preserve"> for investment attraction and facilitation services.</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New investment resulting from government facilitation services and assistance</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2 200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2 100</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2 100</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2 319</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higher 2016</w:t>
            </w:r>
            <w:r w:rsidRPr="00804F7C">
              <w:noBreakHyphen/>
            </w:r>
            <w:r w:rsidRPr="00B57F10">
              <w:t xml:space="preserve">17 target reflects new funding provided in the </w:t>
            </w:r>
            <w:r w:rsidRPr="0040170D">
              <w:rPr>
                <w:i w:val="0"/>
              </w:rPr>
              <w:t>2016</w:t>
            </w:r>
            <w:r w:rsidRPr="0040170D">
              <w:rPr>
                <w:i w:val="0"/>
              </w:rPr>
              <w:noBreakHyphen/>
              <w:t>17 Budget</w:t>
            </w:r>
            <w:r w:rsidRPr="00B57F10">
              <w:t xml:space="preserve"> for investment attraction and facilitation services.</w:t>
            </w:r>
          </w:p>
        </w:tc>
      </w:tr>
      <w:tr w:rsidR="00E25CC6" w:rsidRPr="00B57F10" w:rsidTr="00CF3B43">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People supported with employment assistance</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2 000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2 000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2 000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Victoria</w:t>
            </w:r>
            <w:r>
              <w:rPr>
                <w:lang w:eastAsia="en-AU"/>
              </w:rPr>
              <w:t>’</w:t>
            </w:r>
            <w:r w:rsidRPr="00B57F10">
              <w:rPr>
                <w:lang w:eastAsia="en-AU"/>
              </w:rPr>
              <w:t>s market share of investor and business migrants nominated by Victoria as a proportion of all Australian nominations received</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&gt;40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&gt;40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&gt;40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Visits to the Invest Victoria website</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66 000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New performance measure for 2016</w:t>
            </w:r>
            <w:r w:rsidRPr="00804F7C">
              <w:noBreakHyphen/>
            </w:r>
            <w:r w:rsidRPr="00B57F10">
              <w:t xml:space="preserve">17 to reflect new funding provided in the </w:t>
            </w:r>
            <w:r w:rsidRPr="0040170D">
              <w:rPr>
                <w:i w:val="0"/>
              </w:rPr>
              <w:t>2016</w:t>
            </w:r>
            <w:r w:rsidRPr="0040170D">
              <w:rPr>
                <w:i w:val="0"/>
              </w:rPr>
              <w:noBreakHyphen/>
              <w:t>17 Budget</w:t>
            </w:r>
            <w:r>
              <w:t xml:space="preserve"> for investment and trade initiatives.</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CF3B43">
        <w:trPr>
          <w:cantSplit/>
        </w:trPr>
        <w:tc>
          <w:tcPr>
            <w:tcW w:w="3144" w:type="dxa"/>
            <w:tcBorders>
              <w:top w:val="nil"/>
              <w:left w:val="nil"/>
              <w:bottom w:val="single" w:sz="6" w:space="0" w:color="auto"/>
              <w:right w:val="nil"/>
            </w:tcBorders>
          </w:tcPr>
          <w:p w:rsidR="00E25CC6" w:rsidRPr="00B57F10" w:rsidRDefault="00E25CC6" w:rsidP="00BF3E01">
            <w:pPr>
              <w:pStyle w:val="OGTabText"/>
              <w:rPr>
                <w:lang w:eastAsia="en-AU"/>
              </w:rPr>
            </w:pPr>
            <w:r w:rsidRPr="00B57F10">
              <w:rPr>
                <w:lang w:eastAsia="en-AU"/>
              </w:rPr>
              <w:t xml:space="preserve">Skilled Migration Victoria </w:t>
            </w:r>
            <w:r>
              <w:rPr>
                <w:lang w:eastAsia="en-AU"/>
              </w:rPr>
              <w:t>–</w:t>
            </w:r>
            <w:r w:rsidRPr="00B57F10">
              <w:rPr>
                <w:lang w:eastAsia="en-AU"/>
              </w:rPr>
              <w:t xml:space="preserve"> client satisfaction with services provided</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85</w:t>
            </w:r>
          </w:p>
        </w:tc>
        <w:tc>
          <w:tcPr>
            <w:tcW w:w="992"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85</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85</w:t>
            </w:r>
          </w:p>
        </w:tc>
        <w:tc>
          <w:tcPr>
            <w:tcW w:w="910"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89</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CF3B43">
        <w:trPr>
          <w:cantSplit/>
        </w:trPr>
        <w:tc>
          <w:tcPr>
            <w:tcW w:w="3144" w:type="dxa"/>
            <w:tcBorders>
              <w:top w:val="nil"/>
              <w:left w:val="nil"/>
              <w:bottom w:val="single" w:sz="6" w:space="0" w:color="auto"/>
              <w:right w:val="nil"/>
            </w:tcBorders>
          </w:tcPr>
          <w:p w:rsidR="00E25CC6" w:rsidRPr="00B57F10" w:rsidRDefault="00E25CC6" w:rsidP="00B57F10">
            <w:pPr>
              <w:pStyle w:val="OGTabText"/>
              <w:rPr>
                <w:lang w:eastAsia="en-AU"/>
              </w:rPr>
            </w:pPr>
            <w:r w:rsidRPr="00B57F10">
              <w:rPr>
                <w:lang w:eastAsia="en-AU"/>
              </w:rPr>
              <w:t xml:space="preserve">Skilled Migration Victoria </w:t>
            </w:r>
            <w:r>
              <w:rPr>
                <w:lang w:eastAsia="en-AU"/>
              </w:rPr>
              <w:t>–</w:t>
            </w:r>
            <w:r w:rsidRPr="00B57F10">
              <w:rPr>
                <w:lang w:eastAsia="en-AU"/>
              </w:rPr>
              <w:t xml:space="preserve"> average processing time for state sponsorship applications</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days</w:t>
            </w:r>
          </w:p>
        </w:tc>
        <w:tc>
          <w:tcPr>
            <w:tcW w:w="907" w:type="dxa"/>
            <w:tcBorders>
              <w:top w:val="nil"/>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w:t>
            </w:r>
          </w:p>
        </w:tc>
        <w:tc>
          <w:tcPr>
            <w:tcW w:w="992"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w:t>
            </w:r>
          </w:p>
        </w:tc>
        <w:tc>
          <w:tcPr>
            <w:tcW w:w="910"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17</w:t>
            </w:r>
          </w:p>
        </w:tc>
      </w:tr>
      <w:tr w:rsidR="00E25CC6" w:rsidRPr="00B57F10" w:rsidTr="00CF3B43">
        <w:trPr>
          <w:cantSplit/>
        </w:trPr>
        <w:tc>
          <w:tcPr>
            <w:tcW w:w="3144" w:type="dxa"/>
            <w:tcBorders>
              <w:top w:val="single" w:sz="6" w:space="0" w:color="auto"/>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215C84">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Total output cost</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205.5</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781CAC">
              <w:rPr>
                <w:rFonts w:ascii="Calibri" w:hAnsi="Calibri" w:cs="Calibri"/>
                <w:sz w:val="19"/>
                <w:szCs w:val="22"/>
                <w:lang w:eastAsia="en-AU"/>
              </w:rPr>
              <w:t>217.4</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199.1</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97.2</w:t>
            </w:r>
          </w:p>
        </w:tc>
      </w:tr>
      <w:tr w:rsidR="00E25CC6" w:rsidRPr="00B57F10" w:rsidTr="00215C84">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rPr>
                <w:highlight w:val="yellow"/>
              </w:rPr>
            </w:pPr>
            <w:r w:rsidRPr="00781CAC">
              <w:t>The 2015</w:t>
            </w:r>
            <w:r w:rsidRPr="00781CAC">
              <w:noBreakHyphen/>
              <w:t>16 expected outcome is higher than the 2015</w:t>
            </w:r>
            <w:r w:rsidRPr="00781CAC">
              <w:noBreakHyphen/>
              <w:t>16 target primarily reflects additional funding received in 2015</w:t>
            </w:r>
            <w:r w:rsidRPr="00781CAC">
              <w:noBreakHyphen/>
              <w:t>16 for Premier</w:t>
            </w:r>
            <w:r>
              <w:t>’</w:t>
            </w:r>
            <w:r w:rsidRPr="00781CAC">
              <w:t>s Jobs and Investment Fund.</w:t>
            </w:r>
          </w:p>
          <w:p w:rsidR="00E25CC6" w:rsidRPr="00781CAC" w:rsidRDefault="00E25CC6" w:rsidP="00237057">
            <w:pPr>
              <w:pStyle w:val="OGNotes"/>
            </w:pPr>
            <w:r w:rsidRPr="00781CAC">
              <w:t>The higher 2016</w:t>
            </w:r>
            <w:r w:rsidRPr="00781CAC">
              <w:noBreakHyphen/>
              <w:t xml:space="preserve">17 target reflects additional funding in the </w:t>
            </w:r>
            <w:r w:rsidRPr="00781CAC">
              <w:rPr>
                <w:i w:val="0"/>
              </w:rPr>
              <w:t>2016</w:t>
            </w:r>
            <w:r w:rsidRPr="00781CAC">
              <w:rPr>
                <w:i w:val="0"/>
              </w:rPr>
              <w:noBreakHyphen/>
              <w:t>17 Budget</w:t>
            </w:r>
            <w:r w:rsidRPr="00781CAC">
              <w:t>.</w:t>
            </w:r>
          </w:p>
          <w:p w:rsidR="00E25CC6" w:rsidRPr="00B57F10" w:rsidRDefault="00E25CC6" w:rsidP="0040170D">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B57F10" w:rsidTr="00215C84">
        <w:trPr>
          <w:cantSplit/>
        </w:trPr>
        <w:tc>
          <w:tcPr>
            <w:tcW w:w="7767" w:type="dxa"/>
            <w:gridSpan w:val="6"/>
            <w:tcBorders>
              <w:top w:val="single" w:sz="6" w:space="0" w:color="auto"/>
              <w:left w:val="nil"/>
              <w:bottom w:val="nil"/>
              <w:right w:val="nil"/>
            </w:tcBorders>
          </w:tcPr>
          <w:p w:rsidR="00E25CC6" w:rsidRPr="00B57F10" w:rsidRDefault="00E25CC6" w:rsidP="00B57F10">
            <w:pPr>
              <w:pStyle w:val="OGHeading2"/>
              <w:rPr>
                <w:lang w:eastAsia="en-AU"/>
              </w:rPr>
            </w:pPr>
            <w:r w:rsidRPr="00B57F10">
              <w:rPr>
                <w:lang w:eastAsia="en-AU"/>
              </w:rPr>
              <w:t>Industrial Relations</w:t>
            </w:r>
          </w:p>
        </w:tc>
      </w:tr>
      <w:tr w:rsidR="00E25CC6" w:rsidRPr="00B57F10" w:rsidTr="00B57F10">
        <w:trPr>
          <w:cantSplit/>
        </w:trPr>
        <w:tc>
          <w:tcPr>
            <w:tcW w:w="7767" w:type="dxa"/>
            <w:gridSpan w:val="6"/>
            <w:tcBorders>
              <w:top w:val="nil"/>
              <w:left w:val="nil"/>
              <w:bottom w:val="single" w:sz="6" w:space="0" w:color="auto"/>
              <w:right w:val="nil"/>
            </w:tcBorders>
          </w:tcPr>
          <w:p w:rsidR="00E25CC6" w:rsidRPr="00B57F10" w:rsidRDefault="00E25CC6" w:rsidP="00215C84">
            <w:pPr>
              <w:pStyle w:val="OGText"/>
            </w:pPr>
            <w:r w:rsidRPr="00B57F10">
              <w:t>This output provides public and private sector industrial relations advice and strategic workforce management counsel to Ministers and departmental and agency reviews.</w:t>
            </w:r>
          </w:p>
        </w:tc>
      </w:tr>
      <w:tr w:rsidR="00E25CC6" w:rsidRPr="00B57F10" w:rsidTr="00B57F10">
        <w:trPr>
          <w:cantSplit/>
        </w:trPr>
        <w:tc>
          <w:tcPr>
            <w:tcW w:w="3144" w:type="dxa"/>
            <w:tcBorders>
              <w:top w:val="nil"/>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Quality</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CF3B43">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 xml:space="preserve">Public sector agreements renewed and approved within current </w:t>
            </w:r>
            <w:r w:rsidRPr="0065171C">
              <w:rPr>
                <w:lang w:eastAsia="en-AU"/>
              </w:rPr>
              <w:t>enterprise bargaining framework</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New performance measure for 2016</w:t>
            </w:r>
            <w:r w:rsidRPr="00804F7C">
              <w:noBreakHyphen/>
            </w:r>
            <w:r w:rsidRPr="00B57F10">
              <w:t xml:space="preserve">17 to reflect new funding provided in the </w:t>
            </w:r>
            <w:r w:rsidRPr="00C67692">
              <w:rPr>
                <w:i w:val="0"/>
              </w:rPr>
              <w:t>2016</w:t>
            </w:r>
            <w:r w:rsidRPr="00C67692">
              <w:rPr>
                <w:i w:val="0"/>
              </w:rPr>
              <w:noBreakHyphen/>
              <w:t>17 Budget</w:t>
            </w:r>
            <w:r w:rsidRPr="00B57F10">
              <w:t xml:space="preserve"> for effective negotiation of public sector enterprise agreements.</w:t>
            </w:r>
          </w:p>
        </w:tc>
      </w:tr>
      <w:tr w:rsidR="00E25CC6" w:rsidRPr="00B57F10" w:rsidTr="00CF3B43">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Victoria represented in major industrial relations cases and inquiries</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r>
      <w:tr w:rsidR="00E25CC6" w:rsidRPr="00B57F10" w:rsidTr="00AF1BF5">
        <w:trPr>
          <w:cantSplit/>
        </w:trPr>
        <w:tc>
          <w:tcPr>
            <w:tcW w:w="3144" w:type="dxa"/>
            <w:tcBorders>
              <w:top w:val="single" w:sz="6" w:space="0" w:color="auto"/>
              <w:left w:val="nil"/>
              <w:right w:val="nil"/>
            </w:tcBorders>
          </w:tcPr>
          <w:p w:rsidR="00E25CC6" w:rsidRPr="00B57F10" w:rsidRDefault="00E25CC6" w:rsidP="0040170D">
            <w:pPr>
              <w:keepNext/>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B57F10" w:rsidRDefault="00E25CC6" w:rsidP="0040170D">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4017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B57F10" w:rsidRDefault="00E25CC6" w:rsidP="004017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B57F10" w:rsidRDefault="00E25CC6" w:rsidP="004017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right w:val="nil"/>
            </w:tcBorders>
          </w:tcPr>
          <w:p w:rsidR="00E25CC6" w:rsidRPr="00B57F10" w:rsidRDefault="00E25CC6" w:rsidP="004017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AF1BF5">
        <w:trPr>
          <w:cantSplit/>
        </w:trPr>
        <w:tc>
          <w:tcPr>
            <w:tcW w:w="3144" w:type="dxa"/>
            <w:tcBorders>
              <w:top w:val="nil"/>
              <w:left w:val="nil"/>
              <w:right w:val="nil"/>
            </w:tcBorders>
          </w:tcPr>
          <w:p w:rsidR="00E25CC6" w:rsidRPr="00B57F10" w:rsidRDefault="00E25CC6" w:rsidP="00656F5B">
            <w:pPr>
              <w:pStyle w:val="OGTabText"/>
              <w:keepNext/>
              <w:rPr>
                <w:lang w:eastAsia="en-AU"/>
              </w:rPr>
            </w:pPr>
            <w:r w:rsidRPr="00B57F10">
              <w:rPr>
                <w:lang w:eastAsia="en-AU"/>
              </w:rPr>
              <w:t>Review and assessment of submitted public sector enterprise bargaining costings and proposed agreements completed and submitted for approval within four</w:t>
            </w:r>
            <w:r>
              <w:rPr>
                <w:lang w:eastAsia="en-AU"/>
              </w:rPr>
              <w:t> </w:t>
            </w:r>
            <w:r w:rsidRPr="00B57F10">
              <w:rPr>
                <w:lang w:eastAsia="en-AU"/>
              </w:rPr>
              <w:t>weeks</w:t>
            </w:r>
          </w:p>
        </w:tc>
        <w:tc>
          <w:tcPr>
            <w:tcW w:w="907" w:type="dxa"/>
            <w:tcBorders>
              <w:top w:val="nil"/>
              <w:left w:val="nil"/>
              <w:right w:val="nil"/>
            </w:tcBorders>
          </w:tcPr>
          <w:p w:rsidR="00E25CC6" w:rsidRPr="00B57F10" w:rsidRDefault="00E25CC6" w:rsidP="0040170D">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B57F10" w:rsidRDefault="00E25CC6" w:rsidP="004017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80</w:t>
            </w:r>
          </w:p>
        </w:tc>
        <w:tc>
          <w:tcPr>
            <w:tcW w:w="992" w:type="dxa"/>
            <w:tcBorders>
              <w:top w:val="nil"/>
              <w:left w:val="nil"/>
              <w:right w:val="nil"/>
            </w:tcBorders>
          </w:tcPr>
          <w:p w:rsidR="00E25CC6" w:rsidRPr="00B57F10" w:rsidRDefault="00E25CC6" w:rsidP="0040170D">
            <w:pPr>
              <w:keepNext/>
              <w:autoSpaceDE w:val="0"/>
              <w:autoSpaceDN w:val="0"/>
              <w:adjustRightInd w:val="0"/>
              <w:spacing w:after="0"/>
              <w:jc w:val="right"/>
              <w:rPr>
                <w:rFonts w:ascii="Calibri" w:hAnsi="Calibri" w:cs="Calibri"/>
                <w:color w:val="000000"/>
                <w:sz w:val="19"/>
                <w:szCs w:val="22"/>
                <w:lang w:eastAsia="en-AU"/>
              </w:rPr>
            </w:pPr>
            <w:r w:rsidRPr="00AF1BF5">
              <w:rPr>
                <w:rFonts w:ascii="Calibri" w:hAnsi="Calibri" w:cs="Calibri"/>
                <w:color w:val="000000"/>
                <w:sz w:val="19"/>
                <w:szCs w:val="22"/>
                <w:lang w:eastAsia="en-AU"/>
              </w:rPr>
              <w:t>80</w:t>
            </w:r>
          </w:p>
        </w:tc>
        <w:tc>
          <w:tcPr>
            <w:tcW w:w="907" w:type="dxa"/>
            <w:tcBorders>
              <w:top w:val="nil"/>
              <w:left w:val="nil"/>
              <w:right w:val="nil"/>
            </w:tcBorders>
          </w:tcPr>
          <w:p w:rsidR="00E25CC6" w:rsidRPr="00B57F10" w:rsidRDefault="00E25CC6" w:rsidP="004017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80</w:t>
            </w:r>
          </w:p>
        </w:tc>
        <w:tc>
          <w:tcPr>
            <w:tcW w:w="910" w:type="dxa"/>
            <w:tcBorders>
              <w:top w:val="nil"/>
              <w:left w:val="nil"/>
              <w:right w:val="nil"/>
            </w:tcBorders>
          </w:tcPr>
          <w:p w:rsidR="00E25CC6" w:rsidRPr="00781CAC" w:rsidRDefault="00E25CC6" w:rsidP="0040170D">
            <w:pPr>
              <w:keepNext/>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87</w:t>
            </w:r>
          </w:p>
        </w:tc>
      </w:tr>
      <w:tr w:rsidR="00E25CC6" w:rsidRPr="00B57F10" w:rsidTr="00AF1BF5">
        <w:trPr>
          <w:cantSplit/>
        </w:trPr>
        <w:tc>
          <w:tcPr>
            <w:tcW w:w="7767" w:type="dxa"/>
            <w:gridSpan w:val="6"/>
            <w:tcBorders>
              <w:left w:val="nil"/>
              <w:bottom w:val="single" w:sz="6" w:space="0" w:color="auto"/>
              <w:right w:val="nil"/>
            </w:tcBorders>
          </w:tcPr>
          <w:p w:rsidR="00E25CC6" w:rsidRPr="00781CAC" w:rsidRDefault="00E25CC6" w:rsidP="0040170D">
            <w:pPr>
              <w:pStyle w:val="OGNotes"/>
            </w:pPr>
            <w:r w:rsidRPr="00781CAC">
              <w:t>The 2014</w:t>
            </w:r>
            <w:r w:rsidRPr="00781CAC">
              <w:noBreakHyphen/>
              <w:t xml:space="preserve">15 actual is higher than that published in the Department of Economic Development, Jobs, Transport and Resources </w:t>
            </w:r>
            <w:r w:rsidRPr="00781CAC">
              <w:rPr>
                <w:i w:val="0"/>
              </w:rPr>
              <w:t>2014</w:t>
            </w:r>
            <w:r w:rsidRPr="00781CAC">
              <w:rPr>
                <w:i w:val="0"/>
              </w:rPr>
              <w:noBreakHyphen/>
              <w:t>15 Annual Report</w:t>
            </w:r>
            <w:r w:rsidRPr="00781CAC">
              <w:t xml:space="preserve"> due to a typographical error. This increases the previously reported outcome from 80 per cent to 87 per cent.</w:t>
            </w:r>
          </w:p>
        </w:tc>
      </w:tr>
      <w:tr w:rsidR="00E25CC6" w:rsidRPr="00B57F10" w:rsidTr="00CF3B43">
        <w:trPr>
          <w:cantSplit/>
        </w:trPr>
        <w:tc>
          <w:tcPr>
            <w:tcW w:w="3144" w:type="dxa"/>
            <w:tcBorders>
              <w:top w:val="single" w:sz="6" w:space="0" w:color="auto"/>
              <w:left w:val="nil"/>
              <w:bottom w:val="nil"/>
              <w:right w:val="nil"/>
            </w:tcBorders>
          </w:tcPr>
          <w:p w:rsidR="00E25CC6" w:rsidRPr="00B57F10" w:rsidRDefault="00E25CC6" w:rsidP="00215C84">
            <w:pPr>
              <w:keepNext/>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B57F10" w:rsidRDefault="00E25CC6" w:rsidP="00215C84">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215C84">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215C84">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215C84">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781CAC" w:rsidRDefault="00E25CC6" w:rsidP="00215C84">
            <w:pPr>
              <w:keepNext/>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r>
      <w:tr w:rsidR="00E25CC6" w:rsidRPr="00B57F10" w:rsidTr="00215C84">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Total output cost</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5.4</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3.4</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3.4</w:t>
            </w:r>
          </w:p>
        </w:tc>
        <w:tc>
          <w:tcPr>
            <w:tcW w:w="910" w:type="dxa"/>
            <w:tcBorders>
              <w:top w:val="nil"/>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4.2</w:t>
            </w:r>
          </w:p>
        </w:tc>
      </w:tr>
      <w:tr w:rsidR="00E25CC6" w:rsidRPr="00B57F10" w:rsidTr="00215C84">
        <w:trPr>
          <w:cantSplit/>
        </w:trPr>
        <w:tc>
          <w:tcPr>
            <w:tcW w:w="7767" w:type="dxa"/>
            <w:gridSpan w:val="6"/>
            <w:tcBorders>
              <w:top w:val="nil"/>
              <w:left w:val="nil"/>
              <w:bottom w:val="single" w:sz="6" w:space="0" w:color="auto"/>
              <w:right w:val="nil"/>
            </w:tcBorders>
          </w:tcPr>
          <w:p w:rsidR="00E25CC6" w:rsidRPr="00781CAC" w:rsidRDefault="00E25CC6" w:rsidP="003F5231">
            <w:pPr>
              <w:pStyle w:val="OGNotes"/>
            </w:pPr>
            <w:r w:rsidRPr="00781CAC">
              <w:t>The higher 2016</w:t>
            </w:r>
            <w:r w:rsidRPr="00781CAC">
              <w:noBreakHyphen/>
              <w:t xml:space="preserve">17 target reflects additional funding in the </w:t>
            </w:r>
            <w:r w:rsidRPr="00781CAC">
              <w:rPr>
                <w:i w:val="0"/>
              </w:rPr>
              <w:t>2016</w:t>
            </w:r>
            <w:r w:rsidRPr="00781CAC">
              <w:rPr>
                <w:i w:val="0"/>
              </w:rPr>
              <w:noBreakHyphen/>
              <w:t>17 Budget</w:t>
            </w:r>
            <w:r w:rsidRPr="00781CAC">
              <w:t xml:space="preserve"> for </w:t>
            </w:r>
            <w:r>
              <w:t xml:space="preserve">the expansion of the </w:t>
            </w:r>
            <w:r w:rsidRPr="00781CAC">
              <w:t>Central Bargaining Unit.</w:t>
            </w:r>
          </w:p>
          <w:p w:rsidR="00E25CC6" w:rsidRPr="00781CAC" w:rsidRDefault="00E25CC6" w:rsidP="003F5231">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B57F10" w:rsidTr="00215C84">
        <w:trPr>
          <w:cantSplit/>
        </w:trPr>
        <w:tc>
          <w:tcPr>
            <w:tcW w:w="7767" w:type="dxa"/>
            <w:gridSpan w:val="6"/>
            <w:tcBorders>
              <w:top w:val="single" w:sz="6" w:space="0" w:color="auto"/>
              <w:left w:val="nil"/>
              <w:bottom w:val="nil"/>
              <w:right w:val="nil"/>
            </w:tcBorders>
          </w:tcPr>
          <w:p w:rsidR="00E25CC6" w:rsidRPr="00B57F10" w:rsidRDefault="00E25CC6" w:rsidP="00B57F10">
            <w:pPr>
              <w:pStyle w:val="OGHeading2"/>
              <w:rPr>
                <w:lang w:eastAsia="en-AU"/>
              </w:rPr>
            </w:pPr>
            <w:r w:rsidRPr="00B57F10">
              <w:rPr>
                <w:lang w:eastAsia="en-AU"/>
              </w:rPr>
              <w:t>Industry and Enterprise Innovation</w:t>
            </w:r>
          </w:p>
        </w:tc>
      </w:tr>
      <w:tr w:rsidR="00E25CC6" w:rsidRPr="00B57F10" w:rsidTr="00B57F10">
        <w:trPr>
          <w:cantSplit/>
        </w:trPr>
        <w:tc>
          <w:tcPr>
            <w:tcW w:w="7767" w:type="dxa"/>
            <w:gridSpan w:val="6"/>
            <w:tcBorders>
              <w:top w:val="nil"/>
              <w:left w:val="nil"/>
              <w:bottom w:val="single" w:sz="6" w:space="0" w:color="auto"/>
              <w:right w:val="nil"/>
            </w:tcBorders>
          </w:tcPr>
          <w:p w:rsidR="00E25CC6" w:rsidRPr="00B57F10" w:rsidRDefault="00E25CC6" w:rsidP="00215C84">
            <w:pPr>
              <w:pStyle w:val="OGText"/>
            </w:pPr>
            <w:r w:rsidRPr="00B57F10">
              <w:t>This output provides access to information and connections, and builds the capacity of businesses and industry to develop and effectively use new practices and technologies to increase productivity and competitiveness in Victoria. It also helps businesses overcome barriers to competitiveness.</w:t>
            </w:r>
          </w:p>
        </w:tc>
      </w:tr>
      <w:tr w:rsidR="00E25CC6" w:rsidRPr="00B57F10" w:rsidTr="00B57F10">
        <w:trPr>
          <w:cantSplit/>
        </w:trPr>
        <w:tc>
          <w:tcPr>
            <w:tcW w:w="3144" w:type="dxa"/>
            <w:tcBorders>
              <w:top w:val="nil"/>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CF3B43">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Businesses whose growth and productivity issues are resolved by the Department</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1 200</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1 140</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1 200</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2015</w:t>
            </w:r>
            <w:r w:rsidRPr="00804F7C">
              <w:noBreakHyphen/>
            </w:r>
            <w:r w:rsidRPr="00B57F10">
              <w:t>16 expected outcome is lower than the 2015</w:t>
            </w:r>
            <w:r w:rsidRPr="00804F7C">
              <w:noBreakHyphen/>
            </w:r>
            <w:r w:rsidRPr="00B57F10">
              <w:t>16 target due to a greater focus on the development of sector strategies and their early stage of implementation.</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Companies supported by Future Industries Fund</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325D71">
              <w:rPr>
                <w:rFonts w:ascii="Calibri" w:hAnsi="Calibri" w:cs="Calibri"/>
                <w:color w:val="000000"/>
                <w:sz w:val="19"/>
                <w:szCs w:val="22"/>
                <w:lang w:eastAsia="en-AU"/>
              </w:rPr>
              <w:t>100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65</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AC0BE5">
              <w:t>The 2015</w:t>
            </w:r>
            <w:r w:rsidRPr="00804F7C">
              <w:noBreakHyphen/>
            </w:r>
            <w:r w:rsidRPr="00AC0BE5">
              <w:t>16 expected outcome is lower than the 2015</w:t>
            </w:r>
            <w:r w:rsidRPr="00804F7C">
              <w:noBreakHyphen/>
            </w:r>
            <w:r w:rsidRPr="00AC0BE5">
              <w:t>16 target as the commencement of the Future Industries and New Energy Jobs Fund programs were deferred to Q3 and Q4 of 2015</w:t>
            </w:r>
            <w:r w:rsidRPr="00804F7C">
              <w:noBreakHyphen/>
            </w:r>
            <w:r w:rsidRPr="00AC0BE5">
              <w:t>16 to allow for extensive industry consultation to inform the development of the sector strategies.</w:t>
            </w:r>
          </w:p>
        </w:tc>
      </w:tr>
      <w:tr w:rsidR="00E25CC6" w:rsidRPr="00B57F10" w:rsidTr="00CF3B43">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Engagements with businesses</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6F3B8F">
              <w:rPr>
                <w:rFonts w:ascii="Calibri" w:hAnsi="Calibri" w:cs="Calibri"/>
                <w:color w:val="000000"/>
                <w:sz w:val="19"/>
                <w:szCs w:val="22"/>
                <w:lang w:eastAsia="en-AU"/>
              </w:rPr>
              <w:t>14 000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14 000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14 000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Industry roundtables and engagement forums</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45</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104</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45</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2015</w:t>
            </w:r>
            <w:r w:rsidRPr="00804F7C">
              <w:noBreakHyphen/>
            </w:r>
            <w:r w:rsidRPr="00B57F10">
              <w:t>16 expected outcome is higher than the 2015</w:t>
            </w:r>
            <w:r w:rsidRPr="00804F7C">
              <w:noBreakHyphen/>
            </w:r>
            <w:r w:rsidRPr="00B57F10">
              <w:t>16 target due to high levels of engagement relating to development of the Future Industries Sector Strategies.</w:t>
            </w:r>
          </w:p>
        </w:tc>
      </w:tr>
      <w:tr w:rsidR="00E25CC6" w:rsidRPr="00B57F10" w:rsidTr="00CF3B43">
        <w:trPr>
          <w:cantSplit/>
        </w:trPr>
        <w:tc>
          <w:tcPr>
            <w:tcW w:w="3144" w:type="dxa"/>
            <w:tcBorders>
              <w:top w:val="single" w:sz="6" w:space="0" w:color="auto"/>
              <w:left w:val="nil"/>
              <w:right w:val="nil"/>
            </w:tcBorders>
          </w:tcPr>
          <w:p w:rsidR="00E25CC6" w:rsidRPr="00781CAC" w:rsidRDefault="00E25CC6" w:rsidP="00B57F10">
            <w:pPr>
              <w:pStyle w:val="OGTabText"/>
              <w:rPr>
                <w:lang w:eastAsia="en-AU"/>
              </w:rPr>
            </w:pPr>
            <w:r w:rsidRPr="00781CAC">
              <w:rPr>
                <w:lang w:eastAsia="en-AU"/>
              </w:rPr>
              <w:t>Number of companies or new entrants supported through the Launch Vic initiative</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120</w:t>
            </w:r>
          </w:p>
        </w:tc>
        <w:tc>
          <w:tcPr>
            <w:tcW w:w="992"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60</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120</w:t>
            </w:r>
          </w:p>
        </w:tc>
        <w:tc>
          <w:tcPr>
            <w:tcW w:w="910"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781CAC" w:rsidRDefault="00E25CC6" w:rsidP="00CD681C">
            <w:pPr>
              <w:pStyle w:val="OGNotes"/>
            </w:pPr>
            <w:r w:rsidRPr="00781CAC">
              <w:t>The 2015</w:t>
            </w:r>
            <w:r w:rsidRPr="00781CAC">
              <w:noBreakHyphen/>
              <w:t>16 expected outcome is lower than the 2015</w:t>
            </w:r>
            <w:r w:rsidRPr="00781CAC">
              <w:noBreakHyphen/>
              <w:t>16 target as Launch Vic was established in March 2016.</w:t>
            </w:r>
          </w:p>
          <w:p w:rsidR="00E25CC6" w:rsidRPr="00781CAC" w:rsidRDefault="00E25CC6" w:rsidP="00D72E0D">
            <w:pPr>
              <w:pStyle w:val="OGNotes"/>
            </w:pPr>
            <w:r w:rsidRPr="00781CAC">
              <w:t>This performance measures renames the 2015</w:t>
            </w:r>
            <w:r w:rsidRPr="00781CAC">
              <w:noBreakHyphen/>
              <w:t xml:space="preserve">16 performance measure </w:t>
            </w:r>
            <w:r>
              <w:t>‘</w:t>
            </w:r>
            <w:r w:rsidRPr="00781CAC">
              <w:t>Number of companies or new entrants supported through the Start Up initiative</w:t>
            </w:r>
            <w:r>
              <w:t>’</w:t>
            </w:r>
            <w:r w:rsidRPr="00781CAC">
              <w:t>. The new measure reports on the same activity as the previous measure however has been amended for increased clarity.</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New mobile base stations facilitated</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781CAC" w:rsidRDefault="00E25CC6" w:rsidP="00992697">
            <w:pPr>
              <w:pStyle w:val="OGNotes"/>
            </w:pPr>
            <w:r w:rsidRPr="00781CAC">
              <w:t>New performance measure for 2016</w:t>
            </w:r>
            <w:r w:rsidRPr="00781CAC">
              <w:noBreakHyphen/>
              <w:t xml:space="preserve">17 to reflect new funding provided in the </w:t>
            </w:r>
            <w:r w:rsidRPr="000939BA">
              <w:rPr>
                <w:i w:val="0"/>
              </w:rPr>
              <w:t>2016</w:t>
            </w:r>
            <w:r w:rsidRPr="000939BA">
              <w:rPr>
                <w:i w:val="0"/>
              </w:rPr>
              <w:noBreakHyphen/>
              <w:t>17 Budget</w:t>
            </w:r>
            <w:r w:rsidRPr="00781CAC">
              <w:t xml:space="preserve"> for the Victorian Mobile Project </w:t>
            </w:r>
            <w:r>
              <w:t xml:space="preserve">– Phase 2 initiative </w:t>
            </w:r>
            <w:r w:rsidRPr="00781CAC">
              <w:t>to improve regional telecommunication services.</w:t>
            </w:r>
          </w:p>
        </w:tc>
      </w:tr>
      <w:tr w:rsidR="00E25CC6" w:rsidRPr="00B57F10" w:rsidTr="00CF3B43">
        <w:trPr>
          <w:cantSplit/>
        </w:trPr>
        <w:tc>
          <w:tcPr>
            <w:tcW w:w="3144" w:type="dxa"/>
            <w:tcBorders>
              <w:top w:val="single" w:sz="6" w:space="0" w:color="auto"/>
              <w:left w:val="nil"/>
              <w:right w:val="nil"/>
            </w:tcBorders>
          </w:tcPr>
          <w:p w:rsidR="00E25CC6" w:rsidRPr="00781CAC" w:rsidRDefault="00E25CC6" w:rsidP="00B57F10">
            <w:pPr>
              <w:pStyle w:val="OGTabText"/>
              <w:rPr>
                <w:lang w:eastAsia="en-AU"/>
              </w:rPr>
            </w:pPr>
            <w:r w:rsidRPr="00781CAC">
              <w:rPr>
                <w:lang w:eastAsia="en-AU"/>
              </w:rPr>
              <w:t>Number of major research and evaluation projects completed</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6</w:t>
            </w:r>
          </w:p>
        </w:tc>
        <w:tc>
          <w:tcPr>
            <w:tcW w:w="992"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6</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6</w:t>
            </w:r>
          </w:p>
        </w:tc>
        <w:tc>
          <w:tcPr>
            <w:tcW w:w="910"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7</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 xml:space="preserve">This performance measure was proposed to be discontinued in the </w:t>
            </w:r>
            <w:r w:rsidRPr="00781CAC">
              <w:rPr>
                <w:i w:val="0"/>
              </w:rPr>
              <w:t>2015</w:t>
            </w:r>
            <w:r w:rsidRPr="00781CAC">
              <w:rPr>
                <w:i w:val="0"/>
              </w:rPr>
              <w:noBreakHyphen/>
              <w:t>16 Budget</w:t>
            </w:r>
            <w:r w:rsidRPr="00781CAC">
              <w:t>, however has been reinstated following the Public Accounts and Estimates Committee</w:t>
            </w:r>
            <w:r>
              <w:t>’</w:t>
            </w:r>
            <w:r w:rsidRPr="00781CAC">
              <w:t xml:space="preserve">s review of the </w:t>
            </w:r>
            <w:r w:rsidRPr="00781CAC">
              <w:rPr>
                <w:i w:val="0"/>
              </w:rPr>
              <w:t>2015</w:t>
            </w:r>
            <w:r w:rsidRPr="00781CAC">
              <w:rPr>
                <w:i w:val="0"/>
              </w:rPr>
              <w:noBreakHyphen/>
              <w:t>16 Budget Estimates</w:t>
            </w:r>
            <w:r w:rsidRPr="00781CAC">
              <w:t xml:space="preserve">. </w:t>
            </w:r>
          </w:p>
        </w:tc>
      </w:tr>
      <w:tr w:rsidR="00E25CC6" w:rsidRPr="00B57F10" w:rsidTr="00CF3B43">
        <w:trPr>
          <w:cantSplit/>
        </w:trPr>
        <w:tc>
          <w:tcPr>
            <w:tcW w:w="3144" w:type="dxa"/>
            <w:tcBorders>
              <w:top w:val="single" w:sz="6" w:space="0" w:color="auto"/>
              <w:left w:val="nil"/>
              <w:right w:val="nil"/>
            </w:tcBorders>
          </w:tcPr>
          <w:p w:rsidR="00E25CC6" w:rsidRPr="00781CAC" w:rsidRDefault="00E25CC6" w:rsidP="00215C84">
            <w:pPr>
              <w:pStyle w:val="OGTabText"/>
              <w:keepNext/>
              <w:rPr>
                <w:lang w:eastAsia="en-AU"/>
              </w:rPr>
            </w:pPr>
            <w:r w:rsidRPr="00781CAC">
              <w:rPr>
                <w:lang w:eastAsia="en-AU"/>
              </w:rPr>
              <w:t>Participants engaged during the Small Business Festival</w:t>
            </w:r>
          </w:p>
        </w:tc>
        <w:tc>
          <w:tcPr>
            <w:tcW w:w="907" w:type="dxa"/>
            <w:tcBorders>
              <w:top w:val="single" w:sz="6" w:space="0" w:color="auto"/>
              <w:left w:val="nil"/>
              <w:right w:val="nil"/>
            </w:tcBorders>
          </w:tcPr>
          <w:p w:rsidR="00E25CC6" w:rsidRPr="00781CAC" w:rsidRDefault="00E25CC6" w:rsidP="00215C84">
            <w:pPr>
              <w:keepNext/>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781CAC" w:rsidRDefault="00E25CC6" w:rsidP="00215C84">
            <w:pPr>
              <w:keepNext/>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29 000</w:t>
            </w:r>
          </w:p>
        </w:tc>
        <w:tc>
          <w:tcPr>
            <w:tcW w:w="992" w:type="dxa"/>
            <w:tcBorders>
              <w:top w:val="single" w:sz="6" w:space="0" w:color="auto"/>
              <w:left w:val="nil"/>
              <w:right w:val="nil"/>
            </w:tcBorders>
          </w:tcPr>
          <w:p w:rsidR="00E25CC6" w:rsidRPr="00781CAC" w:rsidRDefault="00E25CC6" w:rsidP="00215C84">
            <w:pPr>
              <w:keepNext/>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28 416</w:t>
            </w:r>
          </w:p>
        </w:tc>
        <w:tc>
          <w:tcPr>
            <w:tcW w:w="907" w:type="dxa"/>
            <w:tcBorders>
              <w:top w:val="single" w:sz="6" w:space="0" w:color="auto"/>
              <w:left w:val="nil"/>
              <w:right w:val="nil"/>
            </w:tcBorders>
          </w:tcPr>
          <w:p w:rsidR="00E25CC6" w:rsidRPr="00781CAC" w:rsidRDefault="00E25CC6" w:rsidP="00215C84">
            <w:pPr>
              <w:keepNext/>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30 000</w:t>
            </w:r>
          </w:p>
        </w:tc>
        <w:tc>
          <w:tcPr>
            <w:tcW w:w="910" w:type="dxa"/>
            <w:tcBorders>
              <w:top w:val="single" w:sz="6" w:space="0" w:color="auto"/>
              <w:left w:val="nil"/>
              <w:right w:val="nil"/>
            </w:tcBorders>
          </w:tcPr>
          <w:p w:rsidR="00E25CC6" w:rsidRPr="00781CAC" w:rsidRDefault="00E25CC6" w:rsidP="00215C84">
            <w:pPr>
              <w:keepNext/>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r>
      <w:tr w:rsidR="00E25CC6" w:rsidRPr="00B57F10" w:rsidTr="00CF3B43">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The 2015</w:t>
            </w:r>
            <w:r w:rsidRPr="00781CAC">
              <w:noBreakHyphen/>
              <w:t>16 expected outcome is lower than the 2015</w:t>
            </w:r>
            <w:r w:rsidRPr="00781CAC">
              <w:noBreakHyphen/>
              <w:t>16 target as casual visitors to free events now no longer contribute to the target.</w:t>
            </w:r>
          </w:p>
          <w:p w:rsidR="00E25CC6" w:rsidRPr="00781CAC" w:rsidRDefault="00E25CC6" w:rsidP="00D72E0D">
            <w:pPr>
              <w:pStyle w:val="OGNotes"/>
            </w:pPr>
            <w:r w:rsidRPr="00781CAC">
              <w:t>The lower 2016</w:t>
            </w:r>
            <w:r w:rsidRPr="00781CAC">
              <w:noBreakHyphen/>
              <w:t>17 target reflects an increased focus on delivery of festival events in regional areas.</w:t>
            </w:r>
          </w:p>
        </w:tc>
      </w:tr>
      <w:tr w:rsidR="00E25CC6" w:rsidRPr="00B57F10" w:rsidTr="00CF3B43">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Subscriptions to Small Business Victoria E-Newsletter</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38 000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38 000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38 000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CF3B43">
        <w:trPr>
          <w:cantSplit/>
        </w:trPr>
        <w:tc>
          <w:tcPr>
            <w:tcW w:w="3144" w:type="dxa"/>
            <w:tcBorders>
              <w:top w:val="single" w:sz="6" w:space="0" w:color="auto"/>
              <w:left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CF3B43">
        <w:trPr>
          <w:cantSplit/>
        </w:trPr>
        <w:tc>
          <w:tcPr>
            <w:tcW w:w="3144" w:type="dxa"/>
            <w:tcBorders>
              <w:top w:val="nil"/>
              <w:left w:val="nil"/>
              <w:bottom w:val="single" w:sz="6" w:space="0" w:color="auto"/>
              <w:right w:val="nil"/>
            </w:tcBorders>
          </w:tcPr>
          <w:p w:rsidR="00E25CC6" w:rsidRPr="00B57F10" w:rsidRDefault="00E25CC6" w:rsidP="00B57F10">
            <w:pPr>
              <w:pStyle w:val="OGTabText"/>
              <w:rPr>
                <w:lang w:eastAsia="en-AU"/>
              </w:rPr>
            </w:pPr>
            <w:r w:rsidRPr="00B57F10">
              <w:rPr>
                <w:lang w:eastAsia="en-AU"/>
              </w:rPr>
              <w:t>Client satisfaction of small business information, referral, mentoring service and business programs</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10"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96</w:t>
            </w:r>
          </w:p>
        </w:tc>
      </w:tr>
      <w:tr w:rsidR="00E25CC6" w:rsidRPr="00B57F10" w:rsidTr="00CF3B43">
        <w:trPr>
          <w:cantSplit/>
        </w:trPr>
        <w:tc>
          <w:tcPr>
            <w:tcW w:w="3144" w:type="dxa"/>
            <w:tcBorders>
              <w:top w:val="single" w:sz="6" w:space="0" w:color="auto"/>
              <w:left w:val="nil"/>
              <w:right w:val="nil"/>
            </w:tcBorders>
          </w:tcPr>
          <w:p w:rsidR="00E25CC6" w:rsidRPr="00781CAC" w:rsidRDefault="00E25CC6" w:rsidP="00B57F10">
            <w:pPr>
              <w:pStyle w:val="OGTabText"/>
              <w:rPr>
                <w:lang w:eastAsia="en-AU"/>
              </w:rPr>
            </w:pPr>
            <w:r w:rsidRPr="00781CAC">
              <w:rPr>
                <w:lang w:eastAsia="en-AU"/>
              </w:rPr>
              <w:t>Client satisfaction with Victorian Small Business Commission mediation service</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781CAC" w:rsidRDefault="00E25CC6" w:rsidP="00206266">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w:t>
            </w:r>
            <w:r>
              <w:rPr>
                <w:rFonts w:ascii="Calibri" w:hAnsi="Calibri" w:cs="Calibri"/>
                <w:sz w:val="19"/>
                <w:szCs w:val="22"/>
                <w:lang w:eastAsia="en-AU"/>
              </w:rPr>
              <w:t>5</w:t>
            </w:r>
          </w:p>
        </w:tc>
        <w:tc>
          <w:tcPr>
            <w:tcW w:w="992"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90</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80</w:t>
            </w:r>
          </w:p>
        </w:tc>
        <w:tc>
          <w:tcPr>
            <w:tcW w:w="910"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95</w:t>
            </w:r>
          </w:p>
        </w:tc>
      </w:tr>
      <w:tr w:rsidR="00E25CC6" w:rsidRPr="00B57F10" w:rsidTr="00670E32">
        <w:trPr>
          <w:cantSplit/>
        </w:trPr>
        <w:tc>
          <w:tcPr>
            <w:tcW w:w="7767" w:type="dxa"/>
            <w:gridSpan w:val="6"/>
            <w:tcBorders>
              <w:top w:val="nil"/>
              <w:left w:val="nil"/>
              <w:bottom w:val="single" w:sz="6" w:space="0" w:color="auto"/>
              <w:right w:val="nil"/>
            </w:tcBorders>
          </w:tcPr>
          <w:p w:rsidR="00E25CC6" w:rsidRDefault="00E25CC6" w:rsidP="00D72E0D">
            <w:pPr>
              <w:pStyle w:val="OGNotes"/>
            </w:pPr>
            <w:r w:rsidRPr="00781CAC">
              <w:t>The 2015</w:t>
            </w:r>
            <w:r w:rsidRPr="00781CAC">
              <w:noBreakHyphen/>
              <w:t>16 expected outcome is higher than the 2015</w:t>
            </w:r>
            <w:r w:rsidRPr="00781CAC">
              <w:noBreakHyphen/>
              <w:t>16 target due to participants</w:t>
            </w:r>
            <w:r>
              <w:t>’</w:t>
            </w:r>
            <w:r w:rsidRPr="00781CAC">
              <w:t xml:space="preserve"> recognition of the value of the dispute resolution provided by the office.</w:t>
            </w:r>
          </w:p>
          <w:p w:rsidR="00E25CC6" w:rsidRPr="00781CAC" w:rsidRDefault="00E25CC6" w:rsidP="00656F5B">
            <w:pPr>
              <w:pStyle w:val="OGNotes"/>
            </w:pPr>
            <w:r w:rsidRPr="001F70AB">
              <w:t>The higher 2016</w:t>
            </w:r>
            <w:r>
              <w:noBreakHyphen/>
            </w:r>
            <w:r w:rsidRPr="001F70AB">
              <w:t>17 target reflects this increased recognition.</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781CAC" w:rsidRDefault="00E25CC6" w:rsidP="00B57F10">
            <w:pPr>
              <w:pStyle w:val="OGTabText"/>
              <w:rPr>
                <w:lang w:eastAsia="en-AU"/>
              </w:rPr>
            </w:pPr>
            <w:r w:rsidRPr="00781CAC">
              <w:rPr>
                <w:lang w:eastAsia="en-AU"/>
              </w:rPr>
              <w:t>Client satisfaction with the Victorian Government Business Offices</w:t>
            </w:r>
          </w:p>
        </w:tc>
        <w:tc>
          <w:tcPr>
            <w:tcW w:w="907" w:type="dxa"/>
            <w:tcBorders>
              <w:top w:val="single" w:sz="6" w:space="0" w:color="auto"/>
              <w:left w:val="nil"/>
              <w:bottom w:val="single" w:sz="6" w:space="0" w:color="auto"/>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80</w:t>
            </w:r>
          </w:p>
        </w:tc>
        <w:tc>
          <w:tcPr>
            <w:tcW w:w="992" w:type="dxa"/>
            <w:tcBorders>
              <w:top w:val="single" w:sz="6" w:space="0" w:color="auto"/>
              <w:left w:val="nil"/>
              <w:bottom w:val="single" w:sz="6" w:space="0" w:color="auto"/>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80</w:t>
            </w:r>
          </w:p>
        </w:tc>
        <w:tc>
          <w:tcPr>
            <w:tcW w:w="907" w:type="dxa"/>
            <w:tcBorders>
              <w:top w:val="single" w:sz="6" w:space="0" w:color="auto"/>
              <w:left w:val="nil"/>
              <w:bottom w:val="single" w:sz="6" w:space="0" w:color="auto"/>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80</w:t>
            </w:r>
          </w:p>
        </w:tc>
        <w:tc>
          <w:tcPr>
            <w:tcW w:w="910" w:type="dxa"/>
            <w:tcBorders>
              <w:top w:val="single" w:sz="6" w:space="0" w:color="auto"/>
              <w:left w:val="nil"/>
              <w:bottom w:val="single" w:sz="6" w:space="0" w:color="auto"/>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nm</w:t>
            </w:r>
          </w:p>
        </w:tc>
      </w:tr>
      <w:tr w:rsidR="00E25CC6" w:rsidRPr="00B57F10" w:rsidTr="00670E32">
        <w:trPr>
          <w:cantSplit/>
        </w:trPr>
        <w:tc>
          <w:tcPr>
            <w:tcW w:w="3144" w:type="dxa"/>
            <w:tcBorders>
              <w:top w:val="single" w:sz="6" w:space="0" w:color="auto"/>
              <w:left w:val="nil"/>
              <w:right w:val="nil"/>
            </w:tcBorders>
          </w:tcPr>
          <w:p w:rsidR="00E25CC6" w:rsidRPr="00781CAC" w:rsidRDefault="00E25CC6" w:rsidP="00B57F10">
            <w:pPr>
              <w:pStyle w:val="OGTabText"/>
              <w:rPr>
                <w:lang w:eastAsia="en-AU"/>
              </w:rPr>
            </w:pPr>
            <w:r w:rsidRPr="00781CAC">
              <w:rPr>
                <w:lang w:eastAsia="en-AU"/>
              </w:rPr>
              <w:t>Proportion of business disputes presented to the Small Business Commission successfully mediated</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75</w:t>
            </w:r>
          </w:p>
        </w:tc>
        <w:tc>
          <w:tcPr>
            <w:tcW w:w="992"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75</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75</w:t>
            </w:r>
          </w:p>
        </w:tc>
        <w:tc>
          <w:tcPr>
            <w:tcW w:w="910"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82</w:t>
            </w:r>
          </w:p>
        </w:tc>
      </w:tr>
      <w:tr w:rsidR="00E25CC6" w:rsidRPr="00B57F10" w:rsidTr="00670E32">
        <w:trPr>
          <w:cantSplit/>
        </w:trPr>
        <w:tc>
          <w:tcPr>
            <w:tcW w:w="3144" w:type="dxa"/>
            <w:tcBorders>
              <w:top w:val="single" w:sz="6" w:space="0" w:color="auto"/>
              <w:left w:val="nil"/>
              <w:bottom w:val="nil"/>
              <w:right w:val="nil"/>
            </w:tcBorders>
          </w:tcPr>
          <w:p w:rsidR="00E25CC6" w:rsidRPr="00781CAC" w:rsidRDefault="00E25CC6" w:rsidP="00B57F10">
            <w:pPr>
              <w:autoSpaceDE w:val="0"/>
              <w:autoSpaceDN w:val="0"/>
              <w:adjustRightInd w:val="0"/>
              <w:spacing w:after="0"/>
              <w:ind w:left="227" w:hanging="227"/>
              <w:rPr>
                <w:rFonts w:ascii="Calibri" w:hAnsi="Calibri" w:cs="Calibri"/>
                <w:i/>
                <w:iCs/>
                <w:sz w:val="19"/>
                <w:szCs w:val="22"/>
                <w:lang w:eastAsia="en-AU"/>
              </w:rPr>
            </w:pPr>
            <w:r w:rsidRPr="00781CAC">
              <w:rPr>
                <w:rFonts w:ascii="Calibri" w:hAnsi="Calibri" w:cs="Calibri"/>
                <w:i/>
                <w:iCs/>
                <w:sz w:val="19"/>
                <w:szCs w:val="22"/>
                <w:lang w:eastAsia="en-AU"/>
              </w:rPr>
              <w:t>Cost</w:t>
            </w:r>
          </w:p>
        </w:tc>
        <w:tc>
          <w:tcPr>
            <w:tcW w:w="907" w:type="dxa"/>
            <w:tcBorders>
              <w:top w:val="single" w:sz="6" w:space="0" w:color="auto"/>
              <w:left w:val="nil"/>
              <w:bottom w:val="nil"/>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10" w:type="dxa"/>
            <w:tcBorders>
              <w:top w:val="single" w:sz="6" w:space="0" w:color="auto"/>
              <w:left w:val="nil"/>
              <w:bottom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r>
      <w:tr w:rsidR="00E25CC6" w:rsidRPr="00B57F10" w:rsidTr="002F069B">
        <w:trPr>
          <w:cantSplit/>
        </w:trPr>
        <w:tc>
          <w:tcPr>
            <w:tcW w:w="3144" w:type="dxa"/>
            <w:tcBorders>
              <w:top w:val="nil"/>
              <w:left w:val="nil"/>
              <w:right w:val="nil"/>
            </w:tcBorders>
          </w:tcPr>
          <w:p w:rsidR="00E25CC6" w:rsidRPr="00781CAC" w:rsidRDefault="00E25CC6" w:rsidP="00B57F10">
            <w:pPr>
              <w:pStyle w:val="OGTabText"/>
              <w:rPr>
                <w:lang w:eastAsia="en-AU"/>
              </w:rPr>
            </w:pPr>
            <w:r w:rsidRPr="00781CAC">
              <w:rPr>
                <w:lang w:eastAsia="en-AU"/>
              </w:rPr>
              <w:t>Total output cost</w:t>
            </w:r>
          </w:p>
        </w:tc>
        <w:tc>
          <w:tcPr>
            <w:tcW w:w="907" w:type="dxa"/>
            <w:tcBorders>
              <w:top w:val="nil"/>
              <w:left w:val="nil"/>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153.0</w:t>
            </w:r>
          </w:p>
        </w:tc>
        <w:tc>
          <w:tcPr>
            <w:tcW w:w="992" w:type="dxa"/>
            <w:tcBorders>
              <w:top w:val="nil"/>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88.2</w:t>
            </w:r>
          </w:p>
        </w:tc>
        <w:tc>
          <w:tcPr>
            <w:tcW w:w="907" w:type="dxa"/>
            <w:tcBorders>
              <w:top w:val="nil"/>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108.4</w:t>
            </w:r>
          </w:p>
        </w:tc>
        <w:tc>
          <w:tcPr>
            <w:tcW w:w="910" w:type="dxa"/>
            <w:tcBorders>
              <w:top w:val="nil"/>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116.9</w:t>
            </w:r>
          </w:p>
        </w:tc>
      </w:tr>
      <w:tr w:rsidR="00E25CC6" w:rsidRPr="00B57F10" w:rsidTr="002F069B">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rPr>
                <w:highlight w:val="yellow"/>
              </w:rPr>
            </w:pPr>
            <w:r w:rsidRPr="00781CAC">
              <w:t>The 2015</w:t>
            </w:r>
            <w:r w:rsidRPr="00781CAC">
              <w:noBreakHyphen/>
              <w:t>16 expected outcome is lower than the 2015</w:t>
            </w:r>
            <w:r w:rsidRPr="00781CAC">
              <w:noBreakHyphen/>
              <w:t>16 target due to rephasing the timing of expenditure from 2015</w:t>
            </w:r>
            <w:r w:rsidRPr="00781CAC">
              <w:noBreakHyphen/>
              <w:t>16 to future years, primarily for the Future Industries Fund.</w:t>
            </w:r>
            <w:r w:rsidRPr="00781CAC">
              <w:rPr>
                <w:highlight w:val="yellow"/>
              </w:rPr>
              <w:t xml:space="preserve"> </w:t>
            </w:r>
          </w:p>
          <w:p w:rsidR="00E25CC6" w:rsidRPr="00781CAC" w:rsidRDefault="00E25CC6" w:rsidP="00237057">
            <w:pPr>
              <w:pStyle w:val="OGNotes"/>
            </w:pPr>
            <w:r w:rsidRPr="00781CAC">
              <w:t>The higher 2016</w:t>
            </w:r>
            <w:r w:rsidRPr="00781CAC">
              <w:noBreakHyphen/>
              <w:t xml:space="preserve">17 target reflects the rephasing of expenditure to the Future Industries Fund and additional funding in the </w:t>
            </w:r>
            <w:r w:rsidRPr="00781CAC">
              <w:rPr>
                <w:i w:val="0"/>
              </w:rPr>
              <w:t>2016</w:t>
            </w:r>
            <w:r w:rsidRPr="00781CAC">
              <w:rPr>
                <w:i w:val="0"/>
              </w:rPr>
              <w:noBreakHyphen/>
              <w:t>17 Budget</w:t>
            </w:r>
            <w:r w:rsidRPr="00781CAC">
              <w:t xml:space="preserve"> for the extension of the Future Industries Fund and other initiatives. It also reflects increased budgeted expenditure in the Automotive Supply Chain Transition Program.</w:t>
            </w:r>
          </w:p>
          <w:p w:rsidR="00E25CC6" w:rsidRPr="00781CAC" w:rsidRDefault="00E25CC6" w:rsidP="00D72E0D">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B57F10" w:rsidTr="002F069B">
        <w:trPr>
          <w:cantSplit/>
        </w:trPr>
        <w:tc>
          <w:tcPr>
            <w:tcW w:w="7767" w:type="dxa"/>
            <w:gridSpan w:val="6"/>
            <w:tcBorders>
              <w:top w:val="single" w:sz="6" w:space="0" w:color="auto"/>
              <w:left w:val="nil"/>
              <w:bottom w:val="nil"/>
              <w:right w:val="nil"/>
            </w:tcBorders>
          </w:tcPr>
          <w:p w:rsidR="00E25CC6" w:rsidRPr="00B57F10" w:rsidRDefault="00E25CC6" w:rsidP="002F069B">
            <w:pPr>
              <w:pStyle w:val="OGHeading2"/>
              <w:rPr>
                <w:lang w:eastAsia="en-AU"/>
              </w:rPr>
            </w:pPr>
            <w:r w:rsidRPr="00B57F10">
              <w:rPr>
                <w:lang w:eastAsia="en-AU"/>
              </w:rPr>
              <w:t xml:space="preserve">Major Projects </w:t>
            </w:r>
          </w:p>
        </w:tc>
      </w:tr>
      <w:tr w:rsidR="00E25CC6" w:rsidRPr="00B57F10" w:rsidTr="00B57F10">
        <w:trPr>
          <w:cantSplit/>
        </w:trPr>
        <w:tc>
          <w:tcPr>
            <w:tcW w:w="7767" w:type="dxa"/>
            <w:gridSpan w:val="6"/>
            <w:tcBorders>
              <w:top w:val="nil"/>
              <w:left w:val="nil"/>
              <w:bottom w:val="single" w:sz="6" w:space="0" w:color="auto"/>
              <w:right w:val="nil"/>
            </w:tcBorders>
          </w:tcPr>
          <w:p w:rsidR="00E25CC6" w:rsidRPr="00B57F10" w:rsidRDefault="00E25CC6" w:rsidP="002F069B">
            <w:pPr>
              <w:pStyle w:val="OGTabText"/>
              <w:keepNext/>
            </w:pPr>
            <w:r w:rsidRPr="00B57F10">
              <w:t>This output facilitates investment in the Victorian economy through the development, delivery and management of economic assets. This output represents activities undertaken by Major Projects Victoria (MPV) within the Department of Economic Development, Jobs, Transport and Resources. Output costs include the cost of projects for which Major Projects Victoria has financial responsibility.</w:t>
            </w:r>
          </w:p>
        </w:tc>
      </w:tr>
      <w:tr w:rsidR="00E25CC6" w:rsidRPr="00B57F10" w:rsidTr="00B57F10">
        <w:trPr>
          <w:cantSplit/>
        </w:trPr>
        <w:tc>
          <w:tcPr>
            <w:tcW w:w="3144" w:type="dxa"/>
            <w:tcBorders>
              <w:top w:val="nil"/>
              <w:left w:val="nil"/>
              <w:bottom w:val="nil"/>
              <w:right w:val="nil"/>
            </w:tcBorders>
          </w:tcPr>
          <w:p w:rsidR="00E25CC6" w:rsidRPr="00B57F10" w:rsidRDefault="00E25CC6" w:rsidP="002F069B">
            <w:pPr>
              <w:keepNext/>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B57F10" w:rsidRDefault="00E25CC6" w:rsidP="002F069B">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right w:val="nil"/>
            </w:tcBorders>
          </w:tcPr>
          <w:p w:rsidR="00E25CC6" w:rsidRPr="00B57F10" w:rsidRDefault="00E25CC6" w:rsidP="002F069B">
            <w:pPr>
              <w:pStyle w:val="OGTabText"/>
              <w:keepNext/>
              <w:rPr>
                <w:lang w:eastAsia="en-AU"/>
              </w:rPr>
            </w:pPr>
            <w:r w:rsidRPr="00B57F10">
              <w:rPr>
                <w:lang w:eastAsia="en-AU"/>
              </w:rPr>
              <w:t>Major projects in delivery or development at 1 July by Major Projects Victoria and the Major Projects Division</w:t>
            </w:r>
          </w:p>
        </w:tc>
        <w:tc>
          <w:tcPr>
            <w:tcW w:w="907" w:type="dxa"/>
            <w:tcBorders>
              <w:top w:val="nil"/>
              <w:left w:val="nil"/>
              <w:right w:val="nil"/>
            </w:tcBorders>
          </w:tcPr>
          <w:p w:rsidR="00E25CC6" w:rsidRPr="00B57F10" w:rsidRDefault="00E25CC6" w:rsidP="002F069B">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14</w:t>
            </w:r>
          </w:p>
        </w:tc>
        <w:tc>
          <w:tcPr>
            <w:tcW w:w="992"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w:t>
            </w:r>
          </w:p>
        </w:tc>
        <w:tc>
          <w:tcPr>
            <w:tcW w:w="907"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15</w:t>
            </w:r>
          </w:p>
        </w:tc>
        <w:tc>
          <w:tcPr>
            <w:tcW w:w="910"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B57F10">
              <w:t>The 2015</w:t>
            </w:r>
            <w:r w:rsidRPr="00804F7C">
              <w:noBreakHyphen/>
            </w:r>
            <w:r w:rsidRPr="00B57F10">
              <w:t>16 expected outcome is higher than the 2015</w:t>
            </w:r>
            <w:r w:rsidRPr="00781CAC">
              <w:noBreakHyphen/>
              <w:t>16 target as Major Projects Victoria (MPV) commenced development work on additional projects including Ballarat Emergency Services Hub, Ballarat West Employment Zone Freight Hub and Flinders Street Station Administration Building.</w:t>
            </w:r>
          </w:p>
          <w:p w:rsidR="00E25CC6" w:rsidRPr="00B57F10" w:rsidRDefault="00E25CC6" w:rsidP="00240264">
            <w:pPr>
              <w:pStyle w:val="OGNotes"/>
            </w:pPr>
            <w:r w:rsidRPr="00781CAC">
              <w:t>The lower 2016</w:t>
            </w:r>
            <w:r w:rsidRPr="00781CAC">
              <w:noBreakHyphen/>
              <w:t>17 target reflects the net movement of projects. Concluding projects include the Melbourne Markets Warehousing and Capital Infrastructure works, Ballarat Emergency Services Hub and the NGV Contemporary Business Case.</w:t>
            </w:r>
          </w:p>
        </w:tc>
      </w:tr>
      <w:tr w:rsidR="00E25CC6" w:rsidRPr="00B57F10" w:rsidTr="00670E32">
        <w:trPr>
          <w:cantSplit/>
        </w:trPr>
        <w:tc>
          <w:tcPr>
            <w:tcW w:w="3144" w:type="dxa"/>
            <w:tcBorders>
              <w:top w:val="single" w:sz="6" w:space="0" w:color="auto"/>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Major Projects Victoria projects, with contracts in place as of 1 July, that have had less than 5 per cent variation in contracted cost from 1 July</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2:5</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The 2015</w:t>
            </w:r>
            <w:r w:rsidRPr="00781CAC">
              <w:noBreakHyphen/>
              <w:t>16 expected outcome is lower than the 2015</w:t>
            </w:r>
            <w:r w:rsidRPr="00781CAC">
              <w:noBreakHyphen/>
              <w:t>16 target due to a variation to the contracted cost of the Melbourne Park Redevelopment – Administration and Media Building for the level 6 fit out, funded by Melbourne and Olympic Park Trust and Tennis Australia.</w:t>
            </w:r>
          </w:p>
          <w:p w:rsidR="00E25CC6" w:rsidRPr="00781CAC" w:rsidRDefault="00E25CC6" w:rsidP="00B57F10">
            <w:pPr>
              <w:pStyle w:val="OGNotes"/>
            </w:pPr>
            <w:r w:rsidRPr="00781CAC">
              <w:t>The higher 2016</w:t>
            </w:r>
            <w:r w:rsidRPr="00781CAC">
              <w:noBreakHyphen/>
              <w:t xml:space="preserve">17 target reflects additional contracts expected to be in place on 1 July 2016 for Melbourne Park (Rod Laver Arena and Batman Bridge), the Palais Theatre Redevelopment and Flinders Street Station Administration Building. </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Major Projects Victoria projects, with contracts in place as of 1 July, that have had no material variation in contracted scope from 1 July</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4</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3:5</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The 2015</w:t>
            </w:r>
            <w:r w:rsidRPr="00781CAC">
              <w:noBreakHyphen/>
              <w:t>16 expected outcome is lower than the 2015</w:t>
            </w:r>
            <w:r w:rsidRPr="00781CAC">
              <w:noBreakHyphen/>
              <w:t>16 target. This relates to Melbourne Park Redevelopment – Administration and Media Building, contract scope variation for the level 6 fit out, funded by Melbourne and Olympic Park Trust and Tennis Australia.</w:t>
            </w:r>
          </w:p>
          <w:p w:rsidR="00E25CC6" w:rsidRPr="00781CAC" w:rsidRDefault="00E25CC6" w:rsidP="00B57F10">
            <w:pPr>
              <w:pStyle w:val="OGNotes"/>
            </w:pPr>
            <w:r w:rsidRPr="00781CAC">
              <w:t>The higher 2016</w:t>
            </w:r>
            <w:r w:rsidRPr="00781CAC">
              <w:noBreakHyphen/>
              <w:t xml:space="preserve">17 target reflects additional contracts expected to be in place on 1 July 2016 for Melbourne Park (Rod Laver Arena and Batman Bridge), the Palais Theatre Redevelopment and Flinders Street Station Administration Building. </w:t>
            </w:r>
          </w:p>
        </w:tc>
      </w:tr>
      <w:tr w:rsidR="00E25CC6" w:rsidRPr="00B57F10" w:rsidTr="00670E32">
        <w:trPr>
          <w:cantSplit/>
        </w:trPr>
        <w:tc>
          <w:tcPr>
            <w:tcW w:w="3144"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right w:val="nil"/>
            </w:tcBorders>
          </w:tcPr>
          <w:p w:rsidR="00E25CC6" w:rsidRPr="00B57F10" w:rsidRDefault="00E25CC6" w:rsidP="00EC1940">
            <w:pPr>
              <w:pStyle w:val="OGTabText"/>
              <w:keepNext/>
              <w:rPr>
                <w:lang w:eastAsia="en-AU"/>
              </w:rPr>
            </w:pPr>
            <w:r w:rsidRPr="00B57F10">
              <w:rPr>
                <w:lang w:eastAsia="en-AU"/>
              </w:rPr>
              <w:t>Major Projects Victoria projects, with contracts in place as of 1 July, that have had less than 5 per cent variation in contracted time from 1</w:t>
            </w:r>
            <w:r>
              <w:rPr>
                <w:lang w:eastAsia="en-AU"/>
              </w:rPr>
              <w:t> </w:t>
            </w:r>
            <w:r w:rsidRPr="00B57F10">
              <w:rPr>
                <w:lang w:eastAsia="en-AU"/>
              </w:rPr>
              <w:t>July</w:t>
            </w:r>
          </w:p>
        </w:tc>
        <w:tc>
          <w:tcPr>
            <w:tcW w:w="907" w:type="dxa"/>
            <w:tcBorders>
              <w:top w:val="nil"/>
              <w:left w:val="nil"/>
              <w:right w:val="nil"/>
            </w:tcBorders>
          </w:tcPr>
          <w:p w:rsidR="00E25CC6" w:rsidRPr="00B57F10" w:rsidRDefault="00E25CC6" w:rsidP="002F069B">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w:t>
            </w:r>
          </w:p>
        </w:tc>
        <w:tc>
          <w:tcPr>
            <w:tcW w:w="992"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w:t>
            </w:r>
          </w:p>
        </w:tc>
        <w:tc>
          <w:tcPr>
            <w:tcW w:w="907"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w:t>
            </w:r>
          </w:p>
        </w:tc>
        <w:tc>
          <w:tcPr>
            <w:tcW w:w="910"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4:5</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The 2015</w:t>
            </w:r>
            <w:r w:rsidRPr="00781CAC">
              <w:noBreakHyphen/>
              <w:t>16 expected outcome is lower than the 2015</w:t>
            </w:r>
            <w:r w:rsidRPr="00781CAC">
              <w:noBreakHyphen/>
              <w:t>16 target due to a change in contracted time to the Parkville Gardens project as pre</w:t>
            </w:r>
            <w:r w:rsidRPr="00781CAC">
              <w:noBreakHyphen/>
              <w:t>commitment to sales have slowed and a change in contracted time for the Melbourne Markets Capital Operational Infrastructure Works due to design changes.</w:t>
            </w:r>
          </w:p>
          <w:p w:rsidR="00E25CC6" w:rsidRPr="00781CAC" w:rsidRDefault="00E25CC6" w:rsidP="00B57F10">
            <w:pPr>
              <w:pStyle w:val="OGNotes"/>
            </w:pPr>
            <w:r w:rsidRPr="00781CAC">
              <w:t>The higher 2016</w:t>
            </w:r>
            <w:r w:rsidRPr="00781CAC">
              <w:noBreakHyphen/>
              <w:t xml:space="preserve">17 target reflects additional contracts expected to be in place on 1 July 2016 for Melbourne Park (Rod Laver Arena and Batman Bridge), the Palais Theatre Redevelopment and Flinders Street Station Administration Building. </w:t>
            </w:r>
          </w:p>
        </w:tc>
      </w:tr>
      <w:tr w:rsidR="00E25CC6" w:rsidRPr="00B57F10" w:rsidTr="00670E32">
        <w:trPr>
          <w:cantSplit/>
        </w:trPr>
        <w:tc>
          <w:tcPr>
            <w:tcW w:w="3144" w:type="dxa"/>
            <w:tcBorders>
              <w:top w:val="single" w:sz="6" w:space="0" w:color="auto"/>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2F069B">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Total output cost</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19.5</w:t>
            </w:r>
          </w:p>
        </w:tc>
        <w:tc>
          <w:tcPr>
            <w:tcW w:w="992" w:type="dxa"/>
            <w:tcBorders>
              <w:top w:val="nil"/>
              <w:left w:val="nil"/>
              <w:right w:val="nil"/>
            </w:tcBorders>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18.4</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19.5</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118.0</w:t>
            </w:r>
          </w:p>
        </w:tc>
      </w:tr>
      <w:tr w:rsidR="00E25CC6" w:rsidRPr="00B57F10" w:rsidTr="002F069B">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The 2015</w:t>
            </w:r>
            <w:r w:rsidRPr="00781CAC">
              <w:noBreakHyphen/>
              <w:t>16 expected outcome is lower than the 2015</w:t>
            </w:r>
            <w:r w:rsidRPr="00781CAC">
              <w:noBreakHyphen/>
              <w:t>16 target primarily due to a reallocation of funds between outputs.</w:t>
            </w:r>
          </w:p>
          <w:p w:rsidR="00E25CC6" w:rsidRPr="00781CAC" w:rsidRDefault="00E25CC6" w:rsidP="00D72E0D">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B57F10" w:rsidTr="002F069B">
        <w:trPr>
          <w:cantSplit/>
        </w:trPr>
        <w:tc>
          <w:tcPr>
            <w:tcW w:w="7767" w:type="dxa"/>
            <w:gridSpan w:val="6"/>
            <w:tcBorders>
              <w:top w:val="single" w:sz="6" w:space="0" w:color="auto"/>
              <w:left w:val="nil"/>
              <w:bottom w:val="nil"/>
              <w:right w:val="nil"/>
            </w:tcBorders>
          </w:tcPr>
          <w:p w:rsidR="00E25CC6" w:rsidRPr="00B57F10" w:rsidRDefault="00E25CC6" w:rsidP="00B57F10">
            <w:pPr>
              <w:pStyle w:val="OGHeading2"/>
              <w:rPr>
                <w:lang w:eastAsia="en-AU"/>
              </w:rPr>
            </w:pPr>
            <w:r w:rsidRPr="00B57F10">
              <w:rPr>
                <w:lang w:eastAsia="en-AU"/>
              </w:rPr>
              <w:t>Regional Development</w:t>
            </w:r>
          </w:p>
        </w:tc>
      </w:tr>
      <w:tr w:rsidR="00E25CC6" w:rsidRPr="00B57F10" w:rsidTr="00B57F10">
        <w:trPr>
          <w:cantSplit/>
        </w:trPr>
        <w:tc>
          <w:tcPr>
            <w:tcW w:w="7767" w:type="dxa"/>
            <w:gridSpan w:val="6"/>
            <w:tcBorders>
              <w:top w:val="nil"/>
              <w:left w:val="nil"/>
              <w:bottom w:val="single" w:sz="6" w:space="0" w:color="auto"/>
              <w:right w:val="nil"/>
            </w:tcBorders>
          </w:tcPr>
          <w:p w:rsidR="00E25CC6" w:rsidRPr="00B57F10" w:rsidRDefault="00E25CC6" w:rsidP="00B57F10">
            <w:pPr>
              <w:pStyle w:val="OGTabText"/>
            </w:pPr>
            <w:r w:rsidRPr="00B57F10">
              <w:t>This output guides the development and implementation of regional plans and strategies to manage growth and change in regional and rural Victoria. It provides better services to encourage innovation in order to create jobs and improve career opportunities for regional Victorians.</w:t>
            </w:r>
          </w:p>
        </w:tc>
      </w:tr>
      <w:tr w:rsidR="00E25CC6" w:rsidRPr="00B57F10" w:rsidTr="00670E32">
        <w:trPr>
          <w:cantSplit/>
        </w:trPr>
        <w:tc>
          <w:tcPr>
            <w:tcW w:w="3144" w:type="dxa"/>
            <w:tcBorders>
              <w:top w:val="nil"/>
              <w:left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Quantity</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bottom w:val="single" w:sz="6" w:space="0" w:color="auto"/>
              <w:right w:val="nil"/>
            </w:tcBorders>
          </w:tcPr>
          <w:p w:rsidR="00E25CC6" w:rsidRPr="00B57F10" w:rsidRDefault="00E25CC6" w:rsidP="00B57F10">
            <w:pPr>
              <w:pStyle w:val="OGTabText"/>
              <w:rPr>
                <w:lang w:eastAsia="en-AU"/>
              </w:rPr>
            </w:pPr>
            <w:r w:rsidRPr="00B57F10">
              <w:rPr>
                <w:lang w:eastAsia="en-AU"/>
              </w:rPr>
              <w:t>Actual export sales generated for regional businesses as a result of participation in government programs</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50</w:t>
            </w:r>
          </w:p>
        </w:tc>
        <w:tc>
          <w:tcPr>
            <w:tcW w:w="992"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50</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50</w:t>
            </w:r>
          </w:p>
        </w:tc>
        <w:tc>
          <w:tcPr>
            <w:tcW w:w="910"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Economic development and service delivery projects supported</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120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120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120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Employment in regional Victoria resulting from government investment facilitation services and assistance</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323886">
              <w:rPr>
                <w:rFonts w:ascii="Calibri" w:hAnsi="Calibri" w:cs="Calibri"/>
                <w:color w:val="000000"/>
                <w:sz w:val="19"/>
                <w:szCs w:val="22"/>
                <w:lang w:eastAsia="en-AU"/>
              </w:rPr>
              <w:t>1 200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1 200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1 200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2 094</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New investment in regional Victoria resulting from government facilitation services and assistance</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323886">
              <w:rPr>
                <w:rFonts w:ascii="Calibri" w:hAnsi="Calibri" w:cs="Calibri"/>
                <w:color w:val="000000"/>
                <w:sz w:val="19"/>
                <w:szCs w:val="22"/>
                <w:lang w:eastAsia="en-AU"/>
              </w:rPr>
              <w:t>700</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700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700</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724</w:t>
            </w:r>
          </w:p>
        </w:tc>
      </w:tr>
      <w:tr w:rsidR="00E25CC6" w:rsidRPr="00B57F10" w:rsidTr="002F069B">
        <w:trPr>
          <w:cantSplit/>
        </w:trPr>
        <w:tc>
          <w:tcPr>
            <w:tcW w:w="3144" w:type="dxa"/>
            <w:tcBorders>
              <w:top w:val="single" w:sz="6" w:space="0" w:color="auto"/>
              <w:left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2F069B">
        <w:trPr>
          <w:cantSplit/>
        </w:trPr>
        <w:tc>
          <w:tcPr>
            <w:tcW w:w="3144" w:type="dxa"/>
            <w:tcBorders>
              <w:top w:val="nil"/>
              <w:left w:val="nil"/>
              <w:bottom w:val="single" w:sz="6" w:space="0" w:color="auto"/>
              <w:right w:val="nil"/>
            </w:tcBorders>
          </w:tcPr>
          <w:p w:rsidR="00E25CC6" w:rsidRPr="00B57F10" w:rsidRDefault="00E25CC6" w:rsidP="00B57F10">
            <w:pPr>
              <w:pStyle w:val="OGTabText"/>
              <w:rPr>
                <w:lang w:eastAsia="en-AU"/>
              </w:rPr>
            </w:pPr>
            <w:r w:rsidRPr="00B57F10">
              <w:rPr>
                <w:lang w:eastAsia="en-AU"/>
              </w:rPr>
              <w:t>Participant satisfaction with implementation of Regional Development Victoria programs</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10"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93</w:t>
            </w:r>
          </w:p>
        </w:tc>
      </w:tr>
      <w:tr w:rsidR="00E25CC6" w:rsidRPr="00B57F10" w:rsidTr="002F069B">
        <w:trPr>
          <w:cantSplit/>
        </w:trPr>
        <w:tc>
          <w:tcPr>
            <w:tcW w:w="3144"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2F069B">
        <w:trPr>
          <w:cantSplit/>
        </w:trPr>
        <w:tc>
          <w:tcPr>
            <w:tcW w:w="3144" w:type="dxa"/>
            <w:tcBorders>
              <w:top w:val="nil"/>
              <w:left w:val="nil"/>
              <w:right w:val="nil"/>
            </w:tcBorders>
          </w:tcPr>
          <w:p w:rsidR="00E25CC6" w:rsidRPr="00B57F10" w:rsidRDefault="00E25CC6" w:rsidP="002F069B">
            <w:pPr>
              <w:pStyle w:val="OGTabText"/>
              <w:keepNext/>
              <w:rPr>
                <w:lang w:eastAsia="en-AU"/>
              </w:rPr>
            </w:pPr>
            <w:r w:rsidRPr="00B57F10">
              <w:rPr>
                <w:lang w:eastAsia="en-AU"/>
              </w:rPr>
              <w:t>Total output cost</w:t>
            </w:r>
          </w:p>
        </w:tc>
        <w:tc>
          <w:tcPr>
            <w:tcW w:w="907" w:type="dxa"/>
            <w:tcBorders>
              <w:top w:val="nil"/>
              <w:left w:val="nil"/>
              <w:right w:val="nil"/>
            </w:tcBorders>
          </w:tcPr>
          <w:p w:rsidR="00E25CC6" w:rsidRPr="00B57F10" w:rsidRDefault="00E25CC6" w:rsidP="002F069B">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180.3</w:t>
            </w:r>
          </w:p>
        </w:tc>
        <w:tc>
          <w:tcPr>
            <w:tcW w:w="992"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216.8</w:t>
            </w:r>
          </w:p>
        </w:tc>
        <w:tc>
          <w:tcPr>
            <w:tcW w:w="907"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163.4</w:t>
            </w:r>
          </w:p>
        </w:tc>
        <w:tc>
          <w:tcPr>
            <w:tcW w:w="910" w:type="dxa"/>
            <w:tcBorders>
              <w:top w:val="nil"/>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201.8</w:t>
            </w:r>
          </w:p>
        </w:tc>
      </w:tr>
      <w:tr w:rsidR="00E25CC6" w:rsidRPr="00B57F10" w:rsidTr="002F069B">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rPr>
                <w:highlight w:val="yellow"/>
              </w:rPr>
            </w:pPr>
            <w:r w:rsidRPr="00781CAC">
              <w:t>The 2015</w:t>
            </w:r>
            <w:r w:rsidRPr="00781CAC">
              <w:noBreakHyphen/>
              <w:t>16 expected outcome is higher than the 2015</w:t>
            </w:r>
            <w:r w:rsidRPr="00781CAC">
              <w:noBreakHyphen/>
              <w:t>16 target due to additional funding in 2015</w:t>
            </w:r>
            <w:r w:rsidRPr="00781CAC">
              <w:noBreakHyphen/>
              <w:t>16 for the Regional Tourism Infrastructure Fund.</w:t>
            </w:r>
            <w:r w:rsidRPr="00781CAC">
              <w:rPr>
                <w:highlight w:val="yellow"/>
              </w:rPr>
              <w:t xml:space="preserve"> </w:t>
            </w:r>
          </w:p>
          <w:p w:rsidR="00E25CC6" w:rsidRPr="00781CAC" w:rsidRDefault="00E25CC6" w:rsidP="00237057">
            <w:pPr>
              <w:pStyle w:val="OGNotes"/>
            </w:pPr>
            <w:r w:rsidRPr="00781CAC">
              <w:t>The higher 2016</w:t>
            </w:r>
            <w:r w:rsidRPr="00781CAC">
              <w:noBreakHyphen/>
              <w:t xml:space="preserve">17 target reflects additional funding in the </w:t>
            </w:r>
            <w:r w:rsidRPr="00781CAC">
              <w:rPr>
                <w:i w:val="0"/>
              </w:rPr>
              <w:t>2016</w:t>
            </w:r>
            <w:r w:rsidRPr="00781CAC">
              <w:rPr>
                <w:i w:val="0"/>
              </w:rPr>
              <w:noBreakHyphen/>
              <w:t>17 Budget</w:t>
            </w:r>
            <w:r w:rsidRPr="00781CAC">
              <w:t xml:space="preserve"> for the Regional Tourism Infrastructure Fund.</w:t>
            </w:r>
          </w:p>
          <w:p w:rsidR="00E25CC6" w:rsidRPr="00B57F10" w:rsidRDefault="00E25CC6" w:rsidP="00D72E0D">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B57F10" w:rsidTr="002F069B">
        <w:trPr>
          <w:cantSplit/>
        </w:trPr>
        <w:tc>
          <w:tcPr>
            <w:tcW w:w="7767" w:type="dxa"/>
            <w:gridSpan w:val="6"/>
            <w:tcBorders>
              <w:top w:val="single" w:sz="6" w:space="0" w:color="auto"/>
              <w:left w:val="nil"/>
              <w:bottom w:val="nil"/>
              <w:right w:val="nil"/>
            </w:tcBorders>
          </w:tcPr>
          <w:p w:rsidR="00E25CC6" w:rsidRPr="00B57F10" w:rsidRDefault="00E25CC6" w:rsidP="00B57F10">
            <w:pPr>
              <w:pStyle w:val="OGHeading2"/>
              <w:rPr>
                <w:lang w:eastAsia="en-AU"/>
              </w:rPr>
            </w:pPr>
            <w:r w:rsidRPr="00B57F10">
              <w:rPr>
                <w:lang w:eastAsia="en-AU"/>
              </w:rPr>
              <w:t xml:space="preserve">Tourism, Major Events and International Education </w:t>
            </w:r>
          </w:p>
        </w:tc>
      </w:tr>
      <w:tr w:rsidR="00E25CC6" w:rsidRPr="00B57F10" w:rsidTr="00B57F10">
        <w:trPr>
          <w:cantSplit/>
        </w:trPr>
        <w:tc>
          <w:tcPr>
            <w:tcW w:w="7767" w:type="dxa"/>
            <w:gridSpan w:val="6"/>
            <w:tcBorders>
              <w:top w:val="nil"/>
              <w:left w:val="nil"/>
              <w:bottom w:val="single" w:sz="6" w:space="0" w:color="auto"/>
              <w:right w:val="nil"/>
            </w:tcBorders>
          </w:tcPr>
          <w:p w:rsidR="00E25CC6" w:rsidRPr="00B57F10" w:rsidRDefault="00E25CC6" w:rsidP="00B57F10">
            <w:pPr>
              <w:pStyle w:val="OGTabText"/>
            </w:pPr>
            <w:r w:rsidRPr="00B57F10">
              <w:t>This output maximises employment and the long-term economic benefits of tourism, international education and major events to Victoria by developing and marketing the State as a competitive destination.</w:t>
            </w:r>
          </w:p>
        </w:tc>
      </w:tr>
      <w:tr w:rsidR="00E25CC6" w:rsidRPr="00B57F10" w:rsidTr="00B57F10">
        <w:trPr>
          <w:cantSplit/>
        </w:trPr>
        <w:tc>
          <w:tcPr>
            <w:tcW w:w="3144" w:type="dxa"/>
            <w:tcBorders>
              <w:top w:val="nil"/>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Links from Tourism Victoria consumer sites</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 (million)</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1.85</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1.76</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1.85</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B57F10">
              <w:t>This performance measure renames the 2015</w:t>
            </w:r>
            <w:r w:rsidRPr="00804F7C">
              <w:noBreakHyphen/>
            </w:r>
            <w:r w:rsidRPr="00B57F10">
              <w:t xml:space="preserve">16 performance measure </w:t>
            </w:r>
            <w:r>
              <w:t>‘</w:t>
            </w:r>
            <w:r w:rsidRPr="00B57F10">
              <w:t>Links to Tourism Victoria consumer sites</w:t>
            </w:r>
            <w:r>
              <w:t>’</w:t>
            </w:r>
            <w:r w:rsidRPr="00B57F10">
              <w:t>. The new measure reports on the same acti</w:t>
            </w:r>
            <w:r>
              <w:t xml:space="preserve">vity as the </w:t>
            </w:r>
            <w:r w:rsidRPr="00781CAC">
              <w:t>previous measure however has been amended for increased clarity.</w:t>
            </w:r>
          </w:p>
          <w:p w:rsidR="00E25CC6" w:rsidRPr="00B57F10" w:rsidRDefault="00E25CC6" w:rsidP="00080EAB">
            <w:pPr>
              <w:pStyle w:val="OGNotes"/>
            </w:pPr>
            <w:r w:rsidRPr="00781CAC">
              <w:t xml:space="preserve">This measure captures the number of visits to Victorian based websites via hyperlinks within the Tourism Victoria website. </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Major sporting and cultural events facilitated</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&gt;12</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&gt;12</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&gt;12</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Number of domestic overnight visitors</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 (million)</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21.8</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21.7</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20.9</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20.5</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higher 2016</w:t>
            </w:r>
            <w:r w:rsidRPr="00804F7C">
              <w:noBreakHyphen/>
            </w:r>
            <w:r w:rsidRPr="00B57F10">
              <w:t xml:space="preserve">17 </w:t>
            </w:r>
            <w:r w:rsidRPr="00804F7C">
              <w:t>target</w:t>
            </w:r>
            <w:r w:rsidRPr="00B57F10">
              <w:t xml:space="preserve"> reflects a lower Australian dollar and softening of outbound travel in favour of domestic travel.</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Number of visitors (international)</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 (million)</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2.5</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2.4</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2.3</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2.2</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higher 2016</w:t>
            </w:r>
            <w:r w:rsidRPr="00804F7C">
              <w:noBreakHyphen/>
            </w:r>
            <w:r w:rsidRPr="00B57F10">
              <w:t xml:space="preserve">17 </w:t>
            </w:r>
            <w:r w:rsidRPr="00804F7C">
              <w:t>target</w:t>
            </w:r>
            <w:r w:rsidRPr="00B57F10">
              <w:t xml:space="preserve"> reflects the recent growth from key markets such as China.</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Proportion of all international students studying in Victoria</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30</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29</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29</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higher 2016</w:t>
            </w:r>
            <w:r w:rsidRPr="00804F7C">
              <w:noBreakHyphen/>
            </w:r>
            <w:r w:rsidRPr="00B57F10">
              <w:t xml:space="preserve">17 </w:t>
            </w:r>
            <w:r w:rsidRPr="00804F7C">
              <w:t>target</w:t>
            </w:r>
            <w:r w:rsidRPr="00B57F10">
              <w:t xml:space="preserve"> reflects new funding provided in the </w:t>
            </w:r>
            <w:r w:rsidRPr="000939BA">
              <w:rPr>
                <w:i w:val="0"/>
              </w:rPr>
              <w:t>2016</w:t>
            </w:r>
            <w:r w:rsidRPr="000939BA">
              <w:rPr>
                <w:i w:val="0"/>
              </w:rPr>
              <w:noBreakHyphen/>
              <w:t>17 Budget</w:t>
            </w:r>
            <w:r w:rsidRPr="00B57F10">
              <w:t xml:space="preserve"> for the International Education Sector Strategy. </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Visitor expenditure: domestic</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billion</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323886">
              <w:rPr>
                <w:rFonts w:ascii="Calibri" w:hAnsi="Calibri" w:cs="Calibri"/>
                <w:color w:val="000000"/>
                <w:sz w:val="19"/>
                <w:szCs w:val="22"/>
                <w:lang w:eastAsia="en-AU"/>
              </w:rPr>
              <w:t>17.0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16.7</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16.6</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16.4</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higher 2016</w:t>
            </w:r>
            <w:r w:rsidRPr="00804F7C">
              <w:noBreakHyphen/>
            </w:r>
            <w:r w:rsidRPr="00B57F10">
              <w:t>17 target reflects a lower Australian dollar and softening of outbound travel in favour of domestic travel.</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Visitor expenditure: international</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billion</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323886">
              <w:rPr>
                <w:rFonts w:ascii="Calibri" w:hAnsi="Calibri" w:cs="Calibri"/>
                <w:color w:val="000000"/>
                <w:sz w:val="19"/>
                <w:szCs w:val="22"/>
                <w:lang w:eastAsia="en-AU"/>
              </w:rPr>
              <w:t>6.5</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6.4</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5.4</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5.4</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2015</w:t>
            </w:r>
            <w:r w:rsidRPr="00804F7C">
              <w:noBreakHyphen/>
            </w:r>
            <w:r w:rsidRPr="00B57F10">
              <w:t>16 expected outcome is higher than the 2015</w:t>
            </w:r>
            <w:r w:rsidRPr="00804F7C">
              <w:noBreakHyphen/>
            </w:r>
            <w:r w:rsidRPr="00B57F10">
              <w:t>16 target due to greater than anticipated growth in international visitors and expenditure.</w:t>
            </w:r>
          </w:p>
          <w:p w:rsidR="00E25CC6" w:rsidRPr="00B57F10" w:rsidRDefault="00E25CC6" w:rsidP="00B57F10">
            <w:pPr>
              <w:pStyle w:val="OGNotes"/>
            </w:pPr>
            <w:r w:rsidRPr="00B57F10">
              <w:t>The higher 2016</w:t>
            </w:r>
            <w:r w:rsidRPr="00804F7C">
              <w:noBreakHyphen/>
            </w:r>
            <w:r w:rsidRPr="00B57F10">
              <w:t xml:space="preserve">17 target reflects the recent growth </w:t>
            </w:r>
            <w:r>
              <w:t>from key markets such as China.</w:t>
            </w:r>
            <w:r w:rsidRPr="00B57F10">
              <w:t xml:space="preserve"> </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Visitor expenditure: regional Victoria (domestic)</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billion</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323886">
              <w:rPr>
                <w:rFonts w:ascii="Calibri" w:hAnsi="Calibri" w:cs="Calibri"/>
                <w:color w:val="000000"/>
                <w:sz w:val="19"/>
                <w:szCs w:val="22"/>
                <w:lang w:eastAsia="en-AU"/>
              </w:rPr>
              <w:t>8.1</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7.8</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8.1</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7.7</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D72E0D">
            <w:pPr>
              <w:pStyle w:val="OGTabText"/>
              <w:keepNext/>
              <w:rPr>
                <w:lang w:eastAsia="en-AU"/>
              </w:rPr>
            </w:pPr>
            <w:r w:rsidRPr="00B57F10">
              <w:rPr>
                <w:lang w:eastAsia="en-AU"/>
              </w:rPr>
              <w:t>Visitor expenditure: regional Victoria (international)</w:t>
            </w:r>
          </w:p>
        </w:tc>
        <w:tc>
          <w:tcPr>
            <w:tcW w:w="907" w:type="dxa"/>
            <w:tcBorders>
              <w:top w:val="single" w:sz="6" w:space="0" w:color="auto"/>
              <w:left w:val="nil"/>
              <w:right w:val="nil"/>
            </w:tcBorders>
          </w:tcPr>
          <w:p w:rsidR="00E25CC6" w:rsidRPr="00B57F10" w:rsidRDefault="00E25CC6" w:rsidP="00D72E0D">
            <w:pPr>
              <w:keepNext/>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single" w:sz="6" w:space="0" w:color="auto"/>
              <w:left w:val="nil"/>
              <w:right w:val="nil"/>
            </w:tcBorders>
            <w:shd w:val="clear" w:color="auto" w:fill="DCDCDC"/>
          </w:tcPr>
          <w:p w:rsidR="00E25CC6" w:rsidRPr="00B57F10" w:rsidRDefault="00E25CC6" w:rsidP="00D72E0D">
            <w:pPr>
              <w:keepNext/>
              <w:autoSpaceDE w:val="0"/>
              <w:autoSpaceDN w:val="0"/>
              <w:adjustRightInd w:val="0"/>
              <w:spacing w:after="0"/>
              <w:jc w:val="right"/>
              <w:rPr>
                <w:rFonts w:ascii="Calibri" w:hAnsi="Calibri" w:cs="Calibri"/>
                <w:color w:val="000000"/>
                <w:sz w:val="19"/>
                <w:szCs w:val="22"/>
                <w:lang w:eastAsia="en-AU"/>
              </w:rPr>
            </w:pPr>
            <w:r w:rsidRPr="00FC033F">
              <w:rPr>
                <w:rFonts w:ascii="Calibri" w:hAnsi="Calibri" w:cs="Calibri"/>
                <w:color w:val="000000"/>
                <w:sz w:val="19"/>
                <w:szCs w:val="22"/>
                <w:lang w:eastAsia="en-AU"/>
              </w:rPr>
              <w:t>450</w:t>
            </w:r>
          </w:p>
        </w:tc>
        <w:tc>
          <w:tcPr>
            <w:tcW w:w="992" w:type="dxa"/>
            <w:tcBorders>
              <w:top w:val="single" w:sz="6" w:space="0" w:color="auto"/>
              <w:left w:val="nil"/>
              <w:right w:val="nil"/>
            </w:tcBorders>
          </w:tcPr>
          <w:p w:rsidR="00E25CC6" w:rsidRPr="00B57F10" w:rsidRDefault="00E25CC6" w:rsidP="00D72E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440</w:t>
            </w:r>
          </w:p>
        </w:tc>
        <w:tc>
          <w:tcPr>
            <w:tcW w:w="907" w:type="dxa"/>
            <w:tcBorders>
              <w:top w:val="single" w:sz="6" w:space="0" w:color="auto"/>
              <w:left w:val="nil"/>
              <w:right w:val="nil"/>
            </w:tcBorders>
          </w:tcPr>
          <w:p w:rsidR="00E25CC6" w:rsidRPr="00B57F10" w:rsidRDefault="00E25CC6" w:rsidP="00D72E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400</w:t>
            </w:r>
          </w:p>
        </w:tc>
        <w:tc>
          <w:tcPr>
            <w:tcW w:w="910" w:type="dxa"/>
            <w:tcBorders>
              <w:top w:val="single" w:sz="6" w:space="0" w:color="auto"/>
              <w:left w:val="nil"/>
              <w:right w:val="nil"/>
            </w:tcBorders>
          </w:tcPr>
          <w:p w:rsidR="00E25CC6" w:rsidRPr="00B57F10" w:rsidRDefault="00E25CC6" w:rsidP="00D72E0D">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440</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pPr>
            <w:r w:rsidRPr="00781CAC">
              <w:t>The 2015</w:t>
            </w:r>
            <w:r w:rsidRPr="00781CAC">
              <w:noBreakHyphen/>
              <w:t>16 expected outcome is higher than the 2015</w:t>
            </w:r>
            <w:r w:rsidRPr="00781CAC">
              <w:noBreakHyphen/>
              <w:t>16 target due to greater than anticipated growth in international visitors and expenditure driven by China and other East/South East Asian markets.</w:t>
            </w:r>
          </w:p>
          <w:p w:rsidR="00E25CC6" w:rsidRPr="00B57F10" w:rsidRDefault="00E25CC6" w:rsidP="00B57F10">
            <w:pPr>
              <w:pStyle w:val="OGNotes"/>
            </w:pPr>
            <w:r w:rsidRPr="00B57F10">
              <w:t>The higher 2016</w:t>
            </w:r>
            <w:r w:rsidRPr="00804F7C">
              <w:noBreakHyphen/>
            </w:r>
            <w:r w:rsidRPr="00B57F10">
              <w:t xml:space="preserve">17 target reflects the recent growth from key markets such as China. </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Visitors to Tourism Victoria consumer websites</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 (million)</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9.4</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9.4</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Value of media coverage generated: domestic</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25</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20</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25</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The 2015</w:t>
            </w:r>
            <w:r w:rsidRPr="00804F7C">
              <w:noBreakHyphen/>
            </w:r>
            <w:r w:rsidRPr="00B57F10">
              <w:t>16 expected outcome is higher than the 2015</w:t>
            </w:r>
            <w:r w:rsidRPr="00804F7C">
              <w:noBreakHyphen/>
            </w:r>
            <w:r w:rsidRPr="00B57F10">
              <w:t>16 target due to large one</w:t>
            </w:r>
            <w:r w:rsidRPr="00804F7C">
              <w:noBreakHyphen/>
            </w:r>
            <w:r w:rsidRPr="00B57F10">
              <w:t>off promotions such as on</w:t>
            </w:r>
            <w:r>
              <w:noBreakHyphen/>
            </w:r>
            <w:r w:rsidRPr="00B57F10">
              <w:t>location weather crosses on national television.</w:t>
            </w:r>
          </w:p>
          <w:p w:rsidR="00E25CC6" w:rsidRPr="00B57F10" w:rsidRDefault="00E25CC6" w:rsidP="00B57F10">
            <w:pPr>
              <w:pStyle w:val="OGNotes"/>
            </w:pPr>
            <w:r w:rsidRPr="00B57F10">
              <w:t xml:space="preserve">This performance measure was proposed to be discontinued in the </w:t>
            </w:r>
            <w:r w:rsidRPr="00D72E0D">
              <w:rPr>
                <w:i w:val="0"/>
              </w:rPr>
              <w:t>2015</w:t>
            </w:r>
            <w:r w:rsidRPr="00D72E0D">
              <w:rPr>
                <w:i w:val="0"/>
              </w:rPr>
              <w:noBreakHyphen/>
              <w:t>16 Budget</w:t>
            </w:r>
            <w:r w:rsidRPr="00B57F10">
              <w:t>, however has been reinstated following the Public Accounts and Estimates Committee</w:t>
            </w:r>
            <w:r>
              <w:t>’</w:t>
            </w:r>
            <w:r w:rsidRPr="00B57F10">
              <w:t>s review o</w:t>
            </w:r>
            <w:r>
              <w:t xml:space="preserve">f the </w:t>
            </w:r>
            <w:r w:rsidRPr="00D72E0D">
              <w:rPr>
                <w:i w:val="0"/>
              </w:rPr>
              <w:t>2015</w:t>
            </w:r>
            <w:r w:rsidRPr="00D72E0D">
              <w:rPr>
                <w:i w:val="0"/>
              </w:rPr>
              <w:noBreakHyphen/>
              <w:t>16 Budget Estimates</w:t>
            </w:r>
            <w:r>
              <w:t>.</w:t>
            </w:r>
            <w:r w:rsidRPr="00B57F10">
              <w:t xml:space="preserve"> </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Value of media coverage generated: international</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40</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40</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46</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 xml:space="preserve">This performance measure was proposed to be discontinued in the </w:t>
            </w:r>
            <w:r w:rsidRPr="00D72E0D">
              <w:rPr>
                <w:i w:val="0"/>
              </w:rPr>
              <w:t>2015</w:t>
            </w:r>
            <w:r w:rsidRPr="00D72E0D">
              <w:rPr>
                <w:i w:val="0"/>
              </w:rPr>
              <w:noBreakHyphen/>
              <w:t>16 Budget</w:t>
            </w:r>
            <w:r w:rsidRPr="00B57F10">
              <w:t>, however has been reinstated following the Public Accounts and Estimates Committee</w:t>
            </w:r>
            <w:r>
              <w:t>’</w:t>
            </w:r>
            <w:r w:rsidRPr="00B57F10">
              <w:t xml:space="preserve">s review of the </w:t>
            </w:r>
            <w:r w:rsidRPr="00D72E0D">
              <w:rPr>
                <w:i w:val="0"/>
              </w:rPr>
              <w:t>2015</w:t>
            </w:r>
            <w:r w:rsidRPr="00D72E0D">
              <w:rPr>
                <w:i w:val="0"/>
              </w:rPr>
              <w:noBreakHyphen/>
              <w:t>16 Budget Estimates</w:t>
            </w:r>
            <w:r w:rsidRPr="00B57F10">
              <w:t>.</w:t>
            </w:r>
          </w:p>
        </w:tc>
      </w:tr>
      <w:tr w:rsidR="00E25CC6" w:rsidRPr="00B57F10" w:rsidTr="00670E32">
        <w:trPr>
          <w:cantSplit/>
        </w:trPr>
        <w:tc>
          <w:tcPr>
            <w:tcW w:w="3144" w:type="dxa"/>
            <w:tcBorders>
              <w:top w:val="single" w:sz="6" w:space="0" w:color="auto"/>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Timeliness</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bottom w:val="single" w:sz="6" w:space="0" w:color="auto"/>
              <w:right w:val="nil"/>
            </w:tcBorders>
          </w:tcPr>
          <w:p w:rsidR="00E25CC6" w:rsidRPr="00B57F10" w:rsidRDefault="00E25CC6" w:rsidP="00B57F10">
            <w:pPr>
              <w:pStyle w:val="OGTabText"/>
              <w:rPr>
                <w:lang w:eastAsia="en-AU"/>
              </w:rPr>
            </w:pPr>
            <w:r w:rsidRPr="00B57F10">
              <w:rPr>
                <w:lang w:eastAsia="en-AU"/>
              </w:rPr>
              <w:t>Completion of post-event reports and economic impact assessments of each event (where required) within agreed timeframes</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c>
          <w:tcPr>
            <w:tcW w:w="910" w:type="dxa"/>
            <w:tcBorders>
              <w:top w:val="nil"/>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100</w:t>
            </w:r>
          </w:p>
        </w:tc>
      </w:tr>
      <w:tr w:rsidR="00E25CC6" w:rsidRPr="00B57F10" w:rsidTr="00670E32">
        <w:trPr>
          <w:cantSplit/>
        </w:trPr>
        <w:tc>
          <w:tcPr>
            <w:tcW w:w="3144" w:type="dxa"/>
            <w:tcBorders>
              <w:top w:val="single" w:sz="6" w:space="0" w:color="auto"/>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2F069B">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Total output cost</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109.0</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134.4</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40.8</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182.1</w:t>
            </w:r>
          </w:p>
        </w:tc>
      </w:tr>
      <w:tr w:rsidR="00E25CC6" w:rsidRPr="00B57F10" w:rsidTr="002F069B">
        <w:trPr>
          <w:cantSplit/>
        </w:trPr>
        <w:tc>
          <w:tcPr>
            <w:tcW w:w="7767" w:type="dxa"/>
            <w:gridSpan w:val="6"/>
            <w:tcBorders>
              <w:top w:val="nil"/>
              <w:left w:val="nil"/>
              <w:bottom w:val="single" w:sz="6" w:space="0" w:color="auto"/>
              <w:right w:val="nil"/>
            </w:tcBorders>
          </w:tcPr>
          <w:p w:rsidR="00E25CC6" w:rsidRPr="00781CAC" w:rsidRDefault="00E25CC6" w:rsidP="00B57F10">
            <w:pPr>
              <w:pStyle w:val="OGNotes"/>
              <w:rPr>
                <w:highlight w:val="yellow"/>
              </w:rPr>
            </w:pPr>
            <w:r w:rsidRPr="00781CAC">
              <w:t>The 2015</w:t>
            </w:r>
            <w:r w:rsidRPr="00781CAC">
              <w:noBreakHyphen/>
              <w:t>16 expected outcome is higher than the 2015</w:t>
            </w:r>
            <w:r w:rsidRPr="00781CAC">
              <w:noBreakHyphen/>
              <w:t>16 target due to funding received in 2015</w:t>
            </w:r>
            <w:r w:rsidRPr="00781CAC">
              <w:noBreakHyphen/>
              <w:t>16 for the delivery of major sporting events.</w:t>
            </w:r>
            <w:r w:rsidRPr="00781CAC">
              <w:rPr>
                <w:highlight w:val="yellow"/>
              </w:rPr>
              <w:t xml:space="preserve"> </w:t>
            </w:r>
          </w:p>
          <w:p w:rsidR="00E25CC6" w:rsidRPr="00781CAC" w:rsidRDefault="00E25CC6" w:rsidP="00B243F1">
            <w:pPr>
              <w:pStyle w:val="OGNotes"/>
            </w:pPr>
            <w:r w:rsidRPr="00781CAC">
              <w:t>The higher 2016</w:t>
            </w:r>
            <w:r w:rsidRPr="00781CAC">
              <w:noBreakHyphen/>
              <w:t xml:space="preserve">17 target reflects additional funding in the </w:t>
            </w:r>
            <w:r w:rsidRPr="00781CAC">
              <w:rPr>
                <w:i w:val="0"/>
              </w:rPr>
              <w:t>2016</w:t>
            </w:r>
            <w:r w:rsidRPr="00781CAC">
              <w:rPr>
                <w:i w:val="0"/>
              </w:rPr>
              <w:noBreakHyphen/>
              <w:t xml:space="preserve">17 Budget </w:t>
            </w:r>
            <w:r w:rsidRPr="00781CAC">
              <w:t>for major events, Visit Victoria and the International Education Sector Strategy. Consistent with past years, this output will be supplemented by major events funding held centrally until contractual arrangements are finalised. Additional funding is provided for tourism and events activities from the Premier</w:t>
            </w:r>
            <w:r>
              <w:t>’</w:t>
            </w:r>
            <w:r w:rsidRPr="00781CAC">
              <w:t xml:space="preserve">s Jobs and Investment Fund, reflected as part of the Employment and Investment outputs. Additional funding is also provided from the Regional Jobs and Infrastructure Fund, reflected as part of the Regional Development output. </w:t>
            </w:r>
          </w:p>
          <w:p w:rsidR="00E25CC6" w:rsidRPr="00B57F10" w:rsidRDefault="00E25CC6" w:rsidP="00D72E0D">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B57F10" w:rsidTr="002F069B">
        <w:trPr>
          <w:cantSplit/>
        </w:trPr>
        <w:tc>
          <w:tcPr>
            <w:tcW w:w="7767" w:type="dxa"/>
            <w:gridSpan w:val="6"/>
            <w:tcBorders>
              <w:top w:val="single" w:sz="6" w:space="0" w:color="auto"/>
              <w:left w:val="nil"/>
              <w:bottom w:val="nil"/>
              <w:right w:val="nil"/>
            </w:tcBorders>
          </w:tcPr>
          <w:p w:rsidR="00E25CC6" w:rsidRPr="00B57F10" w:rsidRDefault="00E25CC6" w:rsidP="00B57F10">
            <w:pPr>
              <w:pStyle w:val="OGHeading2"/>
              <w:rPr>
                <w:lang w:eastAsia="en-AU"/>
              </w:rPr>
            </w:pPr>
            <w:r w:rsidRPr="00B57F10">
              <w:rPr>
                <w:lang w:eastAsia="en-AU"/>
              </w:rPr>
              <w:t>Trade</w:t>
            </w:r>
          </w:p>
        </w:tc>
      </w:tr>
      <w:tr w:rsidR="00E25CC6" w:rsidRPr="00B57F10" w:rsidTr="00B57F10">
        <w:trPr>
          <w:cantSplit/>
        </w:trPr>
        <w:tc>
          <w:tcPr>
            <w:tcW w:w="7767" w:type="dxa"/>
            <w:gridSpan w:val="6"/>
            <w:tcBorders>
              <w:top w:val="nil"/>
              <w:left w:val="nil"/>
              <w:bottom w:val="single" w:sz="6" w:space="0" w:color="auto"/>
              <w:right w:val="nil"/>
            </w:tcBorders>
          </w:tcPr>
          <w:p w:rsidR="00E25CC6" w:rsidRPr="00B57F10" w:rsidRDefault="00E25CC6" w:rsidP="002F069B">
            <w:pPr>
              <w:pStyle w:val="OGText"/>
            </w:pPr>
            <w:r w:rsidRPr="00B57F10">
              <w:t>This output promotes business growth opportunities by connecting organisations to global business opportunities in priority markets and supporting the establishment and deepening of strategic commercial partnerships.</w:t>
            </w:r>
          </w:p>
        </w:tc>
      </w:tr>
      <w:tr w:rsidR="00E25CC6" w:rsidRPr="00B57F10" w:rsidTr="00B57F10">
        <w:trPr>
          <w:cantSplit/>
        </w:trPr>
        <w:tc>
          <w:tcPr>
            <w:tcW w:w="3144" w:type="dxa"/>
            <w:tcBorders>
              <w:top w:val="nil"/>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Actual export sales generated as a result of participation in government programs</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0F23EA">
              <w:rPr>
                <w:rFonts w:ascii="Calibri" w:hAnsi="Calibri" w:cs="Calibri"/>
                <w:sz w:val="19"/>
                <w:szCs w:val="22"/>
                <w:lang w:eastAsia="en-AU"/>
              </w:rPr>
              <w:t>450</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418</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400</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4F38B6">
            <w:pPr>
              <w:pStyle w:val="OGNotes"/>
            </w:pPr>
            <w:r w:rsidRPr="00781CAC">
              <w:t>The higher 2016</w:t>
            </w:r>
            <w:r w:rsidRPr="00781CAC">
              <w:noBreakHyphen/>
              <w:t xml:space="preserve">17 target reflects funding in the </w:t>
            </w:r>
            <w:r w:rsidRPr="00781CAC">
              <w:rPr>
                <w:i w:val="0"/>
              </w:rPr>
              <w:t>2016</w:t>
            </w:r>
            <w:r w:rsidRPr="00781CAC">
              <w:rPr>
                <w:i w:val="0"/>
              </w:rPr>
              <w:noBreakHyphen/>
              <w:t>17 Budget</w:t>
            </w:r>
            <w:r w:rsidRPr="00781CAC">
              <w:t xml:space="preserve"> for the International Victorian Government Business Office Network and Globally Connecting Business.</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B57F10">
            <w:pPr>
              <w:pStyle w:val="OGTabText"/>
              <w:rPr>
                <w:lang w:eastAsia="en-AU"/>
              </w:rPr>
            </w:pPr>
            <w:r w:rsidRPr="00B57F10">
              <w:rPr>
                <w:lang w:eastAsia="en-AU"/>
              </w:rPr>
              <w:t>Clients engaged in export and trade programs</w:t>
            </w:r>
          </w:p>
        </w:tc>
        <w:tc>
          <w:tcPr>
            <w:tcW w:w="907" w:type="dxa"/>
            <w:tcBorders>
              <w:top w:val="single" w:sz="6" w:space="0" w:color="auto"/>
              <w:left w:val="nil"/>
              <w:right w:val="nil"/>
            </w:tcBorders>
          </w:tcPr>
          <w:p w:rsidR="00E25CC6" w:rsidRPr="00781CAC" w:rsidRDefault="00E25CC6" w:rsidP="00B57F10">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781CAC" w:rsidRDefault="00E25CC6" w:rsidP="00B57F10">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2 500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2 300</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2 400</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2 476</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781CAC" w:rsidRDefault="00E25CC6" w:rsidP="00804F7C">
            <w:pPr>
              <w:pStyle w:val="OGNotes"/>
            </w:pPr>
            <w:r w:rsidRPr="00781CAC">
              <w:t>The higher 2016</w:t>
            </w:r>
            <w:r w:rsidRPr="00781CAC">
              <w:noBreakHyphen/>
              <w:t xml:space="preserve">17 target reflects funding in the </w:t>
            </w:r>
            <w:r w:rsidRPr="00781CAC">
              <w:rPr>
                <w:i w:val="0"/>
              </w:rPr>
              <w:t>2016</w:t>
            </w:r>
            <w:r w:rsidRPr="00781CAC">
              <w:rPr>
                <w:i w:val="0"/>
              </w:rPr>
              <w:noBreakHyphen/>
              <w:t>17 Budget</w:t>
            </w:r>
            <w:r w:rsidRPr="00781CAC">
              <w:t xml:space="preserve"> for the International Victorian Government Business Office Network and Globally Connecting Business.</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2F069B">
            <w:pPr>
              <w:pStyle w:val="OGTabText"/>
              <w:keepNext/>
              <w:rPr>
                <w:lang w:eastAsia="en-AU"/>
              </w:rPr>
            </w:pPr>
            <w:r w:rsidRPr="00B57F10">
              <w:rPr>
                <w:lang w:eastAsia="en-AU"/>
              </w:rPr>
              <w:t>International delegates participated in the inbound trade mission program</w:t>
            </w:r>
          </w:p>
        </w:tc>
        <w:tc>
          <w:tcPr>
            <w:tcW w:w="907" w:type="dxa"/>
            <w:tcBorders>
              <w:top w:val="single" w:sz="6" w:space="0" w:color="auto"/>
              <w:left w:val="nil"/>
              <w:right w:val="nil"/>
            </w:tcBorders>
          </w:tcPr>
          <w:p w:rsidR="00E25CC6" w:rsidRPr="00B57F10" w:rsidRDefault="00E25CC6" w:rsidP="002F069B">
            <w:pPr>
              <w:keepNext/>
              <w:autoSpaceDE w:val="0"/>
              <w:autoSpaceDN w:val="0"/>
              <w:adjustRightInd w:val="0"/>
              <w:spacing w:after="0"/>
              <w:jc w:val="center"/>
              <w:rPr>
                <w:rFonts w:ascii="Calibri" w:hAnsi="Calibri" w:cs="Calibri"/>
                <w:color w:val="000000"/>
                <w:sz w:val="19"/>
                <w:szCs w:val="22"/>
                <w:lang w:eastAsia="en-AU"/>
              </w:rPr>
            </w:pPr>
            <w:r>
              <w:rPr>
                <w:rFonts w:ascii="Calibri" w:hAnsi="Calibri" w:cs="Calibri"/>
                <w:color w:val="000000"/>
                <w:sz w:val="19"/>
                <w:szCs w:val="22"/>
                <w:lang w:eastAsia="en-AU"/>
              </w:rPr>
              <w:t>n</w:t>
            </w:r>
            <w:r w:rsidRPr="00B57F10">
              <w:rPr>
                <w:rFonts w:ascii="Calibri" w:hAnsi="Calibri" w:cs="Calibri"/>
                <w:color w:val="000000"/>
                <w:sz w:val="19"/>
                <w:szCs w:val="22"/>
                <w:lang w:eastAsia="en-AU"/>
              </w:rPr>
              <w:t>umber</w:t>
            </w:r>
          </w:p>
        </w:tc>
        <w:tc>
          <w:tcPr>
            <w:tcW w:w="907" w:type="dxa"/>
            <w:tcBorders>
              <w:top w:val="single" w:sz="6" w:space="0" w:color="auto"/>
              <w:left w:val="nil"/>
              <w:right w:val="nil"/>
            </w:tcBorders>
            <w:shd w:val="clear" w:color="auto" w:fill="DCDCDC"/>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781CAC">
              <w:rPr>
                <w:rFonts w:ascii="Calibri" w:hAnsi="Calibri" w:cs="Calibri"/>
                <w:sz w:val="19"/>
                <w:szCs w:val="22"/>
                <w:lang w:eastAsia="en-AU"/>
              </w:rPr>
              <w:t>550</w:t>
            </w:r>
          </w:p>
        </w:tc>
        <w:tc>
          <w:tcPr>
            <w:tcW w:w="992" w:type="dxa"/>
            <w:tcBorders>
              <w:top w:val="single" w:sz="6" w:space="0" w:color="auto"/>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520</w:t>
            </w:r>
          </w:p>
        </w:tc>
        <w:tc>
          <w:tcPr>
            <w:tcW w:w="907" w:type="dxa"/>
            <w:tcBorders>
              <w:top w:val="single" w:sz="6" w:space="0" w:color="auto"/>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500</w:t>
            </w:r>
          </w:p>
        </w:tc>
        <w:tc>
          <w:tcPr>
            <w:tcW w:w="910" w:type="dxa"/>
            <w:tcBorders>
              <w:top w:val="single" w:sz="6" w:space="0" w:color="auto"/>
              <w:left w:val="nil"/>
              <w:right w:val="nil"/>
            </w:tcBorders>
          </w:tcPr>
          <w:p w:rsidR="00E25CC6" w:rsidRPr="00B57F10" w:rsidRDefault="00E25CC6" w:rsidP="002F069B">
            <w:pPr>
              <w:keepNext/>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nm</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D72E0D">
            <w:pPr>
              <w:pStyle w:val="OGNotes"/>
            </w:pPr>
            <w:r w:rsidRPr="00781CAC">
              <w:t>The higher 2016</w:t>
            </w:r>
            <w:r w:rsidRPr="00781CAC">
              <w:noBreakHyphen/>
              <w:t xml:space="preserve">17 target reflects funding in the </w:t>
            </w:r>
            <w:r w:rsidRPr="00781CAC">
              <w:rPr>
                <w:i w:val="0"/>
              </w:rPr>
              <w:t>2016</w:t>
            </w:r>
            <w:r w:rsidRPr="00781CAC">
              <w:rPr>
                <w:i w:val="0"/>
              </w:rPr>
              <w:noBreakHyphen/>
              <w:t>17 Budget</w:t>
            </w:r>
            <w:r w:rsidRPr="00781CAC">
              <w:t xml:space="preserve"> for the International Victorian Government Business Office Network and Globally Connecting Business.</w:t>
            </w:r>
          </w:p>
        </w:tc>
      </w:tr>
      <w:tr w:rsidR="00E25CC6" w:rsidRPr="00B57F10" w:rsidTr="00670E32">
        <w:trPr>
          <w:cantSplit/>
        </w:trPr>
        <w:tc>
          <w:tcPr>
            <w:tcW w:w="3144" w:type="dxa"/>
            <w:tcBorders>
              <w:top w:val="single" w:sz="6" w:space="0" w:color="auto"/>
              <w:left w:val="nil"/>
              <w:bottom w:val="single" w:sz="6" w:space="0" w:color="auto"/>
              <w:right w:val="nil"/>
            </w:tcBorders>
          </w:tcPr>
          <w:p w:rsidR="00E25CC6" w:rsidRPr="00B57F10" w:rsidRDefault="00E25CC6" w:rsidP="00B57F10">
            <w:pPr>
              <w:pStyle w:val="OGTabText"/>
              <w:rPr>
                <w:lang w:eastAsia="en-AU"/>
              </w:rPr>
            </w:pPr>
            <w:r w:rsidRPr="00B57F10">
              <w:rPr>
                <w:lang w:eastAsia="en-AU"/>
              </w:rPr>
              <w:t>International trade marketing campaigns to position Victoria globally</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11</w:t>
            </w:r>
          </w:p>
        </w:tc>
        <w:tc>
          <w:tcPr>
            <w:tcW w:w="992"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11</w:t>
            </w:r>
          </w:p>
        </w:tc>
        <w:tc>
          <w:tcPr>
            <w:tcW w:w="907"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11</w:t>
            </w:r>
          </w:p>
        </w:tc>
        <w:tc>
          <w:tcPr>
            <w:tcW w:w="910" w:type="dxa"/>
            <w:tcBorders>
              <w:top w:val="single" w:sz="6" w:space="0" w:color="auto"/>
              <w:left w:val="nil"/>
              <w:bottom w:val="single" w:sz="6" w:space="0" w:color="auto"/>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4</w:t>
            </w:r>
          </w:p>
        </w:tc>
      </w:tr>
      <w:tr w:rsidR="00E25CC6" w:rsidRPr="00B57F10" w:rsidTr="00670E32">
        <w:trPr>
          <w:cantSplit/>
        </w:trPr>
        <w:tc>
          <w:tcPr>
            <w:tcW w:w="3144" w:type="dxa"/>
            <w:tcBorders>
              <w:top w:val="single" w:sz="6" w:space="0" w:color="auto"/>
              <w:left w:val="nil"/>
              <w:right w:val="nil"/>
            </w:tcBorders>
          </w:tcPr>
          <w:p w:rsidR="00E25CC6" w:rsidRPr="00B57F10" w:rsidRDefault="00E25CC6" w:rsidP="002F069B">
            <w:pPr>
              <w:pStyle w:val="OGTabText"/>
              <w:rPr>
                <w:lang w:eastAsia="en-AU"/>
              </w:rPr>
            </w:pPr>
            <w:r w:rsidRPr="00B57F10">
              <w:rPr>
                <w:lang w:eastAsia="en-AU"/>
              </w:rPr>
              <w:t>Significant interactions with Victorian agri</w:t>
            </w:r>
            <w:r>
              <w:rPr>
                <w:lang w:eastAsia="en-AU"/>
              </w:rPr>
              <w:noBreakHyphen/>
            </w:r>
            <w:r w:rsidRPr="00B57F10">
              <w:rPr>
                <w:lang w:eastAsia="en-AU"/>
              </w:rPr>
              <w:t>food companies and exporters, international customers and trading partners that facilitate export and investment outcomes for Victoria</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250</w:t>
            </w:r>
          </w:p>
        </w:tc>
        <w:tc>
          <w:tcPr>
            <w:tcW w:w="992"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260</w:t>
            </w:r>
          </w:p>
        </w:tc>
        <w:tc>
          <w:tcPr>
            <w:tcW w:w="907"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250</w:t>
            </w:r>
          </w:p>
        </w:tc>
        <w:tc>
          <w:tcPr>
            <w:tcW w:w="910" w:type="dxa"/>
            <w:tcBorders>
              <w:top w:val="single" w:sz="6" w:space="0" w:color="auto"/>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320</w:t>
            </w:r>
          </w:p>
        </w:tc>
      </w:tr>
      <w:tr w:rsidR="00E25CC6" w:rsidRPr="00B57F10" w:rsidTr="00670E32">
        <w:trPr>
          <w:cantSplit/>
        </w:trPr>
        <w:tc>
          <w:tcPr>
            <w:tcW w:w="7767" w:type="dxa"/>
            <w:gridSpan w:val="6"/>
            <w:tcBorders>
              <w:top w:val="nil"/>
              <w:left w:val="nil"/>
              <w:bottom w:val="single" w:sz="6" w:space="0" w:color="auto"/>
              <w:right w:val="nil"/>
            </w:tcBorders>
          </w:tcPr>
          <w:p w:rsidR="00E25CC6" w:rsidRPr="00B57F10" w:rsidRDefault="00E25CC6" w:rsidP="00B57F10">
            <w:pPr>
              <w:pStyle w:val="OGNotes"/>
            </w:pPr>
            <w:r w:rsidRPr="00B57F10">
              <w:t>This performance measure is transferred directly from the Agriculture output.</w:t>
            </w:r>
          </w:p>
        </w:tc>
      </w:tr>
      <w:tr w:rsidR="00E25CC6" w:rsidRPr="00B57F10" w:rsidTr="00670E32">
        <w:trPr>
          <w:cantSplit/>
        </w:trPr>
        <w:tc>
          <w:tcPr>
            <w:tcW w:w="3144" w:type="dxa"/>
            <w:tcBorders>
              <w:top w:val="single" w:sz="6" w:space="0" w:color="auto"/>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670E32">
        <w:trPr>
          <w:cantSplit/>
        </w:trPr>
        <w:tc>
          <w:tcPr>
            <w:tcW w:w="3144" w:type="dxa"/>
            <w:tcBorders>
              <w:top w:val="nil"/>
              <w:left w:val="nil"/>
              <w:right w:val="nil"/>
            </w:tcBorders>
          </w:tcPr>
          <w:p w:rsidR="00E25CC6" w:rsidRPr="00B57F10" w:rsidRDefault="00E25CC6" w:rsidP="00B57F10">
            <w:pPr>
              <w:pStyle w:val="OGTabText"/>
              <w:rPr>
                <w:lang w:eastAsia="en-AU"/>
              </w:rPr>
            </w:pPr>
            <w:r w:rsidRPr="00B57F10">
              <w:rPr>
                <w:lang w:eastAsia="en-AU"/>
              </w:rPr>
              <w:t>Client satisfaction with export assistance offered</w:t>
            </w:r>
          </w:p>
        </w:tc>
        <w:tc>
          <w:tcPr>
            <w:tcW w:w="907" w:type="dxa"/>
            <w:tcBorders>
              <w:top w:val="nil"/>
              <w:left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92"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07"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90</w:t>
            </w:r>
          </w:p>
        </w:tc>
        <w:tc>
          <w:tcPr>
            <w:tcW w:w="910" w:type="dxa"/>
            <w:tcBorders>
              <w:top w:val="nil"/>
              <w:left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96</w:t>
            </w:r>
          </w:p>
        </w:tc>
      </w:tr>
      <w:tr w:rsidR="00E25CC6" w:rsidRPr="00B57F10" w:rsidTr="00670E32">
        <w:trPr>
          <w:cantSplit/>
        </w:trPr>
        <w:tc>
          <w:tcPr>
            <w:tcW w:w="3144" w:type="dxa"/>
            <w:tcBorders>
              <w:top w:val="single" w:sz="6" w:space="0" w:color="auto"/>
              <w:left w:val="nil"/>
              <w:bottom w:val="nil"/>
              <w:right w:val="nil"/>
            </w:tcBorders>
          </w:tcPr>
          <w:p w:rsidR="00E25CC6" w:rsidRPr="00B57F10" w:rsidRDefault="00E25CC6" w:rsidP="00B57F10">
            <w:pPr>
              <w:autoSpaceDE w:val="0"/>
              <w:autoSpaceDN w:val="0"/>
              <w:adjustRightInd w:val="0"/>
              <w:spacing w:after="0"/>
              <w:ind w:left="227" w:hanging="227"/>
              <w:rPr>
                <w:rFonts w:ascii="Calibri" w:hAnsi="Calibri" w:cs="Calibri"/>
                <w:i/>
                <w:iCs/>
                <w:color w:val="000000"/>
                <w:sz w:val="19"/>
                <w:szCs w:val="22"/>
                <w:lang w:eastAsia="en-AU"/>
              </w:rPr>
            </w:pPr>
            <w:r w:rsidRPr="00B57F10">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c>
          <w:tcPr>
            <w:tcW w:w="910" w:type="dxa"/>
            <w:tcBorders>
              <w:top w:val="single" w:sz="6" w:space="0" w:color="auto"/>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 xml:space="preserve"> </w:t>
            </w:r>
          </w:p>
        </w:tc>
      </w:tr>
      <w:tr w:rsidR="00E25CC6" w:rsidRPr="00B57F10" w:rsidTr="00B57F10">
        <w:trPr>
          <w:cantSplit/>
        </w:trPr>
        <w:tc>
          <w:tcPr>
            <w:tcW w:w="3144" w:type="dxa"/>
            <w:tcBorders>
              <w:top w:val="nil"/>
              <w:left w:val="nil"/>
              <w:bottom w:val="nil"/>
              <w:right w:val="nil"/>
            </w:tcBorders>
          </w:tcPr>
          <w:p w:rsidR="00E25CC6" w:rsidRPr="00B57F10" w:rsidRDefault="00E25CC6" w:rsidP="00B57F10">
            <w:pPr>
              <w:pStyle w:val="OGTabText"/>
              <w:rPr>
                <w:lang w:eastAsia="en-AU"/>
              </w:rPr>
            </w:pPr>
            <w:r w:rsidRPr="00B57F10">
              <w:rPr>
                <w:lang w:eastAsia="en-AU"/>
              </w:rPr>
              <w:t>Total output cost</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center"/>
              <w:rPr>
                <w:rFonts w:ascii="Calibri" w:hAnsi="Calibri" w:cs="Calibri"/>
                <w:color w:val="000000"/>
                <w:sz w:val="19"/>
                <w:szCs w:val="22"/>
                <w:lang w:eastAsia="en-AU"/>
              </w:rPr>
            </w:pPr>
            <w:r w:rsidRPr="00B57F10">
              <w:rPr>
                <w:rFonts w:ascii="Calibri"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21.8</w:t>
            </w:r>
          </w:p>
        </w:tc>
        <w:tc>
          <w:tcPr>
            <w:tcW w:w="992"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17.6</w:t>
            </w:r>
          </w:p>
        </w:tc>
        <w:tc>
          <w:tcPr>
            <w:tcW w:w="907"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14.4</w:t>
            </w:r>
          </w:p>
        </w:tc>
        <w:tc>
          <w:tcPr>
            <w:tcW w:w="910" w:type="dxa"/>
            <w:tcBorders>
              <w:top w:val="nil"/>
              <w:left w:val="nil"/>
              <w:bottom w:val="nil"/>
              <w:right w:val="nil"/>
            </w:tcBorders>
          </w:tcPr>
          <w:p w:rsidR="00E25CC6" w:rsidRPr="00B57F10" w:rsidRDefault="00E25CC6" w:rsidP="00B57F10">
            <w:pPr>
              <w:autoSpaceDE w:val="0"/>
              <w:autoSpaceDN w:val="0"/>
              <w:adjustRightInd w:val="0"/>
              <w:spacing w:after="0"/>
              <w:jc w:val="right"/>
              <w:rPr>
                <w:rFonts w:ascii="Calibri" w:hAnsi="Calibri" w:cs="Calibri"/>
                <w:color w:val="000000"/>
                <w:sz w:val="19"/>
                <w:szCs w:val="22"/>
                <w:lang w:eastAsia="en-AU"/>
              </w:rPr>
            </w:pPr>
            <w:r w:rsidRPr="00B57F10">
              <w:rPr>
                <w:rFonts w:ascii="Calibri" w:hAnsi="Calibri" w:cs="Calibri"/>
                <w:color w:val="000000"/>
                <w:sz w:val="19"/>
                <w:szCs w:val="22"/>
                <w:lang w:eastAsia="en-AU"/>
              </w:rPr>
              <w:t>22.3</w:t>
            </w:r>
          </w:p>
        </w:tc>
      </w:tr>
      <w:tr w:rsidR="00E25CC6" w:rsidRPr="00B57F10" w:rsidTr="00B57F10">
        <w:trPr>
          <w:cantSplit/>
        </w:trPr>
        <w:tc>
          <w:tcPr>
            <w:tcW w:w="7767" w:type="dxa"/>
            <w:gridSpan w:val="6"/>
            <w:tcBorders>
              <w:top w:val="nil"/>
              <w:left w:val="nil"/>
              <w:bottom w:val="single" w:sz="12" w:space="0" w:color="auto"/>
              <w:right w:val="nil"/>
            </w:tcBorders>
          </w:tcPr>
          <w:p w:rsidR="00E25CC6" w:rsidRPr="00781CAC" w:rsidRDefault="00E25CC6" w:rsidP="00B57F10">
            <w:pPr>
              <w:pStyle w:val="OGNotes"/>
              <w:rPr>
                <w:highlight w:val="yellow"/>
              </w:rPr>
            </w:pPr>
            <w:r w:rsidRPr="00781CAC">
              <w:t>The 2015</w:t>
            </w:r>
            <w:r w:rsidRPr="00781CAC">
              <w:rPr>
                <w:rFonts w:ascii="MS Gothic" w:eastAsia="MS Gothic" w:hAnsi="MS Gothic" w:cs="MS Gothic"/>
              </w:rPr>
              <w:noBreakHyphen/>
            </w:r>
            <w:r w:rsidRPr="00781CAC">
              <w:t>16 expected outcome is higher than the 2015</w:t>
            </w:r>
            <w:r w:rsidRPr="00781CAC">
              <w:noBreakHyphen/>
              <w:t>16 target due to the reallocation of funds from other outputs.</w:t>
            </w:r>
            <w:r w:rsidRPr="00781CAC">
              <w:rPr>
                <w:highlight w:val="yellow"/>
              </w:rPr>
              <w:t xml:space="preserve"> </w:t>
            </w:r>
          </w:p>
          <w:p w:rsidR="00E25CC6" w:rsidRPr="00781CAC" w:rsidRDefault="00E25CC6" w:rsidP="00237057">
            <w:pPr>
              <w:pStyle w:val="OGNotes"/>
            </w:pPr>
            <w:r w:rsidRPr="00781CAC">
              <w:t>The higher 2016</w:t>
            </w:r>
            <w:r w:rsidRPr="00781CAC">
              <w:noBreakHyphen/>
              <w:t xml:space="preserve">17 target </w:t>
            </w:r>
            <w:r>
              <w:t xml:space="preserve">primarily </w:t>
            </w:r>
            <w:r w:rsidRPr="00781CAC">
              <w:t xml:space="preserve">reflects additional funding in the </w:t>
            </w:r>
            <w:r w:rsidRPr="00781CAC">
              <w:rPr>
                <w:i w:val="0"/>
              </w:rPr>
              <w:t>2016</w:t>
            </w:r>
            <w:r w:rsidRPr="00781CAC">
              <w:rPr>
                <w:i w:val="0"/>
              </w:rPr>
              <w:noBreakHyphen/>
              <w:t>17 Budget</w:t>
            </w:r>
            <w:r w:rsidRPr="00781CAC">
              <w:t xml:space="preserve"> for the International Victorian Government Business Office Network.</w:t>
            </w:r>
          </w:p>
          <w:p w:rsidR="00E25CC6" w:rsidRPr="00B57F10" w:rsidRDefault="00E25CC6" w:rsidP="00237057">
            <w:pPr>
              <w:pStyle w:val="OGNotes"/>
            </w:pPr>
            <w:r w:rsidRPr="00781CAC">
              <w:t>The 2014</w:t>
            </w:r>
            <w:r w:rsidRPr="00781CAC">
              <w:noBreakHyphen/>
              <w:t xml:space="preserve">15 actual </w:t>
            </w:r>
            <w:r>
              <w:t>is</w:t>
            </w:r>
            <w:r w:rsidRPr="00781CAC">
              <w:t xml:space="preserve"> based on a re-mapping of historical output costs.</w:t>
            </w:r>
          </w:p>
        </w:tc>
      </w:tr>
    </w:tbl>
    <w:p w:rsidR="00E25CC6" w:rsidRDefault="00E25CC6" w:rsidP="00215C84">
      <w:pPr>
        <w:pStyle w:val="Source"/>
        <w:rPr>
          <w:rFonts w:eastAsiaTheme="minorHAnsi"/>
        </w:rPr>
      </w:pPr>
      <w:r>
        <w:rPr>
          <w:rFonts w:eastAsiaTheme="minorHAnsi"/>
        </w:rPr>
        <w:t>Source: Department of Economic Development, Jobs, Transport and Resources</w:t>
      </w:r>
      <w:bookmarkEnd w:id="57"/>
      <w:r>
        <w:rPr>
          <w:rFonts w:eastAsiaTheme="minorHAnsi"/>
        </w:rPr>
        <w:t xml:space="preserve"> </w:t>
      </w:r>
      <w:r>
        <w:rPr>
          <w:rFonts w:eastAsiaTheme="minorHAnsi"/>
        </w:rPr>
        <w:fldChar w:fldCharType="begin"/>
      </w:r>
      <w:r>
        <w:instrText xml:space="preserve"> XE "</w:instrText>
      </w:r>
      <w:r w:rsidRPr="00AC29F0">
        <w:instrText>Department of Economic Development, Jobs, Transport and Resources:Employment, Industry and Growth</w:instrText>
      </w:r>
      <w:r>
        <w:instrText xml:space="preserve">" \r "DEDJTR_EmpIndGwth" </w:instrText>
      </w:r>
      <w:r>
        <w:rPr>
          <w:rFonts w:eastAsiaTheme="minorHAnsi"/>
        </w:rPr>
        <w:fldChar w:fldCharType="end"/>
      </w:r>
      <w:r>
        <w:rPr>
          <w:rFonts w:eastAsiaTheme="minorHAnsi"/>
        </w:rPr>
        <w:t xml:space="preserve"> </w:t>
      </w:r>
      <w:r>
        <w:rPr>
          <w:rFonts w:eastAsiaTheme="minorHAnsi"/>
        </w:rPr>
        <w:fldChar w:fldCharType="begin"/>
      </w:r>
      <w:r>
        <w:instrText xml:space="preserve"> XE "</w:instrText>
      </w:r>
      <w:r w:rsidRPr="00BD0804">
        <w:instrText>Employment, Industry and Growth</w:instrText>
      </w:r>
      <w:r>
        <w:instrText xml:space="preserve">" \r "DEDJTR_EmpIndGwth" </w:instrText>
      </w:r>
      <w:r>
        <w:rPr>
          <w:rFonts w:eastAsiaTheme="minorHAnsi"/>
        </w:rPr>
        <w:fldChar w:fldCharType="end"/>
      </w:r>
    </w:p>
    <w:p w:rsidR="00E25CC6" w:rsidRDefault="00E25CC6" w:rsidP="00B57F10">
      <w:pPr>
        <w:pStyle w:val="OGText"/>
        <w:rPr>
          <w:rFonts w:eastAsiaTheme="minorHAnsi"/>
        </w:rPr>
      </w:pPr>
      <w:r w:rsidRPr="00B57F10">
        <w:rPr>
          <w:rFonts w:eastAsiaTheme="minorHAnsi"/>
        </w:rPr>
        <w:t xml:space="preserve"> </w:t>
      </w:r>
      <w:r>
        <w:rPr>
          <w:rFonts w:eastAsiaTheme="minorHAnsi"/>
        </w:rPr>
        <w:br w:type="page"/>
      </w:r>
    </w:p>
    <w:p w:rsidR="00E25CC6" w:rsidRPr="00721A9C" w:rsidRDefault="00E25CC6" w:rsidP="00721A9C">
      <w:pPr>
        <w:pStyle w:val="OGHeading1"/>
        <w:rPr>
          <w:rFonts w:eastAsiaTheme="minorHAnsi"/>
        </w:rPr>
      </w:pPr>
      <w:r w:rsidRPr="00721A9C">
        <w:rPr>
          <w:rFonts w:eastAsiaTheme="minorHAnsi"/>
        </w:rPr>
        <w:t xml:space="preserve">Resources and Primary Industries </w:t>
      </w:r>
    </w:p>
    <w:p w:rsidR="00E25CC6" w:rsidRDefault="00E25CC6" w:rsidP="00721A9C">
      <w:pPr>
        <w:pStyle w:val="OGText"/>
        <w:rPr>
          <w:rFonts w:eastAsiaTheme="minorHAnsi"/>
        </w:rPr>
      </w:pPr>
      <w:r w:rsidRPr="00721A9C">
        <w:rPr>
          <w:rFonts w:eastAsiaTheme="minorHAnsi"/>
        </w:rPr>
        <w:t>This output group creates the conditions for productive, competitive and sustainable food, fibre, energy and natural resources industries. These outputs contribute to the departmental objective to create more productive, competitive and sustainable food, fibre, energy and resource industries.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3462E5" w:rsidTr="003462E5">
        <w:trPr>
          <w:cantSplit/>
          <w:tblHeader/>
        </w:trPr>
        <w:tc>
          <w:tcPr>
            <w:tcW w:w="3146" w:type="dxa"/>
            <w:tcBorders>
              <w:top w:val="nil"/>
              <w:left w:val="nil"/>
              <w:bottom w:val="single" w:sz="4" w:space="0" w:color="auto"/>
              <w:right w:val="nil"/>
            </w:tcBorders>
            <w:shd w:val="solid" w:color="000000" w:fill="auto"/>
            <w:vAlign w:val="bottom"/>
          </w:tcPr>
          <w:p w:rsidR="00E25CC6" w:rsidRPr="003462E5" w:rsidRDefault="00E25CC6" w:rsidP="003462E5">
            <w:pPr>
              <w:autoSpaceDE w:val="0"/>
              <w:autoSpaceDN w:val="0"/>
              <w:adjustRightInd w:val="0"/>
              <w:spacing w:after="0"/>
              <w:rPr>
                <w:rFonts w:ascii="Calibri" w:hAnsi="Calibri" w:cs="Calibri"/>
                <w:i/>
                <w:iCs/>
                <w:color w:val="FFFFFF"/>
                <w:sz w:val="19"/>
                <w:szCs w:val="22"/>
                <w:lang w:eastAsia="en-AU"/>
              </w:rPr>
            </w:pPr>
            <w:r w:rsidRPr="003462E5">
              <w:rPr>
                <w:rFonts w:ascii="Calibri" w:hAnsi="Calibri" w:cs="Calibri"/>
                <w:b/>
                <w:bCs/>
                <w:color w:val="FFFFFF"/>
                <w:sz w:val="19"/>
                <w:szCs w:val="22"/>
                <w:lang w:eastAsia="en-AU"/>
              </w:rPr>
              <w:t>Major outputs/deliverables</w:t>
            </w:r>
          </w:p>
          <w:p w:rsidR="00E25CC6" w:rsidRPr="003462E5" w:rsidRDefault="00E25CC6" w:rsidP="003462E5">
            <w:pPr>
              <w:autoSpaceDE w:val="0"/>
              <w:autoSpaceDN w:val="0"/>
              <w:adjustRightInd w:val="0"/>
              <w:spacing w:after="0"/>
              <w:rPr>
                <w:rFonts w:ascii="Calibri" w:hAnsi="Calibri" w:cs="Calibri"/>
                <w:i/>
                <w:iCs/>
                <w:color w:val="FFFFFF"/>
                <w:sz w:val="19"/>
                <w:szCs w:val="22"/>
                <w:lang w:eastAsia="en-AU"/>
              </w:rPr>
            </w:pPr>
            <w:r w:rsidRPr="003462E5">
              <w:rPr>
                <w:rFonts w:ascii="Calibri"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3462E5" w:rsidRDefault="00E25CC6" w:rsidP="003462E5">
            <w:pPr>
              <w:autoSpaceDE w:val="0"/>
              <w:autoSpaceDN w:val="0"/>
              <w:adjustRightInd w:val="0"/>
              <w:spacing w:after="0"/>
              <w:jc w:val="center"/>
              <w:rPr>
                <w:rFonts w:ascii="Calibri" w:hAnsi="Calibri" w:cs="Calibri"/>
                <w:i/>
                <w:iCs/>
                <w:color w:val="FFFFFF"/>
                <w:sz w:val="19"/>
                <w:szCs w:val="22"/>
                <w:lang w:eastAsia="en-AU"/>
              </w:rPr>
            </w:pPr>
            <w:r w:rsidRPr="003462E5">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462E5" w:rsidRDefault="00E25CC6" w:rsidP="003462E5">
            <w:pPr>
              <w:autoSpaceDE w:val="0"/>
              <w:autoSpaceDN w:val="0"/>
              <w:adjustRightInd w:val="0"/>
              <w:spacing w:after="0"/>
              <w:jc w:val="right"/>
              <w:rPr>
                <w:rFonts w:ascii="Calibri" w:hAnsi="Calibri" w:cs="Calibri"/>
                <w:i/>
                <w:iCs/>
                <w:color w:val="FFFFFF"/>
                <w:sz w:val="19"/>
                <w:szCs w:val="22"/>
                <w:lang w:eastAsia="en-AU"/>
              </w:rPr>
            </w:pPr>
            <w:r w:rsidRPr="003462E5">
              <w:rPr>
                <w:rFonts w:ascii="Calibri" w:hAnsi="Calibri" w:cs="Calibri"/>
                <w:i/>
                <w:iCs/>
                <w:color w:val="FFFFFF"/>
                <w:sz w:val="19"/>
                <w:szCs w:val="22"/>
                <w:lang w:eastAsia="en-AU"/>
              </w:rPr>
              <w:t>2016</w:t>
            </w:r>
            <w:r w:rsidRPr="00804F7C">
              <w:rPr>
                <w:rFonts w:ascii="Calibri" w:hAnsi="Calibri" w:cs="Calibri"/>
                <w:i/>
                <w:iCs/>
                <w:color w:val="FFFFFF"/>
                <w:sz w:val="19"/>
                <w:szCs w:val="22"/>
                <w:lang w:eastAsia="en-AU"/>
              </w:rPr>
              <w:noBreakHyphen/>
            </w:r>
            <w:r w:rsidRPr="003462E5">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3462E5" w:rsidRDefault="00E25CC6" w:rsidP="003462E5">
            <w:pPr>
              <w:autoSpaceDE w:val="0"/>
              <w:autoSpaceDN w:val="0"/>
              <w:adjustRightInd w:val="0"/>
              <w:spacing w:after="0"/>
              <w:jc w:val="right"/>
              <w:rPr>
                <w:rFonts w:ascii="Calibri" w:hAnsi="Calibri" w:cs="Calibri"/>
                <w:i/>
                <w:iCs/>
                <w:color w:val="FFFFFF"/>
                <w:sz w:val="19"/>
                <w:szCs w:val="22"/>
                <w:lang w:eastAsia="en-AU"/>
              </w:rPr>
            </w:pPr>
            <w:r w:rsidRPr="003462E5">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3462E5">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3462E5" w:rsidRDefault="00E25CC6" w:rsidP="003462E5">
            <w:pPr>
              <w:autoSpaceDE w:val="0"/>
              <w:autoSpaceDN w:val="0"/>
              <w:adjustRightInd w:val="0"/>
              <w:spacing w:after="0"/>
              <w:jc w:val="right"/>
              <w:rPr>
                <w:rFonts w:ascii="Calibri" w:hAnsi="Calibri" w:cs="Calibri"/>
                <w:i/>
                <w:iCs/>
                <w:color w:val="FFFFFF"/>
                <w:sz w:val="19"/>
                <w:szCs w:val="22"/>
                <w:lang w:eastAsia="en-AU"/>
              </w:rPr>
            </w:pPr>
            <w:r w:rsidRPr="003462E5">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3462E5">
              <w:rPr>
                <w:rFonts w:ascii="Calibri"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3462E5" w:rsidRDefault="00E25CC6" w:rsidP="003462E5">
            <w:pPr>
              <w:autoSpaceDE w:val="0"/>
              <w:autoSpaceDN w:val="0"/>
              <w:adjustRightInd w:val="0"/>
              <w:spacing w:after="0"/>
              <w:jc w:val="right"/>
              <w:rPr>
                <w:rFonts w:ascii="Calibri" w:hAnsi="Calibri" w:cs="Calibri"/>
                <w:i/>
                <w:iCs/>
                <w:color w:val="FFFFFF"/>
                <w:sz w:val="19"/>
                <w:szCs w:val="22"/>
                <w:lang w:eastAsia="en-AU"/>
              </w:rPr>
            </w:pPr>
            <w:r w:rsidRPr="003462E5">
              <w:rPr>
                <w:rFonts w:ascii="Calibri" w:hAnsi="Calibri" w:cs="Calibri"/>
                <w:i/>
                <w:iCs/>
                <w:color w:val="FFFFFF"/>
                <w:sz w:val="19"/>
                <w:szCs w:val="22"/>
                <w:lang w:eastAsia="en-AU"/>
              </w:rPr>
              <w:t>2014</w:t>
            </w:r>
            <w:r w:rsidRPr="00804F7C">
              <w:rPr>
                <w:rFonts w:ascii="Calibri" w:hAnsi="Calibri" w:cs="Calibri"/>
                <w:i/>
                <w:iCs/>
                <w:color w:val="FFFFFF"/>
                <w:sz w:val="19"/>
                <w:szCs w:val="22"/>
                <w:lang w:eastAsia="en-AU"/>
              </w:rPr>
              <w:noBreakHyphen/>
            </w:r>
            <w:r w:rsidRPr="003462E5">
              <w:rPr>
                <w:rFonts w:ascii="Calibri" w:hAnsi="Calibri" w:cs="Calibri"/>
                <w:i/>
                <w:iCs/>
                <w:color w:val="FFFFFF"/>
                <w:sz w:val="19"/>
                <w:szCs w:val="22"/>
                <w:lang w:eastAsia="en-AU"/>
              </w:rPr>
              <w:t>15 actual</w:t>
            </w:r>
          </w:p>
        </w:tc>
      </w:tr>
      <w:tr w:rsidR="00E25CC6" w:rsidRPr="003462E5" w:rsidTr="003462E5">
        <w:trPr>
          <w:cantSplit/>
        </w:trPr>
        <w:tc>
          <w:tcPr>
            <w:tcW w:w="7767" w:type="dxa"/>
            <w:gridSpan w:val="6"/>
            <w:tcBorders>
              <w:top w:val="single" w:sz="4" w:space="0" w:color="auto"/>
              <w:left w:val="nil"/>
              <w:bottom w:val="nil"/>
              <w:right w:val="nil"/>
            </w:tcBorders>
          </w:tcPr>
          <w:p w:rsidR="00E25CC6" w:rsidRPr="003462E5" w:rsidRDefault="00E25CC6" w:rsidP="003462E5">
            <w:pPr>
              <w:pStyle w:val="OGHeading2"/>
              <w:rPr>
                <w:lang w:eastAsia="en-AU"/>
              </w:rPr>
            </w:pPr>
            <w:r w:rsidRPr="003462E5">
              <w:rPr>
                <w:lang w:eastAsia="en-AU"/>
              </w:rPr>
              <w:t>Agriculture</w:t>
            </w:r>
          </w:p>
        </w:tc>
      </w:tr>
      <w:tr w:rsidR="00E25CC6" w:rsidRPr="003462E5" w:rsidTr="00326C62">
        <w:trPr>
          <w:cantSplit/>
        </w:trPr>
        <w:tc>
          <w:tcPr>
            <w:tcW w:w="7767" w:type="dxa"/>
            <w:gridSpan w:val="6"/>
            <w:tcBorders>
              <w:top w:val="nil"/>
              <w:left w:val="nil"/>
              <w:bottom w:val="single" w:sz="6" w:space="0" w:color="auto"/>
              <w:right w:val="nil"/>
            </w:tcBorders>
          </w:tcPr>
          <w:p w:rsidR="00E25CC6" w:rsidRPr="003462E5" w:rsidRDefault="00E25CC6" w:rsidP="003462E5">
            <w:pPr>
              <w:pStyle w:val="OGTabText"/>
              <w:rPr>
                <w:rFonts w:cs="Calibri"/>
                <w:color w:val="000000"/>
                <w:sz w:val="19"/>
                <w:szCs w:val="22"/>
                <w:lang w:eastAsia="en-AU"/>
              </w:rPr>
            </w:pPr>
            <w:r w:rsidRPr="003462E5">
              <w:rPr>
                <w:lang w:eastAsia="en-AU"/>
              </w:rPr>
              <w:t>This output creates conditions for increased jobs, productivity and access to markets for Victoria</w:t>
            </w:r>
            <w:r>
              <w:rPr>
                <w:lang w:eastAsia="en-AU"/>
              </w:rPr>
              <w:t>’</w:t>
            </w:r>
            <w:r w:rsidRPr="003462E5">
              <w:rPr>
                <w:lang w:eastAsia="en-AU"/>
              </w:rPr>
              <w:t>s food and fibre industries. The Department works with research and industry partners, primary producers and rural communities across Victoria to address major and emerging challenges in productivity, biosecurity and competitiveness in food and fibre industries.</w:t>
            </w:r>
            <w:r w:rsidRPr="003462E5">
              <w:rPr>
                <w:rFonts w:cs="Calibri"/>
                <w:color w:val="000000"/>
                <w:sz w:val="19"/>
                <w:szCs w:val="22"/>
                <w:lang w:eastAsia="en-AU"/>
              </w:rPr>
              <w:t xml:space="preserve"> </w:t>
            </w:r>
          </w:p>
        </w:tc>
      </w:tr>
      <w:tr w:rsidR="00E25CC6" w:rsidRPr="003462E5" w:rsidTr="00E76C4A">
        <w:trPr>
          <w:cantSplit/>
        </w:trPr>
        <w:tc>
          <w:tcPr>
            <w:tcW w:w="3146" w:type="dxa"/>
            <w:tcBorders>
              <w:top w:val="nil"/>
              <w:left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Quantity</w:t>
            </w:r>
          </w:p>
        </w:tc>
        <w:tc>
          <w:tcPr>
            <w:tcW w:w="907" w:type="dxa"/>
            <w:tcBorders>
              <w:top w:val="nil"/>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E76C4A">
        <w:trPr>
          <w:cantSplit/>
        </w:trPr>
        <w:tc>
          <w:tcPr>
            <w:tcW w:w="3146" w:type="dxa"/>
            <w:tcBorders>
              <w:top w:val="nil"/>
              <w:left w:val="nil"/>
              <w:bottom w:val="single" w:sz="6" w:space="0" w:color="auto"/>
              <w:right w:val="nil"/>
            </w:tcBorders>
          </w:tcPr>
          <w:p w:rsidR="00E25CC6" w:rsidRPr="003462E5" w:rsidRDefault="00E25CC6" w:rsidP="003462E5">
            <w:pPr>
              <w:pStyle w:val="OGTabText"/>
              <w:rPr>
                <w:lang w:eastAsia="en-AU"/>
              </w:rPr>
            </w:pPr>
            <w:r w:rsidRPr="003462E5">
              <w:rPr>
                <w:lang w:eastAsia="en-AU"/>
              </w:rPr>
              <w:t>Animal pest, disease and residue control programs maintained to ensure Victorian agricultural produce complies with food safety and biosecurity standards required to access markets</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c>
          <w:tcPr>
            <w:tcW w:w="992"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c>
          <w:tcPr>
            <w:tcW w:w="908"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Applications for intellectual property protection</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Client interactions with land health services</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3 500</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3 500</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1 700</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higher than the 2015</w:t>
            </w:r>
            <w:r w:rsidRPr="00804F7C">
              <w:noBreakHyphen/>
            </w:r>
            <w:r w:rsidRPr="003462E5">
              <w:t xml:space="preserve">16 </w:t>
            </w:r>
            <w:r w:rsidRPr="00804F7C">
              <w:t>target</w:t>
            </w:r>
            <w:r w:rsidRPr="003462E5">
              <w:t xml:space="preserve"> due to increased client demand for drought support and services.</w:t>
            </w:r>
          </w:p>
          <w:p w:rsidR="00E25CC6" w:rsidRPr="003462E5" w:rsidRDefault="00E25CC6" w:rsidP="003462E5">
            <w:pPr>
              <w:pStyle w:val="OGNotes"/>
            </w:pPr>
            <w:r w:rsidRPr="003462E5">
              <w:t>The higher 2016</w:t>
            </w:r>
            <w:r w:rsidRPr="00804F7C">
              <w:noBreakHyphen/>
            </w:r>
            <w:r w:rsidRPr="003462E5">
              <w:t xml:space="preserve">17 </w:t>
            </w:r>
            <w:r w:rsidRPr="00804F7C">
              <w:t>target</w:t>
            </w:r>
            <w:r w:rsidRPr="003462E5">
              <w:t xml:space="preserve"> reflects increased client demand expected fo</w:t>
            </w:r>
            <w:r>
              <w:t>r drought support and services.</w:t>
            </w:r>
            <w:r w:rsidRPr="003462E5">
              <w:t xml:space="preserve"> </w:t>
            </w:r>
          </w:p>
        </w:tc>
      </w:tr>
      <w:tr w:rsidR="00E25CC6" w:rsidRPr="003462E5" w:rsidTr="00670E32">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Clients engaged with agriculture productivity services</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3 910</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5 100</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5 100</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5 464</w:t>
            </w:r>
          </w:p>
        </w:tc>
      </w:tr>
      <w:tr w:rsidR="00E25CC6" w:rsidRPr="003462E5" w:rsidTr="00670E32">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lower 2016</w:t>
            </w:r>
            <w:r w:rsidRPr="00804F7C">
              <w:noBreakHyphen/>
            </w:r>
            <w:r w:rsidRPr="003462E5">
              <w:t xml:space="preserve">17 </w:t>
            </w:r>
            <w:r w:rsidRPr="00804F7C">
              <w:t>target</w:t>
            </w:r>
            <w:r w:rsidRPr="003462E5">
              <w:t xml:space="preserve"> reflects the transfer of dairy extension services to Dairy Australia.</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Commercial technology licence agreements finalised</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Farms and related small businesses facing significant adjustment pressures supported to make better-informed decisions by the Rural Financial Counselling Service</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1 700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1 700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1 700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1 669</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Genetic improvement of dairy cows achieved through breeding contributing to increased milk production and dairy productivity</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Improved agricultural productivity services, programs and products developed</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Inspections or audits of scientific establishments undertaken to provide assurance of compliance with relevant industry standards for animal welfare</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25</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25</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25</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25</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Key bioscience platform technologies established</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Known state prohibited weed sites monitored and treated in line with the relevant weed action plan</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90</w:t>
            </w:r>
          </w:p>
        </w:tc>
      </w:tr>
      <w:tr w:rsidR="00E25CC6" w:rsidRPr="003462E5" w:rsidTr="00670E32">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New or amended Interstate Certificate Assurance (ICA) or other market access accreditations developed to restore or enable trade</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670E32">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higher than the 2015</w:t>
            </w:r>
            <w:r w:rsidRPr="00804F7C">
              <w:noBreakHyphen/>
            </w:r>
            <w:r w:rsidRPr="003462E5">
              <w:t xml:space="preserve">16 </w:t>
            </w:r>
            <w:r w:rsidRPr="00804F7C">
              <w:t>target</w:t>
            </w:r>
            <w:r w:rsidRPr="003462E5">
              <w:t xml:space="preserve"> as the development of, or changes to</w:t>
            </w:r>
            <w:r>
              <w:t>,</w:t>
            </w:r>
            <w:r w:rsidRPr="003462E5">
              <w:t xml:space="preserve"> interstate market access protocols are triggered through changes to chemical registration, national policy or via a request from industry. For example, PS</w:t>
            </w:r>
            <w:r w:rsidRPr="00804F7C">
              <w:noBreakHyphen/>
            </w:r>
            <w:r w:rsidRPr="003462E5">
              <w:t>40 (cover spray of apples and pears) was developed to allow</w:t>
            </w:r>
            <w:r w:rsidRPr="00804F7C">
              <w:t xml:space="preserve"> </w:t>
            </w:r>
            <w:r w:rsidRPr="003462E5">
              <w:t>businesses to conduct their own treatments and issue their own quarantine documentation to send Victorian grown pome fruit to the WA market. This procedure has eliminated authorised officers inspecting each treatment and issuing government certification which was both resource intensive for the department and costly for businesses.</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Plant health certificates issued for Melbourne Markets to support domestic market access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7 000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7 000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7 000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Plant pest, disease and residue control programs maintained to ensure Victorian agricultural produce complies with food safety and biosecurity standards required to access markets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DF0E54">
            <w:pPr>
              <w:pStyle w:val="OGTabText"/>
              <w:rPr>
                <w:lang w:eastAsia="en-AU"/>
              </w:rPr>
            </w:pPr>
            <w:r w:rsidRPr="003462E5">
              <w:rPr>
                <w:lang w:eastAsia="en-AU"/>
              </w:rPr>
              <w:t>Postgraduate</w:t>
            </w:r>
            <w:r>
              <w:rPr>
                <w:lang w:eastAsia="en-AU"/>
              </w:rPr>
              <w:noBreakHyphen/>
            </w:r>
            <w:r w:rsidRPr="003462E5">
              <w:rPr>
                <w:lang w:eastAsia="en-AU"/>
              </w:rPr>
              <w:t>level/PhD students in training</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65</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68</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65</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65</w:t>
            </w:r>
          </w:p>
        </w:tc>
      </w:tr>
      <w:tr w:rsidR="00E25CC6" w:rsidRPr="003462E5" w:rsidTr="00670E32">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Properties inspected for invasive plant and animal priority species</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781CAC" w:rsidRDefault="00E25CC6" w:rsidP="00CE71ED">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3 300</w:t>
            </w:r>
          </w:p>
        </w:tc>
        <w:tc>
          <w:tcPr>
            <w:tcW w:w="992" w:type="dxa"/>
            <w:tcBorders>
              <w:top w:val="single" w:sz="6" w:space="0" w:color="auto"/>
              <w:left w:val="nil"/>
              <w:right w:val="nil"/>
            </w:tcBorders>
          </w:tcPr>
          <w:p w:rsidR="00E25CC6" w:rsidRPr="00781CAC" w:rsidRDefault="00E25CC6" w:rsidP="003462E5">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2 300</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3 800</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3 330</w:t>
            </w:r>
          </w:p>
        </w:tc>
      </w:tr>
      <w:tr w:rsidR="00E25CC6" w:rsidRPr="003462E5" w:rsidTr="00670E32">
        <w:trPr>
          <w:cantSplit/>
        </w:trPr>
        <w:tc>
          <w:tcPr>
            <w:tcW w:w="7767" w:type="dxa"/>
            <w:gridSpan w:val="6"/>
            <w:tcBorders>
              <w:top w:val="nil"/>
              <w:left w:val="nil"/>
              <w:bottom w:val="single" w:sz="6" w:space="0" w:color="auto"/>
              <w:right w:val="nil"/>
            </w:tcBorders>
          </w:tcPr>
          <w:p w:rsidR="00E25CC6" w:rsidRPr="00781CAC" w:rsidRDefault="00E25CC6" w:rsidP="00170330">
            <w:pPr>
              <w:pStyle w:val="OGNotes"/>
            </w:pPr>
            <w:r w:rsidRPr="00781CAC">
              <w:t>The 2015</w:t>
            </w:r>
            <w:r w:rsidRPr="00781CAC">
              <w:rPr>
                <w:rFonts w:ascii="MS Gothic" w:eastAsia="MS Gothic" w:hAnsi="MS Gothic" w:cs="MS Gothic"/>
              </w:rPr>
              <w:noBreakHyphen/>
            </w:r>
            <w:r w:rsidRPr="00781CAC">
              <w:t>16 expected outcome is lower than the 2015</w:t>
            </w:r>
            <w:r w:rsidRPr="00781CAC">
              <w:rPr>
                <w:rFonts w:ascii="MS Gothic" w:eastAsia="MS Gothic" w:hAnsi="MS Gothic" w:cs="MS Gothic"/>
              </w:rPr>
              <w:noBreakHyphen/>
            </w:r>
            <w:r w:rsidRPr="00781CAC">
              <w:t>16 target due to the diversion of operational resources to assist high priority emergency response and market access activities such as the giant pine scale response.</w:t>
            </w:r>
          </w:p>
          <w:p w:rsidR="00E25CC6" w:rsidRPr="00781CAC" w:rsidRDefault="00E25CC6" w:rsidP="00170330">
            <w:pPr>
              <w:pStyle w:val="OGNotes"/>
            </w:pPr>
            <w:r w:rsidRPr="00781CAC">
              <w:t>The lower 2016</w:t>
            </w:r>
            <w:r w:rsidRPr="00781CAC">
              <w:rPr>
                <w:rFonts w:ascii="MS Gothic" w:eastAsia="MS Gothic" w:hAnsi="MS Gothic" w:cs="MS Gothic"/>
              </w:rPr>
              <w:noBreakHyphen/>
            </w:r>
            <w:r w:rsidRPr="00781CAC">
              <w:t>17 target reflects the anticipated diversion of staff effort to emergency response and essential market activities.</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Scientific and technical publications in international and/or peer review journals that promote productive agriculture</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260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260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260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293</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Strategies developed to overcome identified trade barriers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7</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7</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7</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7</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Value of co-investment from external (non-state) funding sources attracted to the Department</w:t>
            </w:r>
            <w:r>
              <w:rPr>
                <w:lang w:eastAsia="en-AU"/>
              </w:rPr>
              <w:t>’</w:t>
            </w:r>
            <w:r w:rsidRPr="003462E5">
              <w:rPr>
                <w:lang w:eastAsia="en-AU"/>
              </w:rPr>
              <w:t>s research projects that support productive agriculture</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million</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36</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36</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36</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45</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This performance measure renames the 2015</w:t>
            </w:r>
            <w:r w:rsidRPr="00804F7C">
              <w:noBreakHyphen/>
            </w:r>
            <w:r>
              <w:t>16 performance measure</w:t>
            </w:r>
            <w:r w:rsidRPr="003462E5">
              <w:t xml:space="preserve"> </w:t>
            </w:r>
            <w:r>
              <w:t>‘</w:t>
            </w:r>
            <w:r w:rsidRPr="003462E5">
              <w:t>Value of external (non</w:t>
            </w:r>
            <w:r w:rsidRPr="00804F7C">
              <w:noBreakHyphen/>
            </w:r>
            <w:r w:rsidRPr="003462E5">
              <w:t>state) funding contribution to research projects that support productive agriculture</w:t>
            </w:r>
            <w:r>
              <w:t>’</w:t>
            </w:r>
            <w:r w:rsidRPr="003462E5">
              <w:t xml:space="preserve">. The new measure reports on the same activity as the </w:t>
            </w:r>
            <w:r>
              <w:t xml:space="preserve">previous measure however </w:t>
            </w:r>
            <w:r w:rsidRPr="003462E5">
              <w:t>has been amended for increased clarity.</w:t>
            </w:r>
          </w:p>
        </w:tc>
      </w:tr>
      <w:tr w:rsidR="00E25CC6" w:rsidRPr="003462E5" w:rsidTr="00670E32">
        <w:trPr>
          <w:cantSplit/>
        </w:trPr>
        <w:tc>
          <w:tcPr>
            <w:tcW w:w="3146" w:type="dxa"/>
            <w:tcBorders>
              <w:top w:val="single" w:sz="6" w:space="0" w:color="auto"/>
              <w:left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670E32">
        <w:trPr>
          <w:cantSplit/>
        </w:trPr>
        <w:tc>
          <w:tcPr>
            <w:tcW w:w="3146" w:type="dxa"/>
            <w:tcBorders>
              <w:top w:val="nil"/>
              <w:left w:val="nil"/>
              <w:bottom w:val="single" w:sz="6" w:space="0" w:color="auto"/>
              <w:right w:val="nil"/>
            </w:tcBorders>
          </w:tcPr>
          <w:p w:rsidR="00E25CC6" w:rsidRPr="003462E5" w:rsidRDefault="00E25CC6" w:rsidP="003462E5">
            <w:pPr>
              <w:pStyle w:val="OGTabText"/>
              <w:rPr>
                <w:lang w:eastAsia="en-AU"/>
              </w:rPr>
            </w:pPr>
            <w:r w:rsidRPr="003462E5">
              <w:rPr>
                <w:lang w:eastAsia="en-AU"/>
              </w:rPr>
              <w:t>Client satisfaction rating of agricultural productivity services</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&gt;8</w:t>
            </w:r>
          </w:p>
        </w:tc>
        <w:tc>
          <w:tcPr>
            <w:tcW w:w="992"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&gt;8</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&gt;8</w:t>
            </w:r>
          </w:p>
        </w:tc>
        <w:tc>
          <w:tcPr>
            <w:tcW w:w="908"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National biosecurity, agriculture/veterinary chemical use and animal welfare programs implemented in accordance with agreed plans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&gt;95</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&gt;95</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&gt;95</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Satisfaction rating of industry investors in agriculture productivity research and development</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&gt;6</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&gt;6</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&gt;6</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4</w:t>
            </w:r>
          </w:p>
        </w:tc>
      </w:tr>
      <w:tr w:rsidR="00E25CC6" w:rsidRPr="003462E5" w:rsidTr="00711115">
        <w:trPr>
          <w:cantSplit/>
        </w:trPr>
        <w:tc>
          <w:tcPr>
            <w:tcW w:w="3146" w:type="dxa"/>
            <w:tcBorders>
              <w:top w:val="single" w:sz="6" w:space="0" w:color="auto"/>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411806">
        <w:trPr>
          <w:cantSplit/>
        </w:trPr>
        <w:tc>
          <w:tcPr>
            <w:tcW w:w="3146" w:type="dxa"/>
            <w:tcBorders>
              <w:top w:val="nil"/>
              <w:left w:val="nil"/>
              <w:right w:val="nil"/>
            </w:tcBorders>
          </w:tcPr>
          <w:p w:rsidR="00E25CC6" w:rsidRPr="003462E5" w:rsidRDefault="00E25CC6" w:rsidP="003462E5">
            <w:pPr>
              <w:pStyle w:val="OGTabText"/>
              <w:rPr>
                <w:lang w:eastAsia="en-AU"/>
              </w:rPr>
            </w:pPr>
            <w:r w:rsidRPr="003462E5">
              <w:rPr>
                <w:lang w:eastAsia="en-AU"/>
              </w:rPr>
              <w:t>Animal health certificates issued within specified timeframes to support international market access</w:t>
            </w:r>
          </w:p>
        </w:tc>
        <w:tc>
          <w:tcPr>
            <w:tcW w:w="907" w:type="dxa"/>
            <w:tcBorders>
              <w:top w:val="nil"/>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&gt;90</w:t>
            </w:r>
          </w:p>
        </w:tc>
        <w:tc>
          <w:tcPr>
            <w:tcW w:w="992"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&gt;90</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411806">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higher than the 2015</w:t>
            </w:r>
            <w:r w:rsidRPr="00804F7C">
              <w:noBreakHyphen/>
            </w:r>
            <w:r w:rsidRPr="003462E5">
              <w:t xml:space="preserve">16 </w:t>
            </w:r>
            <w:r w:rsidRPr="00804F7C">
              <w:t>target</w:t>
            </w:r>
            <w:r w:rsidRPr="003462E5">
              <w:t xml:space="preserve"> as all certificates were issued within the required timeframes.</w:t>
            </w:r>
          </w:p>
        </w:tc>
      </w:tr>
      <w:tr w:rsidR="00E25CC6" w:rsidRPr="003462E5" w:rsidTr="00411806">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Initial action taken to respond to reported emergency animal and plant pest, disease and natural disaster incidents complies with national agreements and obligations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670E32">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Provision of technical advice, diagnostic identification tests on pests and diseases including suspected exotics within agreed timeframes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95</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Research project milestones and reports completed on time</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85</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85</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80</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88</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higher than the 2015</w:t>
            </w:r>
            <w:r w:rsidRPr="00804F7C">
              <w:noBreakHyphen/>
            </w:r>
            <w:r w:rsidRPr="003462E5">
              <w:t xml:space="preserve">16 </w:t>
            </w:r>
            <w:r w:rsidRPr="00804F7C">
              <w:t>target</w:t>
            </w:r>
            <w:r w:rsidRPr="003462E5">
              <w:t xml:space="preserve"> due to stronger program and project management.</w:t>
            </w:r>
          </w:p>
          <w:p w:rsidR="00E25CC6" w:rsidRPr="003462E5" w:rsidRDefault="00E25CC6" w:rsidP="003462E5">
            <w:pPr>
              <w:pStyle w:val="OGNotes"/>
            </w:pPr>
            <w:r w:rsidRPr="003462E5">
              <w:t>The higher 2016</w:t>
            </w:r>
            <w:r w:rsidRPr="00804F7C">
              <w:noBreakHyphen/>
            </w:r>
            <w:r w:rsidRPr="003462E5">
              <w:t xml:space="preserve">17 </w:t>
            </w:r>
            <w:r w:rsidRPr="00804F7C">
              <w:t>target</w:t>
            </w:r>
            <w:r w:rsidRPr="003462E5">
              <w:t xml:space="preserve"> reflects a focus on stronger </w:t>
            </w:r>
            <w:r>
              <w:t>program and project management.</w:t>
            </w:r>
          </w:p>
        </w:tc>
      </w:tr>
      <w:tr w:rsidR="00E25CC6" w:rsidRPr="003462E5" w:rsidTr="00711115">
        <w:trPr>
          <w:cantSplit/>
        </w:trPr>
        <w:tc>
          <w:tcPr>
            <w:tcW w:w="3146" w:type="dxa"/>
            <w:tcBorders>
              <w:top w:val="single" w:sz="6" w:space="0" w:color="auto"/>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781CAC" w:rsidRDefault="00E25CC6" w:rsidP="003462E5">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DF0E54">
        <w:trPr>
          <w:cantSplit/>
        </w:trPr>
        <w:tc>
          <w:tcPr>
            <w:tcW w:w="3146" w:type="dxa"/>
            <w:tcBorders>
              <w:top w:val="nil"/>
              <w:left w:val="nil"/>
              <w:right w:val="nil"/>
            </w:tcBorders>
          </w:tcPr>
          <w:p w:rsidR="00E25CC6" w:rsidRPr="003462E5" w:rsidRDefault="00E25CC6" w:rsidP="003462E5">
            <w:pPr>
              <w:pStyle w:val="OGTabText"/>
              <w:rPr>
                <w:lang w:eastAsia="en-AU"/>
              </w:rPr>
            </w:pPr>
            <w:r w:rsidRPr="003462E5">
              <w:rPr>
                <w:lang w:eastAsia="en-AU"/>
              </w:rPr>
              <w:t>Total output cost</w:t>
            </w:r>
          </w:p>
        </w:tc>
        <w:tc>
          <w:tcPr>
            <w:tcW w:w="907" w:type="dxa"/>
            <w:tcBorders>
              <w:top w:val="nil"/>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351.9</w:t>
            </w:r>
          </w:p>
        </w:tc>
        <w:tc>
          <w:tcPr>
            <w:tcW w:w="992" w:type="dxa"/>
            <w:tcBorders>
              <w:top w:val="nil"/>
              <w:left w:val="nil"/>
              <w:right w:val="nil"/>
            </w:tcBorders>
          </w:tcPr>
          <w:p w:rsidR="00E25CC6" w:rsidRPr="00781CAC" w:rsidRDefault="00E25CC6" w:rsidP="00D24222">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355.6</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341.9</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360.4</w:t>
            </w:r>
          </w:p>
        </w:tc>
      </w:tr>
      <w:tr w:rsidR="00E25CC6" w:rsidRPr="003462E5" w:rsidTr="00DF0E54">
        <w:trPr>
          <w:cantSplit/>
        </w:trPr>
        <w:tc>
          <w:tcPr>
            <w:tcW w:w="7767" w:type="dxa"/>
            <w:gridSpan w:val="6"/>
            <w:tcBorders>
              <w:top w:val="nil"/>
              <w:left w:val="nil"/>
              <w:bottom w:val="single" w:sz="6" w:space="0" w:color="auto"/>
              <w:right w:val="nil"/>
            </w:tcBorders>
          </w:tcPr>
          <w:p w:rsidR="00E25CC6" w:rsidRPr="00781CAC" w:rsidRDefault="00E25CC6" w:rsidP="00B243F1">
            <w:pPr>
              <w:pStyle w:val="OGNotes"/>
            </w:pPr>
            <w:r w:rsidRPr="00781CAC">
              <w:t>The higher 2016</w:t>
            </w:r>
            <w:r w:rsidRPr="00781CAC">
              <w:noBreakHyphen/>
              <w:t xml:space="preserve">17 target primarily reflects additional funding in the </w:t>
            </w:r>
            <w:r w:rsidRPr="00781CAC">
              <w:rPr>
                <w:i w:val="0"/>
              </w:rPr>
              <w:t>2016</w:t>
            </w:r>
            <w:r w:rsidRPr="00781CAC">
              <w:rPr>
                <w:i w:val="0"/>
              </w:rPr>
              <w:noBreakHyphen/>
              <w:t>17 Budget</w:t>
            </w:r>
            <w:r>
              <w:t xml:space="preserve"> for Agriculture initiatives.</w:t>
            </w:r>
          </w:p>
          <w:p w:rsidR="00E25CC6" w:rsidRPr="00781CAC" w:rsidRDefault="00E25CC6" w:rsidP="00B243F1">
            <w:pPr>
              <w:pStyle w:val="OGNotes"/>
            </w:pPr>
            <w:r w:rsidRPr="00781CAC">
              <w:t>The 2014</w:t>
            </w:r>
            <w:r w:rsidRPr="00781CAC">
              <w:noBreakHyphen/>
              <w:t xml:space="preserve">15 actual </w:t>
            </w:r>
            <w:r>
              <w:t>is</w:t>
            </w:r>
            <w:r w:rsidRPr="00781CAC">
              <w:t xml:space="preserve"> based on a re-mapping of historical output costs.</w:t>
            </w:r>
          </w:p>
        </w:tc>
      </w:tr>
      <w:tr w:rsidR="00E25CC6" w:rsidRPr="003462E5" w:rsidTr="00DF0E54">
        <w:trPr>
          <w:cantSplit/>
        </w:trPr>
        <w:tc>
          <w:tcPr>
            <w:tcW w:w="7767" w:type="dxa"/>
            <w:gridSpan w:val="6"/>
            <w:tcBorders>
              <w:top w:val="single" w:sz="6" w:space="0" w:color="auto"/>
              <w:left w:val="nil"/>
              <w:bottom w:val="nil"/>
              <w:right w:val="nil"/>
            </w:tcBorders>
          </w:tcPr>
          <w:p w:rsidR="00E25CC6" w:rsidRPr="003462E5" w:rsidRDefault="00E25CC6" w:rsidP="003462E5">
            <w:pPr>
              <w:pStyle w:val="OGHeading2"/>
              <w:rPr>
                <w:lang w:eastAsia="en-AU"/>
              </w:rPr>
            </w:pPr>
            <w:r w:rsidRPr="003462E5">
              <w:rPr>
                <w:lang w:eastAsia="en-AU"/>
              </w:rPr>
              <w:t xml:space="preserve">Energy and Resources </w:t>
            </w:r>
          </w:p>
        </w:tc>
      </w:tr>
      <w:tr w:rsidR="00E25CC6" w:rsidRPr="003462E5" w:rsidTr="003462E5">
        <w:trPr>
          <w:cantSplit/>
        </w:trPr>
        <w:tc>
          <w:tcPr>
            <w:tcW w:w="7767" w:type="dxa"/>
            <w:gridSpan w:val="6"/>
            <w:tcBorders>
              <w:top w:val="nil"/>
              <w:left w:val="nil"/>
              <w:bottom w:val="single" w:sz="6" w:space="0" w:color="auto"/>
              <w:right w:val="nil"/>
            </w:tcBorders>
          </w:tcPr>
          <w:p w:rsidR="00E25CC6" w:rsidRPr="003462E5" w:rsidRDefault="00E25CC6" w:rsidP="003462E5">
            <w:pPr>
              <w:pStyle w:val="OGTabText"/>
            </w:pPr>
            <w:r w:rsidRPr="003462E5">
              <w:t>This output influences and advocates for the provision of efficient, reliable and safe energy services through national forums and delivers State-based energy programs. It supports the development of renewable energy, improving energy efficiency and productivity outcomes for households and businesses and facilitating new investment opportunities. The output also provides efficient and effective regulatory services to industry, promotes a sustainable resources sector and provides information to households and businesses and undertakes community engagement.</w:t>
            </w:r>
          </w:p>
        </w:tc>
      </w:tr>
      <w:tr w:rsidR="00E25CC6" w:rsidRPr="003462E5" w:rsidTr="003462E5">
        <w:trPr>
          <w:cantSplit/>
        </w:trPr>
        <w:tc>
          <w:tcPr>
            <w:tcW w:w="3146" w:type="dxa"/>
            <w:tcBorders>
              <w:top w:val="nil"/>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E76C4A">
        <w:trPr>
          <w:cantSplit/>
        </w:trPr>
        <w:tc>
          <w:tcPr>
            <w:tcW w:w="3146" w:type="dxa"/>
            <w:tcBorders>
              <w:top w:val="nil"/>
              <w:left w:val="nil"/>
              <w:right w:val="nil"/>
            </w:tcBorders>
          </w:tcPr>
          <w:p w:rsidR="00E25CC6" w:rsidRPr="003462E5" w:rsidRDefault="00E25CC6" w:rsidP="003462E5">
            <w:pPr>
              <w:pStyle w:val="OGTabText"/>
              <w:rPr>
                <w:lang w:eastAsia="en-AU"/>
              </w:rPr>
            </w:pPr>
            <w:r w:rsidRPr="003462E5">
              <w:rPr>
                <w:lang w:eastAsia="en-AU"/>
              </w:rPr>
              <w:t>Community and stakeholder engagement information forums</w:t>
            </w:r>
          </w:p>
        </w:tc>
        <w:tc>
          <w:tcPr>
            <w:tcW w:w="907" w:type="dxa"/>
            <w:tcBorders>
              <w:top w:val="nil"/>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30</w:t>
            </w:r>
          </w:p>
        </w:tc>
        <w:tc>
          <w:tcPr>
            <w:tcW w:w="992"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32</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25</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58</w:t>
            </w:r>
          </w:p>
        </w:tc>
      </w:tr>
      <w:tr w:rsidR="00E25CC6" w:rsidRPr="003462E5" w:rsidTr="00E76C4A">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higher than the 2015</w:t>
            </w:r>
            <w:r w:rsidRPr="00804F7C">
              <w:noBreakHyphen/>
            </w:r>
            <w:r w:rsidRPr="003462E5">
              <w:t xml:space="preserve">16 </w:t>
            </w:r>
            <w:r w:rsidRPr="00804F7C">
              <w:t>target</w:t>
            </w:r>
            <w:r w:rsidRPr="003462E5">
              <w:t xml:space="preserve"> due to a higher number of stakeholder and community forums associated with the Stavely minerals exploration initiative in Western Victoria.</w:t>
            </w:r>
          </w:p>
          <w:p w:rsidR="00E25CC6" w:rsidRPr="003462E5" w:rsidRDefault="00E25CC6" w:rsidP="00FC573C">
            <w:pPr>
              <w:pStyle w:val="OGNotes"/>
            </w:pPr>
            <w:r w:rsidRPr="003462E5">
              <w:t>The higher 2016</w:t>
            </w:r>
            <w:r w:rsidRPr="00804F7C">
              <w:noBreakHyphen/>
            </w:r>
            <w:r w:rsidRPr="003462E5">
              <w:t xml:space="preserve">17 </w:t>
            </w:r>
            <w:r w:rsidRPr="00804F7C">
              <w:t>target</w:t>
            </w:r>
            <w:r w:rsidRPr="003462E5">
              <w:t xml:space="preserve"> reflects new funding provided in the </w:t>
            </w:r>
            <w:r w:rsidRPr="00C336F7">
              <w:rPr>
                <w:i w:val="0"/>
              </w:rPr>
              <w:t>2016</w:t>
            </w:r>
            <w:r w:rsidRPr="00C336F7">
              <w:rPr>
                <w:i w:val="0"/>
              </w:rPr>
              <w:noBreakHyphen/>
              <w:t>17 Budget</w:t>
            </w:r>
            <w:r w:rsidRPr="003462E5">
              <w:t xml:space="preserve"> for the Re</w:t>
            </w:r>
            <w:r>
              <w:t>gional Rehabilitation Strategy.</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Delivery of key milestones for the Powerline Bushfire Safety Work Program</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r>
      <w:tr w:rsidR="00E25CC6" w:rsidRPr="003462E5" w:rsidTr="00711115">
        <w:trPr>
          <w:cantSplit/>
        </w:trPr>
        <w:tc>
          <w:tcPr>
            <w:tcW w:w="3146" w:type="dxa"/>
            <w:tcBorders>
              <w:top w:val="single" w:sz="6" w:space="0" w:color="auto"/>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711115">
        <w:trPr>
          <w:cantSplit/>
        </w:trPr>
        <w:tc>
          <w:tcPr>
            <w:tcW w:w="3146" w:type="dxa"/>
            <w:tcBorders>
              <w:top w:val="nil"/>
              <w:left w:val="nil"/>
              <w:right w:val="nil"/>
            </w:tcBorders>
          </w:tcPr>
          <w:p w:rsidR="00E25CC6" w:rsidRPr="003462E5" w:rsidRDefault="00E25CC6" w:rsidP="003462E5">
            <w:pPr>
              <w:pStyle w:val="OGTabText"/>
              <w:rPr>
                <w:lang w:eastAsia="en-AU"/>
              </w:rPr>
            </w:pPr>
            <w:r w:rsidRPr="003462E5">
              <w:rPr>
                <w:lang w:eastAsia="en-AU"/>
              </w:rPr>
              <w:t>Exploration and mining licences which are not active</w:t>
            </w:r>
          </w:p>
        </w:tc>
        <w:tc>
          <w:tcPr>
            <w:tcW w:w="907" w:type="dxa"/>
            <w:tcBorders>
              <w:top w:val="nil"/>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&lt;17.5</w:t>
            </w:r>
          </w:p>
        </w:tc>
        <w:tc>
          <w:tcPr>
            <w:tcW w:w="992"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14.4</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&lt;17.5</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5.1</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lower than the 2015</w:t>
            </w:r>
            <w:r w:rsidRPr="00804F7C">
              <w:noBreakHyphen/>
            </w:r>
            <w:r w:rsidRPr="003462E5">
              <w:t xml:space="preserve">16 </w:t>
            </w:r>
            <w:r w:rsidRPr="00804F7C">
              <w:t>target</w:t>
            </w:r>
            <w:r w:rsidRPr="003462E5">
              <w:t xml:space="preserve"> due to increased checking and monitoring of licence activity by the department.</w:t>
            </w:r>
            <w:r w:rsidRPr="00804F7C">
              <w:t xml:space="preserve"> </w:t>
            </w:r>
          </w:p>
        </w:tc>
      </w:tr>
      <w:tr w:rsidR="00E25CC6" w:rsidRPr="003462E5" w:rsidTr="00711115">
        <w:trPr>
          <w:cantSplit/>
        </w:trPr>
        <w:tc>
          <w:tcPr>
            <w:tcW w:w="3146" w:type="dxa"/>
            <w:tcBorders>
              <w:top w:val="single" w:sz="6" w:space="0" w:color="auto"/>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411806">
        <w:trPr>
          <w:cantSplit/>
        </w:trPr>
        <w:tc>
          <w:tcPr>
            <w:tcW w:w="3146" w:type="dxa"/>
            <w:tcBorders>
              <w:top w:val="nil"/>
              <w:left w:val="nil"/>
              <w:right w:val="nil"/>
            </w:tcBorders>
          </w:tcPr>
          <w:p w:rsidR="00E25CC6" w:rsidRPr="003462E5" w:rsidRDefault="00E25CC6" w:rsidP="003462E5">
            <w:pPr>
              <w:pStyle w:val="OGTabText"/>
              <w:rPr>
                <w:lang w:eastAsia="en-AU"/>
              </w:rPr>
            </w:pPr>
            <w:r w:rsidRPr="003462E5">
              <w:rPr>
                <w:lang w:eastAsia="en-AU"/>
              </w:rPr>
              <w:t>Delivery of key CarbonNet milestones, in line with funding agreements and agreed project deliverables</w:t>
            </w:r>
          </w:p>
        </w:tc>
        <w:tc>
          <w:tcPr>
            <w:tcW w:w="907" w:type="dxa"/>
            <w:tcBorders>
              <w:top w:val="nil"/>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93</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r>
      <w:tr w:rsidR="00E25CC6" w:rsidRPr="003462E5" w:rsidTr="00411806">
        <w:trPr>
          <w:cantSplit/>
        </w:trPr>
        <w:tc>
          <w:tcPr>
            <w:tcW w:w="7767" w:type="dxa"/>
            <w:gridSpan w:val="6"/>
            <w:tcBorders>
              <w:top w:val="nil"/>
              <w:left w:val="nil"/>
              <w:bottom w:val="single" w:sz="6" w:space="0" w:color="auto"/>
              <w:right w:val="nil"/>
            </w:tcBorders>
          </w:tcPr>
          <w:p w:rsidR="00E25CC6" w:rsidRPr="003462E5" w:rsidRDefault="00E25CC6" w:rsidP="00206266">
            <w:pPr>
              <w:pStyle w:val="OGNotes"/>
            </w:pPr>
            <w:r w:rsidRPr="003462E5">
              <w:t>The 2015</w:t>
            </w:r>
            <w:r w:rsidRPr="00804F7C">
              <w:noBreakHyphen/>
            </w:r>
            <w:r w:rsidRPr="003462E5">
              <w:t xml:space="preserve">16 </w:t>
            </w:r>
            <w:r w:rsidRPr="00804F7C">
              <w:t>expected outcome</w:t>
            </w:r>
            <w:r w:rsidRPr="003462E5">
              <w:t xml:space="preserve"> is lower than the 2015</w:t>
            </w:r>
            <w:r w:rsidRPr="00804F7C">
              <w:noBreakHyphen/>
            </w:r>
            <w:r w:rsidRPr="003462E5">
              <w:t xml:space="preserve">16 </w:t>
            </w:r>
            <w:r w:rsidRPr="00804F7C">
              <w:t>target</w:t>
            </w:r>
            <w:r w:rsidRPr="003462E5">
              <w:t xml:space="preserve"> as it is </w:t>
            </w:r>
            <w:r>
              <w:t>possible</w:t>
            </w:r>
            <w:r w:rsidRPr="003462E5">
              <w:t xml:space="preserve"> that the Greenhouse Gas Storage acreage process will </w:t>
            </w:r>
            <w:r>
              <w:t xml:space="preserve">not </w:t>
            </w:r>
            <w:r w:rsidRPr="003462E5">
              <w:t xml:space="preserve">be completed by June 2016. </w:t>
            </w:r>
          </w:p>
        </w:tc>
      </w:tr>
      <w:tr w:rsidR="00E25CC6" w:rsidRPr="003462E5" w:rsidTr="00411806">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Delivery of key milestones for the energy efficiency and productivity work program</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Delivery of key milestones for the renewable energy work program</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EC1940">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Delivery of key milestones for the Victorian Energy Efficiency Target Scheme work program</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EC1940">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New performance measure for 2016</w:t>
            </w:r>
            <w:r w:rsidRPr="00804F7C">
              <w:noBreakHyphen/>
            </w:r>
            <w:r w:rsidRPr="003462E5">
              <w:t xml:space="preserve">17 to reflect new funding for </w:t>
            </w:r>
            <w:r>
              <w:t>the Saving Energy</w:t>
            </w:r>
            <w:r w:rsidRPr="003462E5">
              <w:t xml:space="preserve"> Growing Jobs initiative</w:t>
            </w:r>
            <w:r w:rsidRPr="00804F7C">
              <w:t xml:space="preserve"> </w:t>
            </w:r>
          </w:p>
        </w:tc>
      </w:tr>
      <w:tr w:rsidR="00E25CC6" w:rsidRPr="003462E5" w:rsidTr="00EC1940">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Facilitate the delivery of key energy technology innovation milestones in line with grant agreements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92</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Industry geoscience data packages released for minerals and petroleum sectors consistent with agreed timelines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6</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w:t>
            </w:r>
          </w:p>
        </w:tc>
      </w:tr>
      <w:tr w:rsidR="00E25CC6" w:rsidRPr="003462E5" w:rsidTr="00E76C4A">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Percentage of exploration licence applications, mining industry workplans and mining licence applications processed within regulatory timeframes</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&gt;95</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85</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&gt;95</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r>
      <w:tr w:rsidR="00E25CC6" w:rsidRPr="003462E5" w:rsidTr="00E76C4A">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lower than the 2015</w:t>
            </w:r>
            <w:r w:rsidRPr="00804F7C">
              <w:noBreakHyphen/>
            </w:r>
            <w:r w:rsidRPr="003462E5">
              <w:t xml:space="preserve">16 </w:t>
            </w:r>
            <w:r w:rsidRPr="00804F7C">
              <w:t>target</w:t>
            </w:r>
            <w:r w:rsidRPr="003462E5">
              <w:t xml:space="preserve"> due to consideration being given to objections lodged prior to determining the applications. Of the 153 decisions, 27 did not make statutory timeframes (includes g</w:t>
            </w:r>
            <w:r>
              <w:t xml:space="preserve">ranted approvals plus decisions </w:t>
            </w:r>
            <w:r w:rsidRPr="003462E5">
              <w:t>pending across all Acts, limited to those with a statutory timeframe on the stage they are at in the process).</w:t>
            </w:r>
          </w:p>
          <w:p w:rsidR="00E25CC6" w:rsidRPr="003462E5" w:rsidRDefault="00E25CC6" w:rsidP="007671A2">
            <w:pPr>
              <w:pStyle w:val="OGNotes"/>
            </w:pPr>
            <w:r w:rsidRPr="00781CAC">
              <w:t xml:space="preserve">The Department of Economic Development, Jobs, Transport and Resources has a </w:t>
            </w:r>
            <w:r w:rsidRPr="003462E5">
              <w:t>major project underway to reform Earth Resources Regulation and improve community engagement, which aims to increase confidence in, and time</w:t>
            </w:r>
            <w:r>
              <w:t>liness of, licensing decisions.</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Regulatory audits completed within agreed timelines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&gt;95</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95</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&gt;95</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93</w:t>
            </w:r>
          </w:p>
        </w:tc>
      </w:tr>
      <w:tr w:rsidR="00E25CC6" w:rsidRPr="003462E5" w:rsidTr="00711115">
        <w:trPr>
          <w:cantSplit/>
        </w:trPr>
        <w:tc>
          <w:tcPr>
            <w:tcW w:w="3146" w:type="dxa"/>
            <w:tcBorders>
              <w:top w:val="single" w:sz="6" w:space="0" w:color="auto"/>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DF0E54">
        <w:trPr>
          <w:cantSplit/>
        </w:trPr>
        <w:tc>
          <w:tcPr>
            <w:tcW w:w="3146" w:type="dxa"/>
            <w:tcBorders>
              <w:top w:val="nil"/>
              <w:left w:val="nil"/>
              <w:right w:val="nil"/>
            </w:tcBorders>
          </w:tcPr>
          <w:p w:rsidR="00E25CC6" w:rsidRPr="00781CAC" w:rsidRDefault="00E25CC6" w:rsidP="003462E5">
            <w:pPr>
              <w:pStyle w:val="OGTabText"/>
              <w:rPr>
                <w:lang w:eastAsia="en-AU"/>
              </w:rPr>
            </w:pPr>
            <w:r w:rsidRPr="00781CAC">
              <w:rPr>
                <w:lang w:eastAsia="en-AU"/>
              </w:rPr>
              <w:t>Total output cost</w:t>
            </w:r>
          </w:p>
        </w:tc>
        <w:tc>
          <w:tcPr>
            <w:tcW w:w="907" w:type="dxa"/>
            <w:tcBorders>
              <w:top w:val="nil"/>
              <w:left w:val="nil"/>
              <w:right w:val="nil"/>
            </w:tcBorders>
          </w:tcPr>
          <w:p w:rsidR="00E25CC6" w:rsidRPr="00781CAC" w:rsidRDefault="00E25CC6" w:rsidP="003462E5">
            <w:pPr>
              <w:autoSpaceDE w:val="0"/>
              <w:autoSpaceDN w:val="0"/>
              <w:adjustRightInd w:val="0"/>
              <w:spacing w:after="0"/>
              <w:jc w:val="center"/>
              <w:rPr>
                <w:rFonts w:ascii="Calibri" w:hAnsi="Calibri" w:cs="Calibri"/>
                <w:sz w:val="19"/>
                <w:szCs w:val="22"/>
                <w:lang w:eastAsia="en-AU"/>
              </w:rPr>
            </w:pPr>
            <w:r w:rsidRPr="00781CAC">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781CAC" w:rsidRDefault="00E25CC6" w:rsidP="003462E5">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172.1</w:t>
            </w:r>
          </w:p>
        </w:tc>
        <w:tc>
          <w:tcPr>
            <w:tcW w:w="992" w:type="dxa"/>
            <w:tcBorders>
              <w:top w:val="nil"/>
              <w:left w:val="nil"/>
              <w:right w:val="nil"/>
            </w:tcBorders>
          </w:tcPr>
          <w:p w:rsidR="00E25CC6" w:rsidRPr="00781CAC" w:rsidRDefault="00E25CC6" w:rsidP="003462E5">
            <w:pPr>
              <w:autoSpaceDE w:val="0"/>
              <w:autoSpaceDN w:val="0"/>
              <w:adjustRightInd w:val="0"/>
              <w:spacing w:after="0"/>
              <w:jc w:val="right"/>
              <w:rPr>
                <w:rFonts w:ascii="Calibri" w:hAnsi="Calibri" w:cs="Calibri"/>
                <w:sz w:val="19"/>
                <w:szCs w:val="22"/>
                <w:lang w:eastAsia="en-AU"/>
              </w:rPr>
            </w:pPr>
            <w:r w:rsidRPr="00781CAC">
              <w:rPr>
                <w:rFonts w:ascii="Calibri" w:hAnsi="Calibri" w:cs="Calibri"/>
                <w:sz w:val="19"/>
                <w:szCs w:val="22"/>
                <w:lang w:eastAsia="en-AU"/>
              </w:rPr>
              <w:t>115.3</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154.1</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102.5</w:t>
            </w:r>
          </w:p>
        </w:tc>
      </w:tr>
      <w:tr w:rsidR="00E25CC6" w:rsidRPr="003462E5" w:rsidTr="00DF0E54">
        <w:trPr>
          <w:cantSplit/>
        </w:trPr>
        <w:tc>
          <w:tcPr>
            <w:tcW w:w="7767" w:type="dxa"/>
            <w:gridSpan w:val="6"/>
            <w:tcBorders>
              <w:top w:val="nil"/>
              <w:left w:val="nil"/>
              <w:bottom w:val="single" w:sz="6" w:space="0" w:color="auto"/>
              <w:right w:val="nil"/>
            </w:tcBorders>
          </w:tcPr>
          <w:p w:rsidR="00E25CC6" w:rsidRPr="00781CAC" w:rsidRDefault="00E25CC6" w:rsidP="003462E5">
            <w:pPr>
              <w:pStyle w:val="OGNotes"/>
              <w:rPr>
                <w:highlight w:val="yellow"/>
              </w:rPr>
            </w:pPr>
            <w:r w:rsidRPr="00781CAC">
              <w:t>The 2015</w:t>
            </w:r>
            <w:r w:rsidRPr="00781CAC">
              <w:noBreakHyphen/>
              <w:t>16 expected outcome is lower than the 2015</w:t>
            </w:r>
            <w:r w:rsidRPr="00781CAC">
              <w:noBreakHyphen/>
              <w:t>16 target mainly due to the timing of payments for projects including CarbonNet and Advanced Lignite.</w:t>
            </w:r>
            <w:r w:rsidRPr="00781CAC">
              <w:rPr>
                <w:highlight w:val="yellow"/>
              </w:rPr>
              <w:t xml:space="preserve"> </w:t>
            </w:r>
          </w:p>
          <w:p w:rsidR="00E25CC6" w:rsidRPr="00781CAC" w:rsidRDefault="00E25CC6" w:rsidP="00CC655F">
            <w:pPr>
              <w:pStyle w:val="OGNotes"/>
            </w:pPr>
            <w:r w:rsidRPr="00781CAC">
              <w:t>The higher 2016</w:t>
            </w:r>
            <w:r w:rsidRPr="00781CAC">
              <w:noBreakHyphen/>
              <w:t xml:space="preserve">17 target primarily reflects funding allocated in the </w:t>
            </w:r>
            <w:r w:rsidRPr="00781CAC">
              <w:rPr>
                <w:i w:val="0"/>
              </w:rPr>
              <w:t>2016</w:t>
            </w:r>
            <w:r w:rsidRPr="00781CAC">
              <w:rPr>
                <w:i w:val="0"/>
              </w:rPr>
              <w:noBreakHyphen/>
              <w:t>17 Budget</w:t>
            </w:r>
            <w:r w:rsidRPr="00781CAC">
              <w:t xml:space="preserve"> for a number of Energy initiatives.</w:t>
            </w:r>
          </w:p>
        </w:tc>
      </w:tr>
      <w:tr w:rsidR="00E25CC6" w:rsidRPr="003462E5" w:rsidTr="00DF0E54">
        <w:trPr>
          <w:cantSplit/>
        </w:trPr>
        <w:tc>
          <w:tcPr>
            <w:tcW w:w="7767" w:type="dxa"/>
            <w:gridSpan w:val="6"/>
            <w:tcBorders>
              <w:top w:val="single" w:sz="6" w:space="0" w:color="auto"/>
              <w:left w:val="nil"/>
              <w:bottom w:val="nil"/>
              <w:right w:val="nil"/>
            </w:tcBorders>
          </w:tcPr>
          <w:p w:rsidR="00E25CC6" w:rsidRPr="003462E5" w:rsidRDefault="00E25CC6" w:rsidP="003462E5">
            <w:pPr>
              <w:pStyle w:val="OGHeading2"/>
              <w:rPr>
                <w:lang w:eastAsia="en-AU"/>
              </w:rPr>
            </w:pPr>
            <w:r w:rsidRPr="003462E5">
              <w:rPr>
                <w:lang w:eastAsia="en-AU"/>
              </w:rPr>
              <w:t xml:space="preserve">Sustainably Manage Fish, Game and Forest Resources </w:t>
            </w:r>
          </w:p>
        </w:tc>
      </w:tr>
      <w:tr w:rsidR="00E25CC6" w:rsidRPr="003462E5" w:rsidTr="003462E5">
        <w:trPr>
          <w:cantSplit/>
        </w:trPr>
        <w:tc>
          <w:tcPr>
            <w:tcW w:w="7767" w:type="dxa"/>
            <w:gridSpan w:val="6"/>
            <w:tcBorders>
              <w:top w:val="nil"/>
              <w:left w:val="nil"/>
              <w:bottom w:val="single" w:sz="6" w:space="0" w:color="auto"/>
              <w:right w:val="nil"/>
            </w:tcBorders>
          </w:tcPr>
          <w:p w:rsidR="00E25CC6" w:rsidRPr="003462E5" w:rsidRDefault="00E25CC6" w:rsidP="003462E5">
            <w:pPr>
              <w:pStyle w:val="OGTabText"/>
            </w:pPr>
            <w:r w:rsidRPr="003462E5">
              <w:t xml:space="preserve">This output creates the conditions to grow the natural resources economy by ensuring forestry, fish and game resources are sustainably allocated and used for both recreational and commercial purposes. </w:t>
            </w:r>
          </w:p>
        </w:tc>
      </w:tr>
      <w:tr w:rsidR="00E25CC6" w:rsidRPr="003462E5" w:rsidTr="003462E5">
        <w:trPr>
          <w:cantSplit/>
        </w:trPr>
        <w:tc>
          <w:tcPr>
            <w:tcW w:w="3146" w:type="dxa"/>
            <w:tcBorders>
              <w:top w:val="nil"/>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DF0E54">
        <w:trPr>
          <w:cantSplit/>
        </w:trPr>
        <w:tc>
          <w:tcPr>
            <w:tcW w:w="3146" w:type="dxa"/>
            <w:tcBorders>
              <w:top w:val="nil"/>
              <w:left w:val="nil"/>
              <w:right w:val="nil"/>
            </w:tcBorders>
          </w:tcPr>
          <w:p w:rsidR="00E25CC6" w:rsidRPr="00781CAC" w:rsidRDefault="00E25CC6" w:rsidP="003462E5">
            <w:pPr>
              <w:pStyle w:val="OGTabText"/>
              <w:rPr>
                <w:lang w:eastAsia="en-AU"/>
              </w:rPr>
            </w:pPr>
            <w:r w:rsidRPr="00781CAC">
              <w:rPr>
                <w:lang w:eastAsia="en-AU"/>
              </w:rPr>
              <w:t>Better Fishing Facilities projects underway</w:t>
            </w:r>
          </w:p>
        </w:tc>
        <w:tc>
          <w:tcPr>
            <w:tcW w:w="907" w:type="dxa"/>
            <w:tcBorders>
              <w:top w:val="nil"/>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w:t>
            </w:r>
          </w:p>
        </w:tc>
        <w:tc>
          <w:tcPr>
            <w:tcW w:w="992"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30</w:t>
            </w:r>
          </w:p>
        </w:tc>
        <w:tc>
          <w:tcPr>
            <w:tcW w:w="907"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30</w:t>
            </w:r>
          </w:p>
        </w:tc>
        <w:tc>
          <w:tcPr>
            <w:tcW w:w="908" w:type="dxa"/>
            <w:tcBorders>
              <w:top w:val="nil"/>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EC1940">
        <w:trPr>
          <w:cantSplit/>
        </w:trPr>
        <w:tc>
          <w:tcPr>
            <w:tcW w:w="7767" w:type="dxa"/>
            <w:gridSpan w:val="6"/>
            <w:tcBorders>
              <w:top w:val="nil"/>
              <w:left w:val="nil"/>
              <w:bottom w:val="single" w:sz="6" w:space="0" w:color="auto"/>
              <w:right w:val="nil"/>
            </w:tcBorders>
          </w:tcPr>
          <w:p w:rsidR="00E25CC6" w:rsidRPr="00781CAC" w:rsidRDefault="00E25CC6" w:rsidP="00D72E0D">
            <w:pPr>
              <w:pStyle w:val="OGNotes"/>
            </w:pPr>
            <w:r w:rsidRPr="00781CAC">
              <w:t>The lower 2016</w:t>
            </w:r>
            <w:r w:rsidRPr="00781CAC">
              <w:noBreakHyphen/>
              <w:t>17 target reflects the allocation of budget to deliver other key Target One Million election commitments including increased fish stocking.</w:t>
            </w:r>
          </w:p>
        </w:tc>
      </w:tr>
      <w:tr w:rsidR="00E25CC6" w:rsidRPr="003462E5" w:rsidTr="00EC1940">
        <w:trPr>
          <w:cantSplit/>
        </w:trPr>
        <w:tc>
          <w:tcPr>
            <w:tcW w:w="3146" w:type="dxa"/>
            <w:tcBorders>
              <w:top w:val="single" w:sz="6" w:space="0" w:color="auto"/>
              <w:left w:val="nil"/>
              <w:bottom w:val="single" w:sz="6" w:space="0" w:color="auto"/>
              <w:right w:val="nil"/>
            </w:tcBorders>
          </w:tcPr>
          <w:p w:rsidR="00E25CC6" w:rsidRPr="003462E5" w:rsidRDefault="00E25CC6" w:rsidP="00DF0E54">
            <w:pPr>
              <w:pStyle w:val="OGTabText"/>
              <w:keepNext/>
              <w:rPr>
                <w:lang w:eastAsia="en-AU"/>
              </w:rPr>
            </w:pPr>
            <w:r w:rsidRPr="003462E5">
              <w:rPr>
                <w:lang w:eastAsia="en-AU"/>
              </w:rPr>
              <w:t>Complete stock assessment for key quota managed fish species</w:t>
            </w:r>
          </w:p>
        </w:tc>
        <w:tc>
          <w:tcPr>
            <w:tcW w:w="907" w:type="dxa"/>
            <w:tcBorders>
              <w:top w:val="single" w:sz="6" w:space="0" w:color="auto"/>
              <w:left w:val="nil"/>
              <w:bottom w:val="single" w:sz="6" w:space="0" w:color="auto"/>
              <w:right w:val="nil"/>
            </w:tcBorders>
          </w:tcPr>
          <w:p w:rsidR="00E25CC6" w:rsidRPr="003462E5" w:rsidRDefault="00E25CC6" w:rsidP="00DF0E54">
            <w:pPr>
              <w:keepNext/>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c>
          <w:tcPr>
            <w:tcW w:w="992" w:type="dxa"/>
            <w:tcBorders>
              <w:top w:val="single" w:sz="6" w:space="0" w:color="auto"/>
              <w:left w:val="nil"/>
              <w:bottom w:val="single" w:sz="6" w:space="0" w:color="auto"/>
              <w:right w:val="nil"/>
            </w:tcBorders>
          </w:tcPr>
          <w:p w:rsidR="00E25CC6" w:rsidRPr="003462E5"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c>
          <w:tcPr>
            <w:tcW w:w="907" w:type="dxa"/>
            <w:tcBorders>
              <w:top w:val="single" w:sz="6" w:space="0" w:color="auto"/>
              <w:left w:val="nil"/>
              <w:bottom w:val="single" w:sz="6" w:space="0" w:color="auto"/>
              <w:right w:val="nil"/>
            </w:tcBorders>
          </w:tcPr>
          <w:p w:rsidR="00E25CC6" w:rsidRPr="003462E5"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c>
          <w:tcPr>
            <w:tcW w:w="908" w:type="dxa"/>
            <w:tcBorders>
              <w:top w:val="single" w:sz="6" w:space="0" w:color="auto"/>
              <w:left w:val="nil"/>
              <w:bottom w:val="single" w:sz="6" w:space="0" w:color="auto"/>
              <w:right w:val="nil"/>
            </w:tcBorders>
          </w:tcPr>
          <w:p w:rsidR="00E25CC6" w:rsidRPr="003462E5"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4</w:t>
            </w:r>
          </w:p>
        </w:tc>
      </w:tr>
      <w:tr w:rsidR="00E25CC6" w:rsidRPr="003462E5" w:rsidTr="00EC1940">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Complete total allowable commercial catch setting processes for key quota managed fish species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r>
      <w:tr w:rsidR="00E25CC6" w:rsidRPr="003462E5" w:rsidTr="00DF0E54">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Develop, implement and review overarching fisheries compliance strategy</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Enhance levels of community participation in achieving fisheries compliance through calls to the 13FISH reporting line</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1 500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1 500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1 500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1 537</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Key fisheries managed in accordance with best practice management plans</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4</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5</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3</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F05449">
              <w:t>The 2015</w:t>
            </w:r>
            <w:r w:rsidRPr="00F05449">
              <w:noBreakHyphen/>
              <w:t>16 expected outcome is lower than the 2015</w:t>
            </w:r>
            <w:r w:rsidRPr="00F05449">
              <w:noBreakHyphen/>
              <w:t>16 target. A new Port Phillip Bay Dive Scallop Fishery Management Plan will be declared before the end of June 2016.</w:t>
            </w:r>
            <w:r w:rsidRPr="00804F7C">
              <w:t xml:space="preserve"> </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Minimum number of uniformed fisheries officers maintaining operational coverage for priority fishing activity periods, as defined by the Compliance Strategic Assessment</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16</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17</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14</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The 2015</w:t>
            </w:r>
            <w:r w:rsidRPr="00804F7C">
              <w:noBreakHyphen/>
            </w:r>
            <w:r w:rsidRPr="003462E5">
              <w:t xml:space="preserve">16 </w:t>
            </w:r>
            <w:r w:rsidRPr="00804F7C">
              <w:t>expected outcome</w:t>
            </w:r>
            <w:r w:rsidRPr="003462E5">
              <w:t xml:space="preserve"> is lower than the 2015</w:t>
            </w:r>
            <w:r w:rsidRPr="00804F7C">
              <w:noBreakHyphen/>
            </w:r>
            <w:r w:rsidRPr="003462E5">
              <w:t xml:space="preserve">16 </w:t>
            </w:r>
            <w:r w:rsidRPr="00804F7C">
              <w:t>target</w:t>
            </w:r>
            <w:r w:rsidRPr="003462E5">
              <w:t xml:space="preserve"> due to staff vacancies over the majority of the year that limited overall delivery capacity. Eight new recruits commenced duty in April 2016 after completing a rigorous multi</w:t>
            </w:r>
            <w:r w:rsidRPr="00804F7C">
              <w:noBreakHyphen/>
            </w:r>
            <w:r w:rsidRPr="003462E5">
              <w:t xml:space="preserve">month recruitment and training process. </w:t>
            </w:r>
          </w:p>
          <w:p w:rsidR="00E25CC6" w:rsidRPr="003462E5" w:rsidRDefault="00E25CC6" w:rsidP="003462E5">
            <w:pPr>
              <w:pStyle w:val="OGNotes"/>
            </w:pPr>
            <w:r w:rsidRPr="003462E5">
              <w:t>The lower 2016</w:t>
            </w:r>
            <w:r w:rsidRPr="00804F7C">
              <w:noBreakHyphen/>
            </w:r>
            <w:r w:rsidRPr="003462E5">
              <w:t xml:space="preserve">17 </w:t>
            </w:r>
            <w:r w:rsidRPr="00804F7C">
              <w:t>target</w:t>
            </w:r>
            <w:r w:rsidRPr="003462E5">
              <w:t xml:space="preserve"> reflects an expected base level of vacancy of ar</w:t>
            </w:r>
            <w:r>
              <w:t>ound five positions in 2016</w:t>
            </w:r>
            <w:r w:rsidRPr="00804F7C">
              <w:noBreakHyphen/>
            </w:r>
            <w:r>
              <w:t>17.</w:t>
            </w:r>
          </w:p>
          <w:p w:rsidR="00E25CC6" w:rsidRPr="003462E5" w:rsidRDefault="00E25CC6" w:rsidP="003462E5">
            <w:pPr>
              <w:pStyle w:val="OGNotes"/>
            </w:pPr>
            <w:r w:rsidRPr="003462E5">
              <w:t xml:space="preserve">This performance measure was proposed to be discontinued in the </w:t>
            </w:r>
            <w:r w:rsidRPr="00D72E0D">
              <w:rPr>
                <w:i w:val="0"/>
              </w:rPr>
              <w:t>2015</w:t>
            </w:r>
            <w:r w:rsidRPr="00D72E0D">
              <w:rPr>
                <w:i w:val="0"/>
              </w:rPr>
              <w:noBreakHyphen/>
              <w:t>16 Budget</w:t>
            </w:r>
            <w:r w:rsidRPr="003462E5">
              <w:t>, however has been reinstated following the Public Accounts and Estimates Committee</w:t>
            </w:r>
            <w:r>
              <w:t>’</w:t>
            </w:r>
            <w:r w:rsidRPr="003462E5">
              <w:t xml:space="preserve">s review of the </w:t>
            </w:r>
            <w:r w:rsidRPr="00D72E0D">
              <w:rPr>
                <w:i w:val="0"/>
              </w:rPr>
              <w:t>2015</w:t>
            </w:r>
            <w:r w:rsidRPr="00D72E0D">
              <w:rPr>
                <w:i w:val="0"/>
              </w:rPr>
              <w:noBreakHyphen/>
              <w:t>16 Budget Estimates</w:t>
            </w:r>
            <w:r w:rsidRPr="003462E5">
              <w:t>.</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Native and salmonid fish stocked</w:t>
            </w:r>
          </w:p>
        </w:tc>
        <w:tc>
          <w:tcPr>
            <w:tcW w:w="907" w:type="dxa"/>
            <w:tcBorders>
              <w:top w:val="single" w:sz="6" w:space="0" w:color="auto"/>
              <w:left w:val="nil"/>
              <w:right w:val="nil"/>
            </w:tcBorders>
          </w:tcPr>
          <w:p w:rsidR="00E25CC6" w:rsidRPr="003462E5" w:rsidRDefault="00E25CC6" w:rsidP="004178CF">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number </w:t>
            </w:r>
            <w:r w:rsidRPr="00DF0E54">
              <w:rPr>
                <w:rFonts w:ascii="Calibri" w:hAnsi="Calibri" w:cs="Calibri"/>
                <w:color w:val="000000"/>
                <w:sz w:val="18"/>
                <w:szCs w:val="18"/>
                <w:lang w:eastAsia="en-AU"/>
              </w:rPr>
              <w:t>(</w:t>
            </w:r>
            <w:r>
              <w:rPr>
                <w:rFonts w:ascii="Calibri" w:hAnsi="Calibri" w:cs="Calibri"/>
                <w:color w:val="000000"/>
                <w:sz w:val="18"/>
                <w:szCs w:val="18"/>
                <w:lang w:eastAsia="en-AU"/>
              </w:rPr>
              <w:t>000</w:t>
            </w:r>
            <w:r w:rsidRPr="00DF0E54">
              <w:rPr>
                <w:rFonts w:ascii="Calibri" w:hAnsi="Calibri" w:cs="Calibri"/>
                <w:color w:val="000000"/>
                <w:sz w:val="18"/>
                <w:szCs w:val="18"/>
                <w:lang w:eastAsia="en-AU"/>
              </w:rPr>
              <w:t>)</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3 500</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3462E5" w:rsidRDefault="00E25CC6" w:rsidP="003462E5">
            <w:pPr>
              <w:pStyle w:val="OGNotes"/>
            </w:pPr>
            <w:r w:rsidRPr="003462E5">
              <w:t>New performance measure for 2016</w:t>
            </w:r>
            <w:r w:rsidRPr="00804F7C">
              <w:noBreakHyphen/>
            </w:r>
            <w:r w:rsidRPr="003462E5">
              <w:t>17 to reflect</w:t>
            </w:r>
            <w:r w:rsidRPr="00804F7C">
              <w:t xml:space="preserve"> </w:t>
            </w:r>
            <w:r w:rsidRPr="003462E5">
              <w:t xml:space="preserve">new funding for the </w:t>
            </w:r>
            <w:r>
              <w:t>‘</w:t>
            </w:r>
            <w:r w:rsidRPr="003462E5">
              <w:t>Delivering the Government</w:t>
            </w:r>
            <w:r>
              <w:t>’</w:t>
            </w:r>
            <w:r w:rsidRPr="003462E5">
              <w:t>s Commitments to Recreational Fishers</w:t>
            </w:r>
            <w:r>
              <w:t>’</w:t>
            </w:r>
            <w:r w:rsidRPr="003462E5">
              <w:t xml:space="preserve"> initiative. </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pStyle w:val="OGTabText"/>
              <w:rPr>
                <w:lang w:eastAsia="en-AU"/>
              </w:rPr>
            </w:pPr>
            <w:r w:rsidRPr="003462E5">
              <w:rPr>
                <w:lang w:eastAsia="en-AU"/>
              </w:rPr>
              <w:t>Undertake activities to detect, disrupt and dismantle serious or organised fisheries criminal entities (individuals or groups)</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20</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20</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711115">
        <w:trPr>
          <w:cantSplit/>
        </w:trPr>
        <w:tc>
          <w:tcPr>
            <w:tcW w:w="7767" w:type="dxa"/>
            <w:gridSpan w:val="6"/>
            <w:tcBorders>
              <w:top w:val="nil"/>
              <w:left w:val="nil"/>
              <w:bottom w:val="single" w:sz="6" w:space="0" w:color="auto"/>
              <w:right w:val="nil"/>
            </w:tcBorders>
          </w:tcPr>
          <w:p w:rsidR="00E25CC6" w:rsidRPr="00781CAC" w:rsidRDefault="00E25CC6" w:rsidP="003462E5">
            <w:pPr>
              <w:pStyle w:val="OGNotes"/>
            </w:pPr>
            <w:r w:rsidRPr="003462E5">
              <w:t>The 2015</w:t>
            </w:r>
            <w:r w:rsidRPr="00781CAC">
              <w:noBreakHyphen/>
              <w:t>16 expected outcome is higher than the 2015</w:t>
            </w:r>
            <w:r w:rsidRPr="00781CAC">
              <w:noBreakHyphen/>
              <w:t xml:space="preserve">16 target due to difficulties in forecasting these activities in advance as they are subject to a range of operational factors that may vary greatly across different years. </w:t>
            </w:r>
          </w:p>
          <w:p w:rsidR="00E25CC6" w:rsidRPr="003462E5" w:rsidRDefault="00E25CC6" w:rsidP="005738EB">
            <w:pPr>
              <w:pStyle w:val="OGNotes"/>
            </w:pPr>
            <w:r w:rsidRPr="00781CAC">
              <w:t>The higher 2016</w:t>
            </w:r>
            <w:r w:rsidRPr="00781CAC">
              <w:noBreakHyphen/>
              <w:t xml:space="preserve">17 target reflects </w:t>
            </w:r>
            <w:r>
              <w:t xml:space="preserve">the Department of Economic Development, Jobs, Transport and Resources’ </w:t>
            </w:r>
            <w:r w:rsidRPr="00781CAC">
              <w:t>evaluation of the performance of this relatively new measure during 2015</w:t>
            </w:r>
            <w:r w:rsidRPr="00781CAC">
              <w:noBreakHyphen/>
              <w:t xml:space="preserve">16. </w:t>
            </w:r>
          </w:p>
        </w:tc>
      </w:tr>
      <w:tr w:rsidR="00E25CC6" w:rsidRPr="003462E5" w:rsidTr="00E76C4A">
        <w:trPr>
          <w:cantSplit/>
        </w:trPr>
        <w:tc>
          <w:tcPr>
            <w:tcW w:w="3146" w:type="dxa"/>
            <w:tcBorders>
              <w:top w:val="single" w:sz="6" w:space="0" w:color="auto"/>
              <w:left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E76C4A">
        <w:trPr>
          <w:cantSplit/>
        </w:trPr>
        <w:tc>
          <w:tcPr>
            <w:tcW w:w="3146" w:type="dxa"/>
            <w:tcBorders>
              <w:top w:val="nil"/>
              <w:left w:val="nil"/>
              <w:bottom w:val="single" w:sz="6" w:space="0" w:color="auto"/>
              <w:right w:val="nil"/>
            </w:tcBorders>
          </w:tcPr>
          <w:p w:rsidR="00E25CC6" w:rsidRPr="003462E5" w:rsidRDefault="00E25CC6" w:rsidP="003462E5">
            <w:pPr>
              <w:pStyle w:val="OGTabText"/>
              <w:rPr>
                <w:lang w:eastAsia="en-AU"/>
              </w:rPr>
            </w:pPr>
            <w:r w:rsidRPr="003462E5">
              <w:rPr>
                <w:lang w:eastAsia="en-AU"/>
              </w:rPr>
              <w:t>Co-investment in Better Fishing Facilities projects</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&gt;30</w:t>
            </w:r>
          </w:p>
        </w:tc>
        <w:tc>
          <w:tcPr>
            <w:tcW w:w="992"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&gt;30</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&gt;30</w:t>
            </w:r>
          </w:p>
        </w:tc>
        <w:tc>
          <w:tcPr>
            <w:tcW w:w="908"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nm</w:t>
            </w:r>
          </w:p>
        </w:tc>
      </w:tr>
      <w:tr w:rsidR="00E25CC6" w:rsidRPr="003462E5" w:rsidTr="00E76C4A">
        <w:trPr>
          <w:cantSplit/>
        </w:trPr>
        <w:tc>
          <w:tcPr>
            <w:tcW w:w="3146" w:type="dxa"/>
            <w:tcBorders>
              <w:top w:val="single" w:sz="6" w:space="0" w:color="auto"/>
              <w:left w:val="nil"/>
              <w:bottom w:val="single" w:sz="6" w:space="0" w:color="auto"/>
              <w:right w:val="nil"/>
            </w:tcBorders>
          </w:tcPr>
          <w:p w:rsidR="00E25CC6" w:rsidRPr="003462E5" w:rsidRDefault="00E25CC6" w:rsidP="003462E5">
            <w:pPr>
              <w:pStyle w:val="OGTabText"/>
              <w:rPr>
                <w:lang w:eastAsia="en-AU"/>
              </w:rPr>
            </w:pPr>
            <w:r w:rsidRPr="003462E5">
              <w:rPr>
                <w:lang w:eastAsia="en-AU"/>
              </w:rPr>
              <w:t>Key statutory obligations relevant to VicForests and the Game Management Authority complied with (tabling annual reports, audits, corporate plans and board appointments)</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r>
      <w:tr w:rsidR="00E25CC6" w:rsidRPr="003462E5" w:rsidTr="00711115">
        <w:trPr>
          <w:cantSplit/>
        </w:trPr>
        <w:tc>
          <w:tcPr>
            <w:tcW w:w="3146" w:type="dxa"/>
            <w:tcBorders>
              <w:top w:val="single" w:sz="6" w:space="0" w:color="auto"/>
              <w:left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711115">
        <w:trPr>
          <w:cantSplit/>
        </w:trPr>
        <w:tc>
          <w:tcPr>
            <w:tcW w:w="3146" w:type="dxa"/>
            <w:tcBorders>
              <w:top w:val="nil"/>
              <w:left w:val="nil"/>
              <w:bottom w:val="single" w:sz="6" w:space="0" w:color="auto"/>
              <w:right w:val="nil"/>
            </w:tcBorders>
          </w:tcPr>
          <w:p w:rsidR="00E25CC6" w:rsidRPr="003462E5" w:rsidRDefault="00E25CC6" w:rsidP="003462E5">
            <w:pPr>
              <w:pStyle w:val="OGTabText"/>
              <w:rPr>
                <w:lang w:eastAsia="en-AU"/>
              </w:rPr>
            </w:pPr>
            <w:r w:rsidRPr="003462E5">
              <w:rPr>
                <w:lang w:eastAsia="en-AU"/>
              </w:rPr>
              <w:t>Proportion of fisheries cost recovery levies reviewed and set prior to the commencement of the licensing year (1 April)</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100</w:t>
            </w:r>
          </w:p>
        </w:tc>
      </w:tr>
      <w:tr w:rsidR="00E25CC6" w:rsidRPr="003462E5" w:rsidTr="00711115">
        <w:trPr>
          <w:cantSplit/>
        </w:trPr>
        <w:tc>
          <w:tcPr>
            <w:tcW w:w="3146" w:type="dxa"/>
            <w:tcBorders>
              <w:top w:val="single" w:sz="6" w:space="0" w:color="auto"/>
              <w:left w:val="nil"/>
              <w:bottom w:val="nil"/>
              <w:right w:val="nil"/>
            </w:tcBorders>
          </w:tcPr>
          <w:p w:rsidR="00E25CC6" w:rsidRPr="003462E5" w:rsidRDefault="00E25CC6" w:rsidP="003462E5">
            <w:pPr>
              <w:autoSpaceDE w:val="0"/>
              <w:autoSpaceDN w:val="0"/>
              <w:adjustRightInd w:val="0"/>
              <w:spacing w:after="0"/>
              <w:ind w:left="227" w:hanging="227"/>
              <w:rPr>
                <w:rFonts w:ascii="Calibri" w:hAnsi="Calibri" w:cs="Calibri"/>
                <w:i/>
                <w:iCs/>
                <w:color w:val="000000"/>
                <w:sz w:val="19"/>
                <w:szCs w:val="22"/>
                <w:lang w:eastAsia="en-AU"/>
              </w:rPr>
            </w:pPr>
            <w:r w:rsidRPr="003462E5">
              <w:rPr>
                <w:rFonts w:ascii="Calibri" w:hAnsi="Calibri" w:cs="Calibri"/>
                <w:i/>
                <w:iCs/>
                <w:color w:val="000000"/>
                <w:sz w:val="19"/>
                <w:szCs w:val="22"/>
                <w:lang w:eastAsia="en-AU"/>
              </w:rPr>
              <w:t>Cost</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 xml:space="preserve"> </w:t>
            </w:r>
          </w:p>
        </w:tc>
      </w:tr>
      <w:tr w:rsidR="00E25CC6" w:rsidRPr="003462E5" w:rsidTr="003462E5">
        <w:trPr>
          <w:cantSplit/>
        </w:trPr>
        <w:tc>
          <w:tcPr>
            <w:tcW w:w="3146" w:type="dxa"/>
            <w:tcBorders>
              <w:top w:val="nil"/>
              <w:left w:val="nil"/>
              <w:bottom w:val="nil"/>
              <w:right w:val="nil"/>
            </w:tcBorders>
          </w:tcPr>
          <w:p w:rsidR="00E25CC6" w:rsidRPr="00781CAC" w:rsidRDefault="00E25CC6" w:rsidP="003462E5">
            <w:pPr>
              <w:pStyle w:val="OGTabText"/>
              <w:rPr>
                <w:lang w:eastAsia="en-AU"/>
              </w:rPr>
            </w:pPr>
            <w:r w:rsidRPr="00781CAC">
              <w:rPr>
                <w:lang w:eastAsia="en-AU"/>
              </w:rPr>
              <w:t>Total output cost</w:t>
            </w:r>
          </w:p>
        </w:tc>
        <w:tc>
          <w:tcPr>
            <w:tcW w:w="907" w:type="dxa"/>
            <w:tcBorders>
              <w:top w:val="nil"/>
              <w:left w:val="nil"/>
              <w:bottom w:val="nil"/>
              <w:right w:val="nil"/>
            </w:tcBorders>
          </w:tcPr>
          <w:p w:rsidR="00E25CC6" w:rsidRPr="003462E5" w:rsidRDefault="00E25CC6" w:rsidP="003462E5">
            <w:pPr>
              <w:autoSpaceDE w:val="0"/>
              <w:autoSpaceDN w:val="0"/>
              <w:adjustRightInd w:val="0"/>
              <w:spacing w:after="0"/>
              <w:jc w:val="center"/>
              <w:rPr>
                <w:rFonts w:ascii="Calibri" w:hAnsi="Calibri" w:cs="Calibri"/>
                <w:color w:val="000000"/>
                <w:sz w:val="19"/>
                <w:szCs w:val="22"/>
                <w:lang w:eastAsia="en-AU"/>
              </w:rPr>
            </w:pPr>
            <w:r w:rsidRPr="003462E5">
              <w:rPr>
                <w:rFonts w:ascii="Calibri"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87.7</w:t>
            </w:r>
          </w:p>
        </w:tc>
        <w:tc>
          <w:tcPr>
            <w:tcW w:w="992"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114.3</w:t>
            </w:r>
          </w:p>
        </w:tc>
        <w:tc>
          <w:tcPr>
            <w:tcW w:w="907"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83.2</w:t>
            </w:r>
          </w:p>
        </w:tc>
        <w:tc>
          <w:tcPr>
            <w:tcW w:w="908" w:type="dxa"/>
            <w:tcBorders>
              <w:top w:val="nil"/>
              <w:left w:val="nil"/>
              <w:bottom w:val="nil"/>
              <w:right w:val="nil"/>
            </w:tcBorders>
          </w:tcPr>
          <w:p w:rsidR="00E25CC6" w:rsidRPr="003462E5" w:rsidRDefault="00E25CC6" w:rsidP="003462E5">
            <w:pPr>
              <w:autoSpaceDE w:val="0"/>
              <w:autoSpaceDN w:val="0"/>
              <w:adjustRightInd w:val="0"/>
              <w:spacing w:after="0"/>
              <w:jc w:val="right"/>
              <w:rPr>
                <w:rFonts w:ascii="Calibri" w:hAnsi="Calibri" w:cs="Calibri"/>
                <w:color w:val="000000"/>
                <w:sz w:val="19"/>
                <w:szCs w:val="22"/>
                <w:lang w:eastAsia="en-AU"/>
              </w:rPr>
            </w:pPr>
            <w:r w:rsidRPr="003462E5">
              <w:rPr>
                <w:rFonts w:ascii="Calibri" w:hAnsi="Calibri" w:cs="Calibri"/>
                <w:color w:val="000000"/>
                <w:sz w:val="19"/>
                <w:szCs w:val="22"/>
                <w:lang w:eastAsia="en-AU"/>
              </w:rPr>
              <w:t>75.2</w:t>
            </w:r>
          </w:p>
        </w:tc>
      </w:tr>
      <w:tr w:rsidR="00E25CC6" w:rsidRPr="003462E5" w:rsidTr="003462E5">
        <w:trPr>
          <w:cantSplit/>
        </w:trPr>
        <w:tc>
          <w:tcPr>
            <w:tcW w:w="7767" w:type="dxa"/>
            <w:gridSpan w:val="6"/>
            <w:tcBorders>
              <w:top w:val="nil"/>
              <w:left w:val="nil"/>
              <w:bottom w:val="single" w:sz="12" w:space="0" w:color="auto"/>
              <w:right w:val="nil"/>
            </w:tcBorders>
          </w:tcPr>
          <w:p w:rsidR="00E25CC6" w:rsidRPr="00781CAC" w:rsidRDefault="00E25CC6" w:rsidP="003462E5">
            <w:pPr>
              <w:pStyle w:val="OGNotes"/>
              <w:rPr>
                <w:highlight w:val="yellow"/>
              </w:rPr>
            </w:pPr>
            <w:r w:rsidRPr="00781CAC">
              <w:t>The 2015</w:t>
            </w:r>
            <w:r w:rsidRPr="00781CAC">
              <w:noBreakHyphen/>
              <w:t>16 expected outcome is higher than the 2015</w:t>
            </w:r>
            <w:r w:rsidRPr="00781CAC">
              <w:noBreakHyphen/>
              <w:t>16 target mainly due to additional funding in 2015</w:t>
            </w:r>
            <w:r w:rsidRPr="00781CAC">
              <w:noBreakHyphen/>
              <w:t>16 for recreational fishers.</w:t>
            </w:r>
            <w:r w:rsidRPr="00781CAC">
              <w:rPr>
                <w:highlight w:val="yellow"/>
              </w:rPr>
              <w:t xml:space="preserve"> </w:t>
            </w:r>
          </w:p>
          <w:p w:rsidR="00E25CC6" w:rsidRPr="00781CAC" w:rsidRDefault="00E25CC6" w:rsidP="00237057">
            <w:pPr>
              <w:pStyle w:val="OGNotes"/>
            </w:pPr>
            <w:r w:rsidRPr="00781CAC">
              <w:t>The higher 2016</w:t>
            </w:r>
            <w:r w:rsidRPr="00781CAC">
              <w:noBreakHyphen/>
              <w:t xml:space="preserve">17 target primarily reflects funding in the </w:t>
            </w:r>
            <w:r w:rsidRPr="00781CAC">
              <w:rPr>
                <w:i w:val="0"/>
              </w:rPr>
              <w:t>2016</w:t>
            </w:r>
            <w:r w:rsidRPr="00781CAC">
              <w:rPr>
                <w:i w:val="0"/>
              </w:rPr>
              <w:noBreakHyphen/>
              <w:t>17 Budget</w:t>
            </w:r>
            <w:r w:rsidRPr="00781CAC">
              <w:t xml:space="preserve"> for recreational fishers.</w:t>
            </w:r>
          </w:p>
        </w:tc>
      </w:tr>
    </w:tbl>
    <w:p w:rsidR="00E25CC6" w:rsidRDefault="00E25CC6" w:rsidP="00215C84">
      <w:pPr>
        <w:pStyle w:val="Source"/>
        <w:rPr>
          <w:rFonts w:eastAsiaTheme="minorHAnsi"/>
        </w:rPr>
      </w:pPr>
      <w:r>
        <w:rPr>
          <w:rFonts w:eastAsiaTheme="minorHAnsi"/>
        </w:rPr>
        <w:t xml:space="preserve">Source: Department of Economic Development, Jobs, Transport and Resources </w:t>
      </w:r>
      <w:r>
        <w:rPr>
          <w:rFonts w:eastAsiaTheme="minorHAnsi"/>
        </w:rPr>
        <w:fldChar w:fldCharType="begin"/>
      </w:r>
      <w:r>
        <w:instrText xml:space="preserve"> XE "</w:instrText>
      </w:r>
      <w:r w:rsidRPr="00D33B2A">
        <w:instrText>Department of Economic Development, Jobs, Transport and Resources:Resources and Primary Industries</w:instrText>
      </w:r>
      <w:r>
        <w:instrText xml:space="preserve">" \r "DEDJTR_ResPrimInd" </w:instrText>
      </w:r>
      <w:r>
        <w:rPr>
          <w:rFonts w:eastAsiaTheme="minorHAnsi"/>
        </w:rPr>
        <w:fldChar w:fldCharType="end"/>
      </w:r>
      <w:r>
        <w:rPr>
          <w:rFonts w:eastAsiaTheme="minorHAnsi"/>
        </w:rPr>
        <w:t xml:space="preserve"> </w:t>
      </w:r>
      <w:r>
        <w:rPr>
          <w:rFonts w:eastAsiaTheme="minorHAnsi"/>
        </w:rPr>
        <w:fldChar w:fldCharType="begin"/>
      </w:r>
      <w:r>
        <w:instrText xml:space="preserve"> XE "</w:instrText>
      </w:r>
      <w:r w:rsidRPr="00BD0804">
        <w:instrText>Resources and Primary Industries</w:instrText>
      </w:r>
      <w:r>
        <w:instrText xml:space="preserve">" \r "DEDJTR_ResPrimInd" </w:instrText>
      </w:r>
      <w:r>
        <w:rPr>
          <w:rFonts w:eastAsiaTheme="minorHAnsi"/>
        </w:rPr>
        <w:fldChar w:fldCharType="end"/>
      </w:r>
    </w:p>
    <w:p w:rsidR="00E25CC6" w:rsidRDefault="00E25CC6">
      <w:pPr>
        <w:spacing w:after="0"/>
        <w:rPr>
          <w:rFonts w:eastAsiaTheme="minorHAnsi"/>
        </w:rPr>
      </w:pPr>
      <w:r>
        <w:rPr>
          <w:rFonts w:eastAsiaTheme="minorHAnsi"/>
        </w:rPr>
        <w:br w:type="page"/>
      </w:r>
    </w:p>
    <w:p w:rsidR="00E25CC6" w:rsidRPr="00CE1EE8" w:rsidRDefault="00E25CC6" w:rsidP="00CE1EE8">
      <w:pPr>
        <w:pStyle w:val="OGHeading1"/>
        <w:rPr>
          <w:rFonts w:eastAsiaTheme="minorHAnsi"/>
        </w:rPr>
      </w:pPr>
      <w:r w:rsidRPr="00CE1EE8">
        <w:rPr>
          <w:rFonts w:eastAsiaTheme="minorHAnsi"/>
        </w:rPr>
        <w:t>Transport Network Safety, Operation and Development</w:t>
      </w:r>
    </w:p>
    <w:p w:rsidR="00E25CC6" w:rsidRDefault="00E25CC6" w:rsidP="00CE1EE8">
      <w:pPr>
        <w:pStyle w:val="OGText"/>
        <w:rPr>
          <w:rFonts w:eastAsiaTheme="minorHAnsi"/>
        </w:rPr>
      </w:pPr>
      <w:bookmarkStart w:id="58" w:name="DEDJTR_TransNetSafe"/>
      <w:r w:rsidRPr="00CE1EE8">
        <w:rPr>
          <w:rFonts w:eastAsiaTheme="minorHAnsi"/>
        </w:rPr>
        <w:t>This output group delivers a safe, cost</w:t>
      </w:r>
      <w:r>
        <w:rPr>
          <w:rFonts w:eastAsiaTheme="minorHAnsi"/>
        </w:rPr>
        <w:noBreakHyphen/>
      </w:r>
      <w:r w:rsidRPr="00CE1EE8">
        <w:rPr>
          <w:rFonts w:eastAsiaTheme="minorHAnsi"/>
        </w:rPr>
        <w:t>effective and efficient transport network. This output group supports the Department</w:t>
      </w:r>
      <w:r>
        <w:rPr>
          <w:rFonts w:eastAsiaTheme="minorHAnsi"/>
        </w:rPr>
        <w:t>’</w:t>
      </w:r>
      <w:r w:rsidRPr="00CE1EE8">
        <w:rPr>
          <w:rFonts w:eastAsiaTheme="minorHAnsi"/>
        </w:rPr>
        <w:t>s objective to sustainably grow Victoria</w:t>
      </w:r>
      <w:r>
        <w:rPr>
          <w:rFonts w:eastAsiaTheme="minorHAnsi"/>
        </w:rPr>
        <w:t>’</w:t>
      </w:r>
      <w:r w:rsidRPr="00CE1EE8">
        <w:rPr>
          <w:rFonts w:eastAsiaTheme="minorHAnsi"/>
        </w:rPr>
        <w:t>s economy and employment. These outputs contribute to the departmental objective to create more productive and liveable cities and regions through improved transport services and better infrastructure.</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7"/>
        <w:gridCol w:w="909"/>
        <w:gridCol w:w="992"/>
        <w:gridCol w:w="907"/>
        <w:gridCol w:w="908"/>
      </w:tblGrid>
      <w:tr w:rsidR="00E25CC6" w:rsidRPr="00CE1EE8" w:rsidTr="009F0B90">
        <w:trPr>
          <w:cantSplit/>
          <w:tblHeader/>
        </w:trPr>
        <w:tc>
          <w:tcPr>
            <w:tcW w:w="3144" w:type="dxa"/>
            <w:tcBorders>
              <w:top w:val="nil"/>
              <w:left w:val="nil"/>
              <w:bottom w:val="single" w:sz="12" w:space="0" w:color="auto"/>
              <w:right w:val="nil"/>
            </w:tcBorders>
            <w:shd w:val="solid" w:color="000000" w:fill="auto"/>
            <w:vAlign w:val="bottom"/>
          </w:tcPr>
          <w:p w:rsidR="00E25CC6" w:rsidRPr="00CE1EE8" w:rsidRDefault="00E25CC6" w:rsidP="00CE1EE8">
            <w:pPr>
              <w:autoSpaceDE w:val="0"/>
              <w:autoSpaceDN w:val="0"/>
              <w:adjustRightInd w:val="0"/>
              <w:spacing w:after="0"/>
              <w:rPr>
                <w:rFonts w:ascii="Calibri" w:hAnsi="Calibri" w:cs="Calibri"/>
                <w:i/>
                <w:iCs/>
                <w:color w:val="FFFFFF"/>
                <w:sz w:val="19"/>
                <w:szCs w:val="22"/>
                <w:lang w:eastAsia="en-AU"/>
              </w:rPr>
            </w:pPr>
            <w:r w:rsidRPr="00CE1EE8">
              <w:rPr>
                <w:rFonts w:ascii="Calibri" w:hAnsi="Calibri" w:cs="Calibri"/>
                <w:b/>
                <w:bCs/>
                <w:color w:val="FFFFFF"/>
                <w:sz w:val="19"/>
                <w:szCs w:val="22"/>
                <w:lang w:eastAsia="en-AU"/>
              </w:rPr>
              <w:t>Major outputs/deliverables</w:t>
            </w:r>
          </w:p>
          <w:p w:rsidR="00E25CC6" w:rsidRPr="00CE1EE8" w:rsidRDefault="00E25CC6" w:rsidP="00CE1EE8">
            <w:pPr>
              <w:autoSpaceDE w:val="0"/>
              <w:autoSpaceDN w:val="0"/>
              <w:adjustRightInd w:val="0"/>
              <w:spacing w:after="0"/>
              <w:rPr>
                <w:rFonts w:ascii="Calibri" w:hAnsi="Calibri" w:cs="Calibri"/>
                <w:i/>
                <w:iCs/>
                <w:color w:val="FFFFFF"/>
                <w:sz w:val="19"/>
                <w:szCs w:val="22"/>
                <w:lang w:eastAsia="en-AU"/>
              </w:rPr>
            </w:pPr>
            <w:r w:rsidRPr="00CE1EE8">
              <w:rPr>
                <w:rFonts w:ascii="Calibri" w:hAnsi="Calibri" w:cs="Calibri"/>
                <w:i/>
                <w:iCs/>
                <w:color w:val="FFFFFF"/>
                <w:sz w:val="19"/>
                <w:szCs w:val="22"/>
                <w:lang w:eastAsia="en-AU"/>
              </w:rPr>
              <w:t>Performance measures</w:t>
            </w:r>
          </w:p>
        </w:tc>
        <w:tc>
          <w:tcPr>
            <w:tcW w:w="907" w:type="dxa"/>
            <w:tcBorders>
              <w:top w:val="nil"/>
              <w:left w:val="nil"/>
              <w:bottom w:val="single" w:sz="12" w:space="0" w:color="auto"/>
              <w:right w:val="nil"/>
            </w:tcBorders>
            <w:shd w:val="solid" w:color="000000" w:fill="auto"/>
            <w:vAlign w:val="bottom"/>
          </w:tcPr>
          <w:p w:rsidR="00E25CC6" w:rsidRPr="00CE1EE8" w:rsidRDefault="00E25CC6" w:rsidP="00CE1EE8">
            <w:pPr>
              <w:autoSpaceDE w:val="0"/>
              <w:autoSpaceDN w:val="0"/>
              <w:adjustRightInd w:val="0"/>
              <w:spacing w:after="0"/>
              <w:jc w:val="center"/>
              <w:rPr>
                <w:rFonts w:ascii="Calibri" w:hAnsi="Calibri" w:cs="Calibri"/>
                <w:i/>
                <w:iCs/>
                <w:color w:val="FFFFFF"/>
                <w:sz w:val="19"/>
                <w:szCs w:val="22"/>
                <w:lang w:eastAsia="en-AU"/>
              </w:rPr>
            </w:pPr>
            <w:r w:rsidRPr="00CE1EE8">
              <w:rPr>
                <w:rFonts w:ascii="Calibri" w:hAnsi="Calibri" w:cs="Calibri"/>
                <w:i/>
                <w:iCs/>
                <w:color w:val="FFFFFF"/>
                <w:sz w:val="19"/>
                <w:szCs w:val="22"/>
                <w:lang w:eastAsia="en-AU"/>
              </w:rPr>
              <w:t>Unit of measure</w:t>
            </w:r>
          </w:p>
        </w:tc>
        <w:tc>
          <w:tcPr>
            <w:tcW w:w="909" w:type="dxa"/>
            <w:tcBorders>
              <w:top w:val="nil"/>
              <w:left w:val="nil"/>
              <w:bottom w:val="single" w:sz="12" w:space="0" w:color="auto"/>
              <w:right w:val="nil"/>
            </w:tcBorders>
            <w:shd w:val="solid" w:color="000000" w:fill="auto"/>
            <w:vAlign w:val="bottom"/>
          </w:tcPr>
          <w:p w:rsidR="00E25CC6" w:rsidRPr="00CE1EE8" w:rsidRDefault="00E25CC6" w:rsidP="00CE1EE8">
            <w:pPr>
              <w:autoSpaceDE w:val="0"/>
              <w:autoSpaceDN w:val="0"/>
              <w:adjustRightInd w:val="0"/>
              <w:spacing w:after="0"/>
              <w:jc w:val="right"/>
              <w:rPr>
                <w:rFonts w:ascii="Calibri" w:hAnsi="Calibri" w:cs="Calibri"/>
                <w:i/>
                <w:iCs/>
                <w:color w:val="FFFFFF"/>
                <w:sz w:val="19"/>
                <w:szCs w:val="22"/>
                <w:lang w:eastAsia="en-AU"/>
              </w:rPr>
            </w:pPr>
            <w:r w:rsidRPr="00CE1EE8">
              <w:rPr>
                <w:rFonts w:ascii="Calibri" w:hAnsi="Calibri" w:cs="Calibri"/>
                <w:i/>
                <w:iCs/>
                <w:color w:val="FFFFFF"/>
                <w:sz w:val="19"/>
                <w:szCs w:val="22"/>
                <w:lang w:eastAsia="en-AU"/>
              </w:rPr>
              <w:t>2016</w:t>
            </w:r>
            <w:r w:rsidRPr="00804F7C">
              <w:rPr>
                <w:rFonts w:ascii="Calibri" w:hAnsi="Calibri" w:cs="Calibri"/>
                <w:i/>
                <w:iCs/>
                <w:color w:val="FFFFFF"/>
                <w:sz w:val="19"/>
                <w:szCs w:val="22"/>
                <w:lang w:eastAsia="en-AU"/>
              </w:rPr>
              <w:noBreakHyphen/>
            </w:r>
            <w:r w:rsidRPr="00CE1EE8">
              <w:rPr>
                <w:rFonts w:ascii="Calibri" w:hAnsi="Calibri" w:cs="Calibri"/>
                <w:i/>
                <w:iCs/>
                <w:color w:val="FFFFFF"/>
                <w:sz w:val="19"/>
                <w:szCs w:val="22"/>
                <w:lang w:eastAsia="en-AU"/>
              </w:rPr>
              <w:t>17 target</w:t>
            </w:r>
          </w:p>
        </w:tc>
        <w:tc>
          <w:tcPr>
            <w:tcW w:w="992" w:type="dxa"/>
            <w:tcBorders>
              <w:top w:val="nil"/>
              <w:left w:val="nil"/>
              <w:bottom w:val="single" w:sz="12" w:space="0" w:color="auto"/>
              <w:right w:val="nil"/>
            </w:tcBorders>
            <w:shd w:val="solid" w:color="000000" w:fill="auto"/>
            <w:vAlign w:val="bottom"/>
          </w:tcPr>
          <w:p w:rsidR="00E25CC6" w:rsidRPr="00CE1EE8" w:rsidRDefault="00E25CC6" w:rsidP="00CE1EE8">
            <w:pPr>
              <w:autoSpaceDE w:val="0"/>
              <w:autoSpaceDN w:val="0"/>
              <w:adjustRightInd w:val="0"/>
              <w:spacing w:after="0"/>
              <w:jc w:val="right"/>
              <w:rPr>
                <w:rFonts w:ascii="Calibri" w:hAnsi="Calibri" w:cs="Calibri"/>
                <w:i/>
                <w:iCs/>
                <w:color w:val="FFFFFF"/>
                <w:sz w:val="19"/>
                <w:szCs w:val="22"/>
                <w:lang w:eastAsia="en-AU"/>
              </w:rPr>
            </w:pPr>
            <w:r w:rsidRPr="00CE1EE8">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CE1EE8">
              <w:rPr>
                <w:rFonts w:ascii="Calibri" w:hAnsi="Calibri" w:cs="Calibri"/>
                <w:i/>
                <w:iCs/>
                <w:color w:val="FFFFFF"/>
                <w:sz w:val="19"/>
                <w:szCs w:val="22"/>
                <w:lang w:eastAsia="en-AU"/>
              </w:rPr>
              <w:t>16 expected outcome</w:t>
            </w:r>
          </w:p>
        </w:tc>
        <w:tc>
          <w:tcPr>
            <w:tcW w:w="907" w:type="dxa"/>
            <w:tcBorders>
              <w:top w:val="nil"/>
              <w:left w:val="nil"/>
              <w:bottom w:val="single" w:sz="12" w:space="0" w:color="auto"/>
              <w:right w:val="nil"/>
            </w:tcBorders>
            <w:shd w:val="solid" w:color="000000" w:fill="auto"/>
            <w:vAlign w:val="bottom"/>
          </w:tcPr>
          <w:p w:rsidR="00E25CC6" w:rsidRPr="00CE1EE8" w:rsidRDefault="00E25CC6" w:rsidP="00CE1EE8">
            <w:pPr>
              <w:autoSpaceDE w:val="0"/>
              <w:autoSpaceDN w:val="0"/>
              <w:adjustRightInd w:val="0"/>
              <w:spacing w:after="0"/>
              <w:jc w:val="right"/>
              <w:rPr>
                <w:rFonts w:ascii="Calibri" w:hAnsi="Calibri" w:cs="Calibri"/>
                <w:i/>
                <w:iCs/>
                <w:color w:val="FFFFFF"/>
                <w:sz w:val="19"/>
                <w:szCs w:val="22"/>
                <w:lang w:eastAsia="en-AU"/>
              </w:rPr>
            </w:pPr>
            <w:r w:rsidRPr="00CE1EE8">
              <w:rPr>
                <w:rFonts w:ascii="Calibri" w:hAnsi="Calibri" w:cs="Calibri"/>
                <w:i/>
                <w:iCs/>
                <w:color w:val="FFFFFF"/>
                <w:sz w:val="19"/>
                <w:szCs w:val="22"/>
                <w:lang w:eastAsia="en-AU"/>
              </w:rPr>
              <w:t>2015</w:t>
            </w:r>
            <w:r w:rsidRPr="00804F7C">
              <w:rPr>
                <w:rFonts w:ascii="Calibri" w:hAnsi="Calibri" w:cs="Calibri"/>
                <w:i/>
                <w:iCs/>
                <w:color w:val="FFFFFF"/>
                <w:sz w:val="19"/>
                <w:szCs w:val="22"/>
                <w:lang w:eastAsia="en-AU"/>
              </w:rPr>
              <w:noBreakHyphen/>
            </w:r>
            <w:r w:rsidRPr="00CE1EE8">
              <w:rPr>
                <w:rFonts w:ascii="Calibri" w:hAnsi="Calibri" w:cs="Calibri"/>
                <w:i/>
                <w:iCs/>
                <w:color w:val="FFFFFF"/>
                <w:sz w:val="19"/>
                <w:szCs w:val="22"/>
                <w:lang w:eastAsia="en-AU"/>
              </w:rPr>
              <w:t>16 target</w:t>
            </w:r>
          </w:p>
        </w:tc>
        <w:tc>
          <w:tcPr>
            <w:tcW w:w="908" w:type="dxa"/>
            <w:tcBorders>
              <w:top w:val="nil"/>
              <w:left w:val="nil"/>
              <w:bottom w:val="single" w:sz="12" w:space="0" w:color="auto"/>
              <w:right w:val="nil"/>
            </w:tcBorders>
            <w:shd w:val="solid" w:color="000000" w:fill="auto"/>
            <w:vAlign w:val="bottom"/>
          </w:tcPr>
          <w:p w:rsidR="00E25CC6" w:rsidRPr="00CE1EE8" w:rsidRDefault="00E25CC6" w:rsidP="00CE1EE8">
            <w:pPr>
              <w:autoSpaceDE w:val="0"/>
              <w:autoSpaceDN w:val="0"/>
              <w:adjustRightInd w:val="0"/>
              <w:spacing w:after="0"/>
              <w:jc w:val="right"/>
              <w:rPr>
                <w:rFonts w:ascii="Calibri" w:hAnsi="Calibri" w:cs="Calibri"/>
                <w:i/>
                <w:iCs/>
                <w:color w:val="FFFFFF"/>
                <w:sz w:val="19"/>
                <w:szCs w:val="22"/>
                <w:lang w:eastAsia="en-AU"/>
              </w:rPr>
            </w:pPr>
            <w:r w:rsidRPr="00CE1EE8">
              <w:rPr>
                <w:rFonts w:ascii="Calibri" w:hAnsi="Calibri" w:cs="Calibri"/>
                <w:i/>
                <w:iCs/>
                <w:color w:val="FFFFFF"/>
                <w:sz w:val="19"/>
                <w:szCs w:val="22"/>
                <w:lang w:eastAsia="en-AU"/>
              </w:rPr>
              <w:t>2014</w:t>
            </w:r>
            <w:r w:rsidRPr="00804F7C">
              <w:rPr>
                <w:rFonts w:ascii="Calibri" w:hAnsi="Calibri" w:cs="Calibri"/>
                <w:i/>
                <w:iCs/>
                <w:color w:val="FFFFFF"/>
                <w:sz w:val="19"/>
                <w:szCs w:val="22"/>
                <w:lang w:eastAsia="en-AU"/>
              </w:rPr>
              <w:noBreakHyphen/>
            </w:r>
            <w:r w:rsidRPr="00CE1EE8">
              <w:rPr>
                <w:rFonts w:ascii="Calibri" w:hAnsi="Calibri" w:cs="Calibri"/>
                <w:i/>
                <w:iCs/>
                <w:color w:val="FFFFFF"/>
                <w:sz w:val="19"/>
                <w:szCs w:val="22"/>
                <w:lang w:eastAsia="en-AU"/>
              </w:rPr>
              <w:t>15 actual</w:t>
            </w:r>
          </w:p>
        </w:tc>
      </w:tr>
      <w:tr w:rsidR="00E25CC6" w:rsidRPr="00CE1EE8" w:rsidTr="00CE1EE8">
        <w:trPr>
          <w:cantSplit/>
        </w:trPr>
        <w:tc>
          <w:tcPr>
            <w:tcW w:w="7767" w:type="dxa"/>
            <w:gridSpan w:val="6"/>
            <w:tcBorders>
              <w:top w:val="single" w:sz="12" w:space="0" w:color="auto"/>
              <w:left w:val="nil"/>
              <w:bottom w:val="nil"/>
              <w:right w:val="nil"/>
            </w:tcBorders>
          </w:tcPr>
          <w:p w:rsidR="00E25CC6" w:rsidRPr="00CE1EE8" w:rsidRDefault="00E25CC6" w:rsidP="00CE1EE8">
            <w:pPr>
              <w:pStyle w:val="OGHeading2"/>
              <w:rPr>
                <w:lang w:eastAsia="en-AU"/>
              </w:rPr>
            </w:pPr>
            <w:r w:rsidRPr="00CE1EE8">
              <w:rPr>
                <w:lang w:eastAsia="en-AU"/>
              </w:rPr>
              <w:t xml:space="preserve">Bus Services </w:t>
            </w:r>
          </w:p>
        </w:tc>
      </w:tr>
      <w:tr w:rsidR="00E25CC6" w:rsidRPr="00CE1EE8" w:rsidTr="00657DBC">
        <w:trPr>
          <w:cantSplit/>
        </w:trPr>
        <w:tc>
          <w:tcPr>
            <w:tcW w:w="7767" w:type="dxa"/>
            <w:gridSpan w:val="6"/>
            <w:tcBorders>
              <w:top w:val="nil"/>
              <w:left w:val="nil"/>
              <w:bottom w:val="single" w:sz="6" w:space="0" w:color="auto"/>
              <w:right w:val="nil"/>
            </w:tcBorders>
          </w:tcPr>
          <w:p w:rsidR="00E25CC6" w:rsidRPr="00DF0E54" w:rsidRDefault="00E25CC6" w:rsidP="00DF0E54">
            <w:pPr>
              <w:pStyle w:val="OGTabText"/>
              <w:rPr>
                <w:lang w:eastAsia="en-AU"/>
              </w:rPr>
            </w:pPr>
            <w:r w:rsidRPr="00CE1EE8">
              <w:rPr>
                <w:lang w:eastAsia="en-AU"/>
              </w:rPr>
              <w:t>This output delivers reliable and cost effective statewide bus services and infrastructure investments, including services delivered through contractual arrangements with private operators.</w:t>
            </w:r>
          </w:p>
        </w:tc>
      </w:tr>
      <w:tr w:rsidR="00E25CC6" w:rsidRPr="00CE1EE8" w:rsidTr="009F0B90">
        <w:trPr>
          <w:cantSplit/>
        </w:trPr>
        <w:tc>
          <w:tcPr>
            <w:tcW w:w="3144" w:type="dxa"/>
            <w:tcBorders>
              <w:top w:val="nil"/>
              <w:left w:val="nil"/>
              <w:bottom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right w:val="nil"/>
            </w:tcBorders>
          </w:tcPr>
          <w:p w:rsidR="00E25CC6" w:rsidRPr="00CE1EE8" w:rsidRDefault="00E25CC6" w:rsidP="00CE1EE8">
            <w:pPr>
              <w:pStyle w:val="OGTabText"/>
              <w:rPr>
                <w:lang w:eastAsia="en-AU"/>
              </w:rPr>
            </w:pPr>
            <w:r w:rsidRPr="00CE1EE8">
              <w:rPr>
                <w:lang w:eastAsia="en-AU"/>
              </w:rPr>
              <w:t>Passengers carried: metropolitan bus services</w:t>
            </w:r>
          </w:p>
        </w:tc>
        <w:tc>
          <w:tcPr>
            <w:tcW w:w="907" w:type="dxa"/>
            <w:tcBorders>
              <w:top w:val="nil"/>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 (million)</w:t>
            </w:r>
          </w:p>
        </w:tc>
        <w:tc>
          <w:tcPr>
            <w:tcW w:w="909" w:type="dxa"/>
            <w:tcBorders>
              <w:top w:val="nil"/>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124.5</w:t>
            </w:r>
          </w:p>
        </w:tc>
        <w:tc>
          <w:tcPr>
            <w:tcW w:w="992"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120</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129.5</w:t>
            </w:r>
          </w:p>
        </w:tc>
        <w:tc>
          <w:tcPr>
            <w:tcW w:w="908"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124</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CE1EE8" w:rsidRDefault="00E25CC6" w:rsidP="00CE1EE8">
            <w:pPr>
              <w:pStyle w:val="OGNotes"/>
            </w:pPr>
            <w:r w:rsidRPr="00CE1EE8">
              <w:t>The 2015</w:t>
            </w:r>
            <w:r w:rsidRPr="00804F7C">
              <w:noBreakHyphen/>
            </w:r>
            <w:r w:rsidRPr="00CE1EE8">
              <w:t xml:space="preserve">16 </w:t>
            </w:r>
            <w:r w:rsidRPr="00804F7C">
              <w:t>expected outcome</w:t>
            </w:r>
            <w:r w:rsidRPr="00CE1EE8">
              <w:t xml:space="preserve"> is lower than the</w:t>
            </w:r>
            <w:r>
              <w:t xml:space="preserve"> </w:t>
            </w:r>
            <w:r w:rsidRPr="00CE1EE8">
              <w:t>2015</w:t>
            </w:r>
            <w:r w:rsidRPr="00804F7C">
              <w:noBreakHyphen/>
            </w:r>
            <w:r w:rsidRPr="00CE1EE8">
              <w:t xml:space="preserve">16 </w:t>
            </w:r>
            <w:r>
              <w:t>t</w:t>
            </w:r>
            <w:r w:rsidRPr="00804F7C">
              <w:t>arget</w:t>
            </w:r>
            <w:r w:rsidRPr="00CE1EE8">
              <w:t xml:space="preserve"> due to an unexpected decline in patronage across the metropolitan bus network which has been affected by the impact of lower petrol prices.</w:t>
            </w:r>
          </w:p>
          <w:p w:rsidR="00E25CC6" w:rsidRPr="00CE1EE8" w:rsidRDefault="00E25CC6" w:rsidP="00D72E0D">
            <w:pPr>
              <w:pStyle w:val="OGNotes"/>
            </w:pPr>
            <w:r w:rsidRPr="00A5350E">
              <w:cr/>
            </w:r>
            <w:r w:rsidRPr="00140662">
              <w:t>The lower 2016</w:t>
            </w:r>
            <w:r w:rsidRPr="00140662">
              <w:noBreakHyphen/>
              <w:t xml:space="preserve">17 target reflects the expected level of patronage. This is partially offset by </w:t>
            </w:r>
            <w:r>
              <w:t xml:space="preserve">the </w:t>
            </w:r>
            <w:r w:rsidRPr="00E002F9">
              <w:t>More bus services sooner</w:t>
            </w:r>
            <w:r w:rsidRPr="00140662">
              <w:t xml:space="preserve"> initiative in the </w:t>
            </w:r>
            <w:r w:rsidRPr="00140662">
              <w:rPr>
                <w:i w:val="0"/>
              </w:rPr>
              <w:t>2016</w:t>
            </w:r>
            <w:r w:rsidRPr="00140662">
              <w:rPr>
                <w:i w:val="0"/>
              </w:rPr>
              <w:noBreakHyphen/>
              <w:t>17 Budget</w:t>
            </w:r>
            <w:r w:rsidRPr="00140662">
              <w:t>.</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Passengers carried: regional bus services</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 (million)</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15.1</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14.7</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15.8</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14.5</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757908" w:rsidRDefault="00E25CC6" w:rsidP="00CE1EE8">
            <w:pPr>
              <w:pStyle w:val="OGNotes"/>
            </w:pPr>
            <w:r w:rsidRPr="00CE1EE8">
              <w:t>The 2015</w:t>
            </w:r>
            <w:r w:rsidRPr="00804F7C">
              <w:noBreakHyphen/>
            </w:r>
            <w:r w:rsidRPr="00CE1EE8">
              <w:t xml:space="preserve">16 </w:t>
            </w:r>
            <w:r w:rsidRPr="00804F7C">
              <w:t>expected outcome</w:t>
            </w:r>
            <w:r w:rsidRPr="00CE1EE8">
              <w:t xml:space="preserve"> is lower than the</w:t>
            </w:r>
            <w:r>
              <w:t xml:space="preserve"> </w:t>
            </w:r>
            <w:r w:rsidRPr="00CE1EE8">
              <w:t>2015</w:t>
            </w:r>
            <w:r w:rsidRPr="00804F7C">
              <w:noBreakHyphen/>
            </w:r>
            <w:r w:rsidRPr="00CE1EE8">
              <w:t xml:space="preserve">16 </w:t>
            </w:r>
            <w:r w:rsidRPr="00804F7C">
              <w:t>target</w:t>
            </w:r>
            <w:r w:rsidRPr="00CE1EE8">
              <w:t xml:space="preserve"> as the target was based on an incorrect historical </w:t>
            </w:r>
            <w:r w:rsidRPr="00757908">
              <w:t>baseline</w:t>
            </w:r>
            <w:r>
              <w:t>.</w:t>
            </w:r>
            <w:r w:rsidRPr="00757908">
              <w:t xml:space="preserve"> </w:t>
            </w:r>
          </w:p>
          <w:p w:rsidR="00E25CC6" w:rsidRPr="00757908" w:rsidRDefault="00E25CC6" w:rsidP="00CE1EE8">
            <w:pPr>
              <w:pStyle w:val="OGNotes"/>
            </w:pPr>
            <w:r w:rsidRPr="00757908">
              <w:t>The lower 2016</w:t>
            </w:r>
            <w:r w:rsidRPr="00757908">
              <w:noBreakHyphen/>
              <w:t xml:space="preserve">17 target reflects the estimated patronage based on </w:t>
            </w:r>
            <w:r>
              <w:t>indicative modelling</w:t>
            </w:r>
            <w:r w:rsidRPr="00757908">
              <w:t>. A new methodology for measuring regional bus patronage is being investigated.</w:t>
            </w:r>
          </w:p>
          <w:p w:rsidR="00E25CC6" w:rsidRPr="00CE1EE8" w:rsidRDefault="00E25CC6" w:rsidP="00656F5B">
            <w:pPr>
              <w:pStyle w:val="OGNotes"/>
            </w:pPr>
            <w:r w:rsidRPr="00E705DF">
              <w:t>The 2014</w:t>
            </w:r>
            <w:r>
              <w:rPr>
                <w:i w:val="0"/>
              </w:rPr>
              <w:noBreakHyphen/>
            </w:r>
            <w:r w:rsidRPr="00E705DF">
              <w:t xml:space="preserve">15 actual is lower than that published in the Department of Economic Development, Jobs, Transport and Resources </w:t>
            </w:r>
            <w:r w:rsidRPr="00BF3E01">
              <w:rPr>
                <w:i w:val="0"/>
              </w:rPr>
              <w:t>2014</w:t>
            </w:r>
            <w:r>
              <w:rPr>
                <w:i w:val="0"/>
              </w:rPr>
              <w:noBreakHyphen/>
            </w:r>
            <w:r w:rsidRPr="00BF3E01">
              <w:rPr>
                <w:i w:val="0"/>
              </w:rPr>
              <w:t>15</w:t>
            </w:r>
            <w:r>
              <w:rPr>
                <w:i w:val="0"/>
              </w:rPr>
              <w:t xml:space="preserve"> </w:t>
            </w:r>
            <w:r w:rsidRPr="00BF3E01">
              <w:rPr>
                <w:i w:val="0"/>
              </w:rPr>
              <w:t>Annual Report</w:t>
            </w:r>
            <w:r w:rsidRPr="00E705DF">
              <w:t xml:space="preserve"> due to a typographical error. This decreases the previously reported outcome from 15.4 million to 14.5 million.</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Payments made for: metropolitan bus services</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million</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661</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633</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644</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610</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CE1EE8" w:rsidRDefault="00E25CC6" w:rsidP="00CE1EE8">
            <w:pPr>
              <w:pStyle w:val="OGNotes"/>
            </w:pPr>
            <w:r w:rsidRPr="00CE1EE8">
              <w:t>The 2015</w:t>
            </w:r>
            <w:r w:rsidRPr="00804F7C">
              <w:noBreakHyphen/>
            </w:r>
            <w:r w:rsidRPr="00CE1EE8">
              <w:t xml:space="preserve">16 </w:t>
            </w:r>
            <w:r w:rsidRPr="00804F7C">
              <w:t>expected outcome</w:t>
            </w:r>
            <w:r w:rsidRPr="00CE1EE8">
              <w:t xml:space="preserve"> is lower than the 2015</w:t>
            </w:r>
            <w:r w:rsidRPr="00804F7C">
              <w:noBreakHyphen/>
            </w:r>
            <w:r w:rsidRPr="00CE1EE8">
              <w:t xml:space="preserve">16 </w:t>
            </w:r>
            <w:r w:rsidRPr="00804F7C">
              <w:t>target</w:t>
            </w:r>
            <w:r w:rsidRPr="00CE1EE8">
              <w:t xml:space="preserve"> due to lower than expected petrol prices.</w:t>
            </w:r>
          </w:p>
          <w:p w:rsidR="00E25CC6" w:rsidRPr="00CE1EE8" w:rsidRDefault="00E25CC6" w:rsidP="00D732C8">
            <w:pPr>
              <w:pStyle w:val="OGNotes"/>
            </w:pPr>
            <w:r w:rsidRPr="00CE1EE8">
              <w:t>The higher 2016</w:t>
            </w:r>
            <w:r w:rsidRPr="00804F7C">
              <w:noBreakHyphen/>
            </w:r>
            <w:r w:rsidRPr="00CE1EE8">
              <w:t xml:space="preserve">17 </w:t>
            </w:r>
            <w:r w:rsidRPr="00804F7C">
              <w:t>target</w:t>
            </w:r>
            <w:r w:rsidRPr="00CE1EE8">
              <w:t xml:space="preserve"> reflects funding for additional bus services as part of the New Bus Services and </w:t>
            </w:r>
            <w:r w:rsidRPr="00E002F9">
              <w:t>More bus services sooner</w:t>
            </w:r>
            <w:r w:rsidRPr="00CE1EE8">
              <w:t xml:space="preserve"> initiative</w:t>
            </w:r>
            <w:r>
              <w:t>s</w:t>
            </w:r>
            <w:r w:rsidRPr="00CE1EE8">
              <w:t xml:space="preserve"> in the </w:t>
            </w:r>
            <w:r w:rsidRPr="00D72E0D">
              <w:rPr>
                <w:i w:val="0"/>
              </w:rPr>
              <w:t>2016</w:t>
            </w:r>
            <w:r w:rsidRPr="00D72E0D">
              <w:rPr>
                <w:i w:val="0"/>
              </w:rPr>
              <w:noBreakHyphen/>
              <w:t>17 Budget</w:t>
            </w:r>
            <w:r w:rsidRPr="00CE1EE8">
              <w:t xml:space="preserve"> as well as the </w:t>
            </w:r>
            <w:r>
              <w:t>indexation of contract payments.</w:t>
            </w:r>
            <w:r w:rsidRPr="00CE1EE8">
              <w:t xml:space="preserve"> </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Payments made for: regional bus services</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million</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120</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109</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110</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108</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CE1EE8" w:rsidRDefault="00E25CC6" w:rsidP="00CE1EE8">
            <w:pPr>
              <w:pStyle w:val="OGNotes"/>
            </w:pPr>
            <w:r w:rsidRPr="00CE1EE8">
              <w:t>The higher 2016</w:t>
            </w:r>
            <w:r w:rsidRPr="00804F7C">
              <w:noBreakHyphen/>
            </w:r>
            <w:r w:rsidRPr="00CE1EE8">
              <w:t xml:space="preserve">17 </w:t>
            </w:r>
            <w:r w:rsidRPr="00804F7C">
              <w:t>target</w:t>
            </w:r>
            <w:r w:rsidRPr="00CE1EE8">
              <w:t xml:space="preserve"> reflects</w:t>
            </w:r>
            <w:r w:rsidRPr="00804F7C">
              <w:t xml:space="preserve"> </w:t>
            </w:r>
            <w:r w:rsidRPr="00CE1EE8">
              <w:t xml:space="preserve">funding for additional bus services as part of the New Bus Services and </w:t>
            </w:r>
            <w:r w:rsidRPr="00E002F9">
              <w:t>More bus services sooner</w:t>
            </w:r>
            <w:r w:rsidRPr="00CE1EE8">
              <w:t xml:space="preserve"> initiative</w:t>
            </w:r>
            <w:r>
              <w:t>s</w:t>
            </w:r>
            <w:r w:rsidRPr="00CE1EE8">
              <w:t xml:space="preserve"> in the </w:t>
            </w:r>
            <w:r w:rsidRPr="00D72E0D">
              <w:rPr>
                <w:i w:val="0"/>
              </w:rPr>
              <w:t>2016</w:t>
            </w:r>
            <w:r w:rsidRPr="00D72E0D">
              <w:rPr>
                <w:i w:val="0"/>
              </w:rPr>
              <w:noBreakHyphen/>
              <w:t>17 Budget</w:t>
            </w:r>
            <w:r w:rsidRPr="00CE1EE8">
              <w:t xml:space="preserve"> as well as the indexation of bus contracts.</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Public transport network improvement: minor projects completed - bus</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2</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2</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2</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2</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CE1EE8" w:rsidRDefault="00E25CC6" w:rsidP="00CE1EE8">
            <w:pPr>
              <w:pStyle w:val="OGNotes"/>
            </w:pPr>
            <w:r w:rsidRPr="00CE1EE8">
              <w:t>This performance measure records the number of projects that have a budget of less than $50 million.</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Scheduled services delivered: metropolitan bus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99.9</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99.9</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99.9</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99.9</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Scheduled services delivered: regional bus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Scheduled services delivered: school bus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Total kilometres scheduled: metropolitan bus</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km (million)</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116.9</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113.8</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112.8</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111</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140662" w:rsidRDefault="00E25CC6" w:rsidP="00D72E0D">
            <w:pPr>
              <w:pStyle w:val="OGNotes"/>
            </w:pPr>
            <w:r w:rsidRPr="00140662">
              <w:t>The higher 2016</w:t>
            </w:r>
            <w:r w:rsidRPr="00140662">
              <w:rPr>
                <w:i w:val="0"/>
              </w:rPr>
              <w:noBreakHyphen/>
            </w:r>
            <w:r w:rsidRPr="00140662">
              <w:t xml:space="preserve">17 target reflects the introduction of new services throughout the network as part of the New Bus Services and </w:t>
            </w:r>
            <w:r w:rsidRPr="00E002F9">
              <w:t>More bus services sooner</w:t>
            </w:r>
            <w:r w:rsidRPr="00CE1EE8">
              <w:t xml:space="preserve"> initiative</w:t>
            </w:r>
            <w:r>
              <w:t>s</w:t>
            </w:r>
            <w:r w:rsidRPr="00140662">
              <w:t xml:space="preserve"> in the </w:t>
            </w:r>
            <w:r w:rsidRPr="00140662">
              <w:rPr>
                <w:i w:val="0"/>
              </w:rPr>
              <w:t>2016</w:t>
            </w:r>
            <w:r w:rsidRPr="00140662">
              <w:rPr>
                <w:i w:val="0"/>
              </w:rPr>
              <w:noBreakHyphen/>
              <w:t>17 Budget</w:t>
            </w:r>
            <w:r w:rsidRPr="00140662">
              <w:t>.</w:t>
            </w:r>
          </w:p>
        </w:tc>
      </w:tr>
      <w:tr w:rsidR="00E25CC6" w:rsidRPr="00CE1EE8" w:rsidTr="009F0B90">
        <w:trPr>
          <w:cantSplit/>
        </w:trPr>
        <w:tc>
          <w:tcPr>
            <w:tcW w:w="3144" w:type="dxa"/>
            <w:tcBorders>
              <w:top w:val="single" w:sz="6" w:space="0" w:color="auto"/>
              <w:left w:val="nil"/>
              <w:right w:val="nil"/>
            </w:tcBorders>
          </w:tcPr>
          <w:p w:rsidR="00E25CC6" w:rsidRPr="00140662" w:rsidRDefault="00E25CC6" w:rsidP="00CE1EE8">
            <w:pPr>
              <w:pStyle w:val="OGTabText"/>
              <w:rPr>
                <w:lang w:eastAsia="en-AU"/>
              </w:rPr>
            </w:pPr>
            <w:r w:rsidRPr="00140662">
              <w:rPr>
                <w:lang w:eastAsia="en-AU"/>
              </w:rPr>
              <w:t>Total kilometres scheduled: regional bus</w:t>
            </w:r>
          </w:p>
        </w:tc>
        <w:tc>
          <w:tcPr>
            <w:tcW w:w="907" w:type="dxa"/>
            <w:tcBorders>
              <w:top w:val="single" w:sz="6" w:space="0" w:color="auto"/>
              <w:left w:val="nil"/>
              <w:right w:val="nil"/>
            </w:tcBorders>
          </w:tcPr>
          <w:p w:rsidR="00E25CC6" w:rsidRPr="00140662" w:rsidRDefault="00E25CC6" w:rsidP="00CE1EE8">
            <w:pPr>
              <w:autoSpaceDE w:val="0"/>
              <w:autoSpaceDN w:val="0"/>
              <w:adjustRightInd w:val="0"/>
              <w:spacing w:after="0"/>
              <w:jc w:val="center"/>
              <w:rPr>
                <w:rFonts w:ascii="Calibri" w:hAnsi="Calibri" w:cs="Calibri"/>
                <w:sz w:val="19"/>
                <w:szCs w:val="22"/>
                <w:lang w:eastAsia="en-AU"/>
              </w:rPr>
            </w:pPr>
            <w:r w:rsidRPr="00140662">
              <w:rPr>
                <w:rFonts w:ascii="Calibri" w:hAnsi="Calibri" w:cs="Calibri"/>
                <w:sz w:val="19"/>
                <w:szCs w:val="22"/>
                <w:lang w:eastAsia="en-AU"/>
              </w:rPr>
              <w:t>km (million)</w:t>
            </w:r>
          </w:p>
        </w:tc>
        <w:tc>
          <w:tcPr>
            <w:tcW w:w="909" w:type="dxa"/>
            <w:tcBorders>
              <w:top w:val="single" w:sz="6" w:space="0" w:color="auto"/>
              <w:left w:val="nil"/>
              <w:right w:val="nil"/>
            </w:tcBorders>
            <w:shd w:val="clear" w:color="auto" w:fill="DCDCDC"/>
          </w:tcPr>
          <w:p w:rsidR="00E25CC6" w:rsidRPr="00140662" w:rsidRDefault="00E25CC6" w:rsidP="00CE1EE8">
            <w:pPr>
              <w:autoSpaceDE w:val="0"/>
              <w:autoSpaceDN w:val="0"/>
              <w:adjustRightInd w:val="0"/>
              <w:spacing w:after="0"/>
              <w:jc w:val="right"/>
              <w:rPr>
                <w:rFonts w:ascii="Calibri" w:hAnsi="Calibri" w:cs="Calibri"/>
                <w:sz w:val="19"/>
                <w:szCs w:val="22"/>
                <w:lang w:eastAsia="en-AU"/>
              </w:rPr>
            </w:pPr>
            <w:r w:rsidRPr="00140662">
              <w:rPr>
                <w:rFonts w:ascii="Calibri" w:hAnsi="Calibri" w:cs="Calibri"/>
                <w:sz w:val="19"/>
                <w:szCs w:val="22"/>
                <w:lang w:eastAsia="en-AU"/>
              </w:rPr>
              <w:t>25.6</w:t>
            </w:r>
          </w:p>
        </w:tc>
        <w:tc>
          <w:tcPr>
            <w:tcW w:w="992" w:type="dxa"/>
            <w:tcBorders>
              <w:top w:val="single" w:sz="6" w:space="0" w:color="auto"/>
              <w:left w:val="nil"/>
              <w:right w:val="nil"/>
            </w:tcBorders>
          </w:tcPr>
          <w:p w:rsidR="00E25CC6" w:rsidRPr="00140662" w:rsidRDefault="00E25CC6" w:rsidP="00CE1EE8">
            <w:pPr>
              <w:autoSpaceDE w:val="0"/>
              <w:autoSpaceDN w:val="0"/>
              <w:adjustRightInd w:val="0"/>
              <w:spacing w:after="0"/>
              <w:jc w:val="right"/>
              <w:rPr>
                <w:rFonts w:ascii="Calibri" w:hAnsi="Calibri" w:cs="Calibri"/>
                <w:sz w:val="19"/>
                <w:szCs w:val="22"/>
                <w:lang w:eastAsia="en-AU"/>
              </w:rPr>
            </w:pPr>
            <w:r w:rsidRPr="00140662">
              <w:rPr>
                <w:rFonts w:ascii="Calibri" w:hAnsi="Calibri" w:cs="Calibri"/>
                <w:sz w:val="19"/>
                <w:szCs w:val="22"/>
                <w:lang w:eastAsia="en-AU"/>
              </w:rPr>
              <w:t>24.1</w:t>
            </w:r>
          </w:p>
        </w:tc>
        <w:tc>
          <w:tcPr>
            <w:tcW w:w="907" w:type="dxa"/>
            <w:tcBorders>
              <w:top w:val="single" w:sz="6" w:space="0" w:color="auto"/>
              <w:left w:val="nil"/>
              <w:right w:val="nil"/>
            </w:tcBorders>
          </w:tcPr>
          <w:p w:rsidR="00E25CC6" w:rsidRPr="00140662" w:rsidRDefault="00E25CC6" w:rsidP="00CE1EE8">
            <w:pPr>
              <w:autoSpaceDE w:val="0"/>
              <w:autoSpaceDN w:val="0"/>
              <w:adjustRightInd w:val="0"/>
              <w:spacing w:after="0"/>
              <w:jc w:val="right"/>
              <w:rPr>
                <w:rFonts w:ascii="Calibri" w:hAnsi="Calibri" w:cs="Calibri"/>
                <w:sz w:val="19"/>
                <w:szCs w:val="22"/>
                <w:lang w:eastAsia="en-AU"/>
              </w:rPr>
            </w:pPr>
            <w:r w:rsidRPr="00140662">
              <w:rPr>
                <w:rFonts w:ascii="Calibri" w:hAnsi="Calibri" w:cs="Calibri"/>
                <w:sz w:val="19"/>
                <w:szCs w:val="22"/>
                <w:lang w:eastAsia="en-AU"/>
              </w:rPr>
              <w:t>24.6</w:t>
            </w:r>
          </w:p>
        </w:tc>
        <w:tc>
          <w:tcPr>
            <w:tcW w:w="908" w:type="dxa"/>
            <w:tcBorders>
              <w:top w:val="single" w:sz="6" w:space="0" w:color="auto"/>
              <w:left w:val="nil"/>
              <w:right w:val="nil"/>
            </w:tcBorders>
          </w:tcPr>
          <w:p w:rsidR="00E25CC6" w:rsidRPr="00140662" w:rsidRDefault="00E25CC6" w:rsidP="00CE1EE8">
            <w:pPr>
              <w:autoSpaceDE w:val="0"/>
              <w:autoSpaceDN w:val="0"/>
              <w:adjustRightInd w:val="0"/>
              <w:spacing w:after="0"/>
              <w:jc w:val="right"/>
              <w:rPr>
                <w:rFonts w:ascii="Calibri" w:hAnsi="Calibri" w:cs="Calibri"/>
                <w:sz w:val="19"/>
                <w:szCs w:val="22"/>
                <w:lang w:eastAsia="en-AU"/>
              </w:rPr>
            </w:pPr>
            <w:r w:rsidRPr="00140662">
              <w:rPr>
                <w:rFonts w:ascii="Calibri" w:hAnsi="Calibri" w:cs="Calibri"/>
                <w:sz w:val="19"/>
                <w:szCs w:val="22"/>
                <w:lang w:eastAsia="en-AU"/>
              </w:rPr>
              <w:t>23.3</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140662" w:rsidRDefault="00E25CC6" w:rsidP="00CE1EE8">
            <w:pPr>
              <w:pStyle w:val="OGNotes"/>
            </w:pPr>
            <w:r w:rsidRPr="00140662">
              <w:t>The higher 2016</w:t>
            </w:r>
            <w:r w:rsidRPr="00140662">
              <w:rPr>
                <w:i w:val="0"/>
              </w:rPr>
              <w:noBreakHyphen/>
            </w:r>
            <w:r w:rsidRPr="00140662">
              <w:t xml:space="preserve">17 target reflects the introduction of new services throughout the network as part of the New Bus Services and </w:t>
            </w:r>
            <w:r w:rsidRPr="00E002F9">
              <w:t>More bus services sooner</w:t>
            </w:r>
            <w:r w:rsidRPr="00CE1EE8">
              <w:t xml:space="preserve"> initiative</w:t>
            </w:r>
            <w:r>
              <w:t>s</w:t>
            </w:r>
            <w:r w:rsidRPr="00140662">
              <w:t xml:space="preserve"> in the </w:t>
            </w:r>
            <w:r w:rsidRPr="00140662">
              <w:rPr>
                <w:i w:val="0"/>
              </w:rPr>
              <w:t>2016</w:t>
            </w:r>
            <w:r w:rsidRPr="00140662">
              <w:rPr>
                <w:i w:val="0"/>
              </w:rPr>
              <w:noBreakHyphen/>
              <w:t>17 Budget</w:t>
            </w:r>
            <w:r w:rsidRPr="00140662">
              <w:t>.</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Total kilometres scheduled: school bus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km (million)</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31.1</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31.1</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31.1</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31.1</w:t>
            </w:r>
          </w:p>
        </w:tc>
      </w:tr>
      <w:tr w:rsidR="00E25CC6" w:rsidRPr="00CE1EE8" w:rsidTr="009F0B90">
        <w:trPr>
          <w:cantSplit/>
        </w:trPr>
        <w:tc>
          <w:tcPr>
            <w:tcW w:w="3144" w:type="dxa"/>
            <w:tcBorders>
              <w:top w:val="single" w:sz="6" w:space="0" w:color="auto"/>
              <w:left w:val="nil"/>
              <w:bottom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right w:val="nil"/>
            </w:tcBorders>
          </w:tcPr>
          <w:p w:rsidR="00E25CC6" w:rsidRPr="00CE1EE8" w:rsidRDefault="00E25CC6" w:rsidP="00CE1EE8">
            <w:pPr>
              <w:pStyle w:val="OGTabText"/>
              <w:rPr>
                <w:lang w:eastAsia="en-AU"/>
              </w:rPr>
            </w:pPr>
            <w:r w:rsidRPr="00CE1EE8">
              <w:rPr>
                <w:lang w:eastAsia="en-AU"/>
              </w:rPr>
              <w:t>Customer satisfaction index: metropolitan bus services</w:t>
            </w:r>
          </w:p>
        </w:tc>
        <w:tc>
          <w:tcPr>
            <w:tcW w:w="907" w:type="dxa"/>
            <w:tcBorders>
              <w:top w:val="nil"/>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score</w:t>
            </w:r>
          </w:p>
        </w:tc>
        <w:tc>
          <w:tcPr>
            <w:tcW w:w="909" w:type="dxa"/>
            <w:tcBorders>
              <w:top w:val="nil"/>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77</w:t>
            </w:r>
          </w:p>
        </w:tc>
        <w:tc>
          <w:tcPr>
            <w:tcW w:w="992"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77</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76</w:t>
            </w:r>
          </w:p>
        </w:tc>
        <w:tc>
          <w:tcPr>
            <w:tcW w:w="908"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76</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CE1EE8" w:rsidRDefault="00E25CC6" w:rsidP="00CE1EE8">
            <w:pPr>
              <w:pStyle w:val="OGNotes"/>
            </w:pPr>
            <w:r w:rsidRPr="00CE1EE8">
              <w:t>The higher 2016</w:t>
            </w:r>
            <w:r w:rsidRPr="00804F7C">
              <w:noBreakHyphen/>
            </w:r>
            <w:r w:rsidRPr="00CE1EE8">
              <w:t xml:space="preserve">17 </w:t>
            </w:r>
            <w:r w:rsidRPr="00804F7C">
              <w:t>target</w:t>
            </w:r>
            <w:r w:rsidRPr="00CE1EE8">
              <w:t xml:space="preserve"> reflects expected improved customer satisfaction with metropolitan bus services.</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Customer satisfaction index: regional coach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score</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84</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84</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81</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83</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higher 2016</w:t>
            </w:r>
            <w:r w:rsidRPr="00737159">
              <w:noBreakHyphen/>
              <w:t>17 target reflects expected improved customer satisfaction with regional coach services.</w:t>
            </w:r>
          </w:p>
        </w:tc>
      </w:tr>
      <w:tr w:rsidR="00E25CC6" w:rsidRPr="00CE1EE8" w:rsidTr="009F0B90">
        <w:trPr>
          <w:cantSplit/>
        </w:trPr>
        <w:tc>
          <w:tcPr>
            <w:tcW w:w="3144" w:type="dxa"/>
            <w:tcBorders>
              <w:top w:val="single" w:sz="6" w:space="0" w:color="auto"/>
              <w:left w:val="nil"/>
              <w:bottom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right w:val="nil"/>
            </w:tcBorders>
          </w:tcPr>
          <w:p w:rsidR="00E25CC6" w:rsidRPr="00CE1EE8" w:rsidRDefault="00E25CC6" w:rsidP="0062061B">
            <w:pPr>
              <w:pStyle w:val="OGTabText"/>
              <w:rPr>
                <w:lang w:eastAsia="en-AU"/>
              </w:rPr>
            </w:pPr>
            <w:r w:rsidRPr="00CE1EE8">
              <w:rPr>
                <w:lang w:eastAsia="en-AU"/>
              </w:rPr>
              <w:t>Service punctuality for: metropolitan bus services</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82</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79</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85</w:t>
            </w:r>
          </w:p>
        </w:tc>
        <w:tc>
          <w:tcPr>
            <w:tcW w:w="908"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93</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757908" w:rsidRDefault="00E25CC6" w:rsidP="00CE1EE8">
            <w:pPr>
              <w:pStyle w:val="OGNotes"/>
            </w:pPr>
            <w:r w:rsidRPr="00757908">
              <w:t>The 2015</w:t>
            </w:r>
            <w:r w:rsidRPr="00757908">
              <w:noBreakHyphen/>
              <w:t>16 expected outcome is lower than the 2015</w:t>
            </w:r>
            <w:r w:rsidRPr="00757908">
              <w:noBreakHyphen/>
              <w:t xml:space="preserve">16 target due to many of the metropolitan bus routes needing significant timing revisions to reflect current day traffic conditions. Implementation of these timing revisions will be ongoing throughout 2016 and 2017. </w:t>
            </w:r>
          </w:p>
          <w:p w:rsidR="00E25CC6" w:rsidRPr="00757908" w:rsidRDefault="00E25CC6" w:rsidP="00656F5B">
            <w:pPr>
              <w:pStyle w:val="OGNotes"/>
            </w:pPr>
            <w:r w:rsidRPr="00757908">
              <w:t>The lower 2016</w:t>
            </w:r>
            <w:r w:rsidRPr="00757908">
              <w:noBreakHyphen/>
              <w:t>17 target reflects the timetable changes for major Metro Bus Operators which will not realise a full year effect during 2016</w:t>
            </w:r>
            <w:r>
              <w:noBreakHyphen/>
            </w:r>
            <w:r w:rsidRPr="00757908">
              <w:t>17.</w:t>
            </w:r>
          </w:p>
        </w:tc>
      </w:tr>
      <w:tr w:rsidR="00E25CC6" w:rsidRPr="00CE1EE8" w:rsidTr="009F0B90">
        <w:trPr>
          <w:cantSplit/>
        </w:trPr>
        <w:tc>
          <w:tcPr>
            <w:tcW w:w="3144" w:type="dxa"/>
            <w:tcBorders>
              <w:top w:val="single" w:sz="6" w:space="0" w:color="auto"/>
              <w:left w:val="nil"/>
              <w:right w:val="nil"/>
            </w:tcBorders>
          </w:tcPr>
          <w:p w:rsidR="00E25CC6" w:rsidRPr="00757908" w:rsidRDefault="00E25CC6" w:rsidP="00CE1EE8">
            <w:pPr>
              <w:pStyle w:val="OGTabText"/>
              <w:rPr>
                <w:lang w:eastAsia="en-AU"/>
              </w:rPr>
            </w:pPr>
            <w:r w:rsidRPr="00757908">
              <w:rPr>
                <w:lang w:eastAsia="en-AU"/>
              </w:rPr>
              <w:t>Service punctuality for: regional bus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94</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95</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737159" w:rsidRDefault="00E25CC6" w:rsidP="00C515AB">
            <w:pPr>
              <w:pStyle w:val="OGNotes"/>
            </w:pPr>
            <w:r w:rsidRPr="00737159">
              <w:t>The lower 2016</w:t>
            </w:r>
            <w:r w:rsidRPr="00737159">
              <w:noBreakHyphen/>
              <w:t>17 target reflects a new punctuality measurement methodology that more accurately records bus movements</w:t>
            </w:r>
            <w:r>
              <w:t>.</w:t>
            </w:r>
          </w:p>
        </w:tc>
      </w:tr>
      <w:tr w:rsidR="00E25CC6" w:rsidRPr="00CE1EE8" w:rsidTr="00372E48">
        <w:trPr>
          <w:cantSplit/>
        </w:trPr>
        <w:tc>
          <w:tcPr>
            <w:tcW w:w="3144" w:type="dxa"/>
            <w:tcBorders>
              <w:top w:val="single" w:sz="6" w:space="0" w:color="auto"/>
              <w:left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Cost</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372E48">
        <w:trPr>
          <w:cantSplit/>
        </w:trPr>
        <w:tc>
          <w:tcPr>
            <w:tcW w:w="3144" w:type="dxa"/>
            <w:tcBorders>
              <w:top w:val="nil"/>
              <w:left w:val="nil"/>
              <w:right w:val="nil"/>
            </w:tcBorders>
          </w:tcPr>
          <w:p w:rsidR="00E25CC6" w:rsidRPr="00CE1EE8" w:rsidRDefault="00E25CC6" w:rsidP="00CE1EE8">
            <w:pPr>
              <w:pStyle w:val="OGTabText"/>
              <w:rPr>
                <w:lang w:eastAsia="en-AU"/>
              </w:rPr>
            </w:pPr>
            <w:r w:rsidRPr="00CE1EE8">
              <w:rPr>
                <w:lang w:eastAsia="en-AU"/>
              </w:rPr>
              <w:t>Total output cost</w:t>
            </w:r>
          </w:p>
        </w:tc>
        <w:tc>
          <w:tcPr>
            <w:tcW w:w="907" w:type="dxa"/>
            <w:tcBorders>
              <w:top w:val="nil"/>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million</w:t>
            </w:r>
          </w:p>
        </w:tc>
        <w:tc>
          <w:tcPr>
            <w:tcW w:w="909" w:type="dxa"/>
            <w:tcBorders>
              <w:top w:val="nil"/>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1 119.3</w:t>
            </w:r>
          </w:p>
        </w:tc>
        <w:tc>
          <w:tcPr>
            <w:tcW w:w="992"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1 076.1</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1 032.8</w:t>
            </w:r>
          </w:p>
        </w:tc>
        <w:tc>
          <w:tcPr>
            <w:tcW w:w="908" w:type="dxa"/>
            <w:tcBorders>
              <w:top w:val="nil"/>
              <w:left w:val="nil"/>
              <w:right w:val="nil"/>
            </w:tcBorders>
          </w:tcPr>
          <w:p w:rsidR="00E25CC6" w:rsidRPr="00CE1EE8" w:rsidRDefault="00E25CC6" w:rsidP="0062061B">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996.9</w:t>
            </w:r>
          </w:p>
        </w:tc>
      </w:tr>
      <w:tr w:rsidR="00E25CC6" w:rsidRPr="00CE1EE8" w:rsidTr="00372E48">
        <w:trPr>
          <w:cantSplit/>
        </w:trPr>
        <w:tc>
          <w:tcPr>
            <w:tcW w:w="7767" w:type="dxa"/>
            <w:gridSpan w:val="6"/>
            <w:tcBorders>
              <w:top w:val="nil"/>
              <w:left w:val="nil"/>
              <w:bottom w:val="single" w:sz="6" w:space="0" w:color="auto"/>
              <w:right w:val="nil"/>
            </w:tcBorders>
          </w:tcPr>
          <w:p w:rsidR="00E25CC6" w:rsidRPr="00140662" w:rsidRDefault="00E25CC6" w:rsidP="00372E48">
            <w:pPr>
              <w:pStyle w:val="OGNotes"/>
            </w:pPr>
            <w:r w:rsidRPr="00140662">
              <w:t>The higher 2016</w:t>
            </w:r>
            <w:r w:rsidRPr="00140662">
              <w:noBreakHyphen/>
              <w:t>17 target mainly reflects indexation on contract payments and a reallocation of costs across outputs.</w:t>
            </w:r>
          </w:p>
          <w:p w:rsidR="00E25CC6" w:rsidRPr="00CE1EE8" w:rsidRDefault="00E25CC6" w:rsidP="00372E48">
            <w:pPr>
              <w:pStyle w:val="OGNotes"/>
              <w:rPr>
                <w:rFonts w:cs="Calibri"/>
                <w:color w:val="000000"/>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CE1EE8" w:rsidTr="00372E48">
        <w:trPr>
          <w:cantSplit/>
        </w:trPr>
        <w:tc>
          <w:tcPr>
            <w:tcW w:w="7767" w:type="dxa"/>
            <w:gridSpan w:val="6"/>
            <w:tcBorders>
              <w:top w:val="single" w:sz="6" w:space="0" w:color="auto"/>
              <w:left w:val="nil"/>
              <w:bottom w:val="nil"/>
              <w:right w:val="nil"/>
            </w:tcBorders>
          </w:tcPr>
          <w:p w:rsidR="00E25CC6" w:rsidRPr="00CE1EE8" w:rsidRDefault="00E25CC6" w:rsidP="00EC1940">
            <w:pPr>
              <w:pStyle w:val="OGHeading2"/>
              <w:rPr>
                <w:lang w:eastAsia="en-AU"/>
              </w:rPr>
            </w:pPr>
            <w:r w:rsidRPr="00CE1EE8">
              <w:rPr>
                <w:lang w:eastAsia="en-AU"/>
              </w:rPr>
              <w:t>Integrated Transport</w:t>
            </w:r>
          </w:p>
        </w:tc>
      </w:tr>
      <w:tr w:rsidR="00E25CC6" w:rsidRPr="00CE1EE8" w:rsidTr="00783D7E">
        <w:trPr>
          <w:cantSplit/>
        </w:trPr>
        <w:tc>
          <w:tcPr>
            <w:tcW w:w="7767" w:type="dxa"/>
            <w:gridSpan w:val="6"/>
            <w:tcBorders>
              <w:top w:val="nil"/>
              <w:left w:val="nil"/>
              <w:bottom w:val="single" w:sz="6" w:space="0" w:color="auto"/>
              <w:right w:val="nil"/>
            </w:tcBorders>
          </w:tcPr>
          <w:p w:rsidR="00E25CC6" w:rsidRPr="00C515AB" w:rsidRDefault="00E25CC6" w:rsidP="00EC1940">
            <w:pPr>
              <w:pStyle w:val="OGTabText"/>
              <w:keepNext/>
              <w:rPr>
                <w:lang w:eastAsia="en-AU"/>
              </w:rPr>
            </w:pPr>
            <w:r w:rsidRPr="00CE1EE8">
              <w:rPr>
                <w:lang w:eastAsia="en-AU"/>
              </w:rPr>
              <w:t>This output delivers strategic transport infrastructure activity to improve the transport system. The output contributes to the Department</w:t>
            </w:r>
            <w:r>
              <w:rPr>
                <w:lang w:eastAsia="en-AU"/>
              </w:rPr>
              <w:t>’</w:t>
            </w:r>
            <w:r w:rsidRPr="00CE1EE8">
              <w:rPr>
                <w:lang w:eastAsia="en-AU"/>
              </w:rPr>
              <w:t>s objective to create more productive and liveable cities and regions through improved transport services and better infrastructure.</w:t>
            </w:r>
            <w:r w:rsidRPr="00CE1EE8">
              <w:rPr>
                <w:rFonts w:cs="Calibri"/>
                <w:color w:val="000000"/>
                <w:sz w:val="19"/>
                <w:szCs w:val="22"/>
                <w:lang w:eastAsia="en-AU"/>
              </w:rPr>
              <w:t xml:space="preserve"> </w:t>
            </w:r>
          </w:p>
        </w:tc>
      </w:tr>
      <w:tr w:rsidR="00E25CC6" w:rsidRPr="00CE1EE8" w:rsidTr="009F0B90">
        <w:trPr>
          <w:cantSplit/>
        </w:trPr>
        <w:tc>
          <w:tcPr>
            <w:tcW w:w="3144" w:type="dxa"/>
            <w:tcBorders>
              <w:top w:val="nil"/>
              <w:left w:val="nil"/>
              <w:right w:val="nil"/>
            </w:tcBorders>
          </w:tcPr>
          <w:p w:rsidR="00E25CC6" w:rsidRPr="00CE1EE8" w:rsidRDefault="00E25CC6" w:rsidP="00EC1940">
            <w:pPr>
              <w:keepNext/>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Quantity</w:t>
            </w:r>
          </w:p>
        </w:tc>
        <w:tc>
          <w:tcPr>
            <w:tcW w:w="907" w:type="dxa"/>
            <w:tcBorders>
              <w:top w:val="nil"/>
              <w:left w:val="nil"/>
              <w:right w:val="nil"/>
            </w:tcBorders>
          </w:tcPr>
          <w:p w:rsidR="00E25CC6" w:rsidRPr="00CE1EE8" w:rsidRDefault="00E25CC6" w:rsidP="00EC1940">
            <w:pPr>
              <w:keepNext/>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EC1940">
            <w:pPr>
              <w:keepNext/>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CE1EE8" w:rsidRDefault="00E25CC6" w:rsidP="00EC1940">
            <w:pPr>
              <w:keepNext/>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CE1EE8" w:rsidRDefault="00E25CC6" w:rsidP="00EC1940">
            <w:pPr>
              <w:keepNext/>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nil"/>
              <w:left w:val="nil"/>
              <w:right w:val="nil"/>
            </w:tcBorders>
          </w:tcPr>
          <w:p w:rsidR="00E25CC6" w:rsidRPr="00CE1EE8" w:rsidRDefault="00E25CC6" w:rsidP="00EC1940">
            <w:pPr>
              <w:keepNext/>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bottom w:val="single" w:sz="6" w:space="0" w:color="auto"/>
              <w:right w:val="nil"/>
            </w:tcBorders>
          </w:tcPr>
          <w:p w:rsidR="00E25CC6" w:rsidRPr="00CE1EE8" w:rsidRDefault="00E25CC6" w:rsidP="00CE1EE8">
            <w:pPr>
              <w:pStyle w:val="OGTabText"/>
              <w:rPr>
                <w:lang w:eastAsia="en-AU"/>
              </w:rPr>
            </w:pPr>
            <w:r w:rsidRPr="00CE1EE8">
              <w:rPr>
                <w:lang w:eastAsia="en-AU"/>
              </w:rPr>
              <w:t>Integrated transport planning to support urban renewal projects</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w:t>
            </w:r>
          </w:p>
        </w:tc>
        <w:tc>
          <w:tcPr>
            <w:tcW w:w="909" w:type="dxa"/>
            <w:tcBorders>
              <w:top w:val="nil"/>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w:t>
            </w:r>
          </w:p>
        </w:tc>
        <w:tc>
          <w:tcPr>
            <w:tcW w:w="992"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w:t>
            </w:r>
          </w:p>
        </w:tc>
        <w:tc>
          <w:tcPr>
            <w:tcW w:w="908"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Level Crossing Removal Project: Milestones delivered in accordance with agreed budget and timelines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nm</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Planning projects for other major transport infrastructure</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5</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5</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4</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bottom w:val="single" w:sz="6" w:space="0" w:color="auto"/>
              <w:right w:val="nil"/>
            </w:tcBorders>
          </w:tcPr>
          <w:p w:rsidR="00E25CC6" w:rsidRPr="00CE1EE8" w:rsidRDefault="00E25CC6" w:rsidP="00BF3E01">
            <w:pPr>
              <w:pStyle w:val="OGTabText"/>
              <w:rPr>
                <w:lang w:eastAsia="en-AU"/>
              </w:rPr>
            </w:pPr>
            <w:r w:rsidRPr="00CE1EE8">
              <w:rPr>
                <w:lang w:eastAsia="en-AU"/>
              </w:rPr>
              <w:t xml:space="preserve">Melbourne Metro Rail Project </w:t>
            </w:r>
            <w:r>
              <w:rPr>
                <w:lang w:eastAsia="en-AU"/>
              </w:rPr>
              <w:t>–</w:t>
            </w:r>
            <w:r w:rsidRPr="00CE1EE8">
              <w:rPr>
                <w:lang w:eastAsia="en-AU"/>
              </w:rPr>
              <w:t xml:space="preserve"> planning and development: Milestones delivered in accordance with agreed budget and timelines</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nm</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Cost</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right w:val="nil"/>
            </w:tcBorders>
          </w:tcPr>
          <w:p w:rsidR="00E25CC6" w:rsidRPr="00CE1EE8" w:rsidRDefault="00E25CC6" w:rsidP="00CE1EE8">
            <w:pPr>
              <w:pStyle w:val="OGTabText"/>
              <w:rPr>
                <w:lang w:eastAsia="en-AU"/>
              </w:rPr>
            </w:pPr>
            <w:r w:rsidRPr="00CE1EE8">
              <w:rPr>
                <w:lang w:eastAsia="en-AU"/>
              </w:rPr>
              <w:t>Total output cost</w:t>
            </w:r>
          </w:p>
        </w:tc>
        <w:tc>
          <w:tcPr>
            <w:tcW w:w="907" w:type="dxa"/>
            <w:tcBorders>
              <w:top w:val="nil"/>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million</w:t>
            </w:r>
          </w:p>
        </w:tc>
        <w:tc>
          <w:tcPr>
            <w:tcW w:w="909" w:type="dxa"/>
            <w:tcBorders>
              <w:top w:val="nil"/>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65.5</w:t>
            </w:r>
          </w:p>
        </w:tc>
        <w:tc>
          <w:tcPr>
            <w:tcW w:w="992"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14.2</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19.1</w:t>
            </w:r>
          </w:p>
        </w:tc>
        <w:tc>
          <w:tcPr>
            <w:tcW w:w="908"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11.0</w:t>
            </w:r>
          </w:p>
        </w:tc>
      </w:tr>
      <w:tr w:rsidR="00E25CC6" w:rsidRPr="00CE1EE8" w:rsidTr="0062061B">
        <w:trPr>
          <w:cantSplit/>
        </w:trPr>
        <w:tc>
          <w:tcPr>
            <w:tcW w:w="7767" w:type="dxa"/>
            <w:gridSpan w:val="6"/>
            <w:tcBorders>
              <w:left w:val="nil"/>
              <w:bottom w:val="single" w:sz="6" w:space="0" w:color="auto"/>
              <w:right w:val="nil"/>
            </w:tcBorders>
          </w:tcPr>
          <w:p w:rsidR="00E25CC6" w:rsidRPr="00140662" w:rsidRDefault="00E25CC6" w:rsidP="00372E48">
            <w:pPr>
              <w:pStyle w:val="OGNotes"/>
            </w:pPr>
            <w:r w:rsidRPr="00140662">
              <w:t>The 2015</w:t>
            </w:r>
            <w:r w:rsidRPr="00140662">
              <w:noBreakHyphen/>
              <w:t>16 expected outcome is lower than the 2015</w:t>
            </w:r>
            <w:r w:rsidRPr="00140662">
              <w:noBreakHyphen/>
              <w:t>16 target due to movements within project costs across outputs.</w:t>
            </w:r>
          </w:p>
          <w:p w:rsidR="00E25CC6" w:rsidRPr="00140662" w:rsidRDefault="00E25CC6" w:rsidP="00372E48">
            <w:pPr>
              <w:pStyle w:val="OGNotes"/>
            </w:pPr>
            <w:r w:rsidRPr="00140662">
              <w:t>The higher 2016</w:t>
            </w:r>
            <w:r w:rsidRPr="00140662">
              <w:noBreakHyphen/>
              <w:t>17 target reflects the inclusion of capital asset charges as a result of investment in infrastructure projects.</w:t>
            </w:r>
          </w:p>
          <w:p w:rsidR="00E25CC6" w:rsidRPr="00CE1EE8" w:rsidRDefault="00E25CC6" w:rsidP="00372E48">
            <w:pPr>
              <w:pStyle w:val="OGNotes"/>
              <w:rPr>
                <w:rFonts w:cs="Calibri"/>
                <w:color w:val="000000"/>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CE1EE8" w:rsidTr="00DF0E54">
        <w:trPr>
          <w:cantSplit/>
        </w:trPr>
        <w:tc>
          <w:tcPr>
            <w:tcW w:w="7767" w:type="dxa"/>
            <w:gridSpan w:val="6"/>
            <w:tcBorders>
              <w:top w:val="single" w:sz="6" w:space="0" w:color="auto"/>
              <w:left w:val="nil"/>
              <w:bottom w:val="nil"/>
              <w:right w:val="nil"/>
            </w:tcBorders>
          </w:tcPr>
          <w:p w:rsidR="00E25CC6" w:rsidRPr="00CE1EE8" w:rsidRDefault="00E25CC6" w:rsidP="00CE1EE8">
            <w:pPr>
              <w:pStyle w:val="OGHeading2"/>
              <w:rPr>
                <w:lang w:eastAsia="en-AU"/>
              </w:rPr>
            </w:pPr>
            <w:r w:rsidRPr="00CE1EE8">
              <w:rPr>
                <w:lang w:eastAsia="en-AU"/>
              </w:rPr>
              <w:t xml:space="preserve">Port and Freight Network Access </w:t>
            </w:r>
          </w:p>
        </w:tc>
      </w:tr>
      <w:tr w:rsidR="00E25CC6" w:rsidRPr="00CE1EE8" w:rsidTr="00783D7E">
        <w:trPr>
          <w:cantSplit/>
        </w:trPr>
        <w:tc>
          <w:tcPr>
            <w:tcW w:w="7767" w:type="dxa"/>
            <w:gridSpan w:val="6"/>
            <w:tcBorders>
              <w:top w:val="nil"/>
              <w:left w:val="nil"/>
              <w:bottom w:val="single" w:sz="6" w:space="0" w:color="auto"/>
              <w:right w:val="nil"/>
            </w:tcBorders>
          </w:tcPr>
          <w:p w:rsidR="00E25CC6" w:rsidRPr="00C515AB" w:rsidRDefault="00E25CC6" w:rsidP="00C515AB">
            <w:pPr>
              <w:pStyle w:val="OGTabText"/>
              <w:rPr>
                <w:lang w:eastAsia="en-AU"/>
              </w:rPr>
            </w:pPr>
            <w:r w:rsidRPr="00CE1EE8">
              <w:rPr>
                <w:lang w:eastAsia="en-AU"/>
              </w:rPr>
              <w:t>This output delivers capital initiatives and programs to increase the capacity, efficiency and safety of the ports, freight and logistics network.</w:t>
            </w:r>
          </w:p>
        </w:tc>
      </w:tr>
      <w:tr w:rsidR="00E25CC6" w:rsidRPr="00CE1EE8" w:rsidTr="009F0B90">
        <w:trPr>
          <w:cantSplit/>
        </w:trPr>
        <w:tc>
          <w:tcPr>
            <w:tcW w:w="3144" w:type="dxa"/>
            <w:tcBorders>
              <w:top w:val="nil"/>
              <w:left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Quantity</w:t>
            </w:r>
          </w:p>
        </w:tc>
        <w:tc>
          <w:tcPr>
            <w:tcW w:w="907" w:type="dxa"/>
            <w:tcBorders>
              <w:top w:val="nil"/>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bottom w:val="single" w:sz="6" w:space="0" w:color="auto"/>
              <w:right w:val="nil"/>
            </w:tcBorders>
          </w:tcPr>
          <w:p w:rsidR="00E25CC6" w:rsidRPr="00CE1EE8" w:rsidRDefault="00E25CC6" w:rsidP="00CE1EE8">
            <w:pPr>
              <w:pStyle w:val="OGTabText"/>
              <w:rPr>
                <w:lang w:eastAsia="en-AU"/>
              </w:rPr>
            </w:pPr>
            <w:r w:rsidRPr="00CE1EE8">
              <w:rPr>
                <w:lang w:eastAsia="en-AU"/>
              </w:rPr>
              <w:t>Annual Boating Safety and Facilities Grant Program funding committed</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Containers transported by rail under the Mode Shift Incentive Scheme program</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42 500</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45 000</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50 000</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64 981</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140662" w:rsidRDefault="00E25CC6" w:rsidP="0062061B">
            <w:pPr>
              <w:pStyle w:val="OGNotes"/>
            </w:pPr>
            <w:r w:rsidRPr="00140662">
              <w:t>The 2015</w:t>
            </w:r>
            <w:r w:rsidRPr="00140662">
              <w:noBreakHyphen/>
              <w:t>16 expected outcome is lower than the 2015</w:t>
            </w:r>
            <w:r w:rsidRPr="00140662">
              <w:noBreakHyphen/>
              <w:t xml:space="preserve">16 target due </w:t>
            </w:r>
            <w:r>
              <w:t xml:space="preserve">to </w:t>
            </w:r>
            <w:r w:rsidRPr="00140662">
              <w:t>change</w:t>
            </w:r>
            <w:r>
              <w:t>s</w:t>
            </w:r>
            <w:r w:rsidRPr="00140662">
              <w:t xml:space="preserve"> in </w:t>
            </w:r>
            <w:r>
              <w:t>contractual arrangements since the target was set.</w:t>
            </w:r>
            <w:r w:rsidRPr="00140662">
              <w:t xml:space="preserve"> </w:t>
            </w:r>
          </w:p>
          <w:p w:rsidR="00E25CC6" w:rsidRPr="00CE1EE8" w:rsidRDefault="00E25CC6" w:rsidP="0062061B">
            <w:pPr>
              <w:pStyle w:val="OGNotes"/>
            </w:pPr>
            <w:r w:rsidRPr="00140662">
              <w:t>The lower 2016</w:t>
            </w:r>
            <w:r w:rsidRPr="00140662">
              <w:noBreakHyphen/>
              <w:t>17 target reflects the budget profile for Mode Shift Incentive Scheme program.</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Number of months per year average channel depth at Lakes Entrance meets standards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9</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nm</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pStyle w:val="OGTabText"/>
              <w:rPr>
                <w:lang w:eastAsia="en-AU"/>
              </w:rPr>
            </w:pPr>
            <w:r w:rsidRPr="00CE1EE8">
              <w:rPr>
                <w:lang w:eastAsia="en-AU"/>
              </w:rPr>
              <w:t>Road</w:t>
            </w:r>
            <w:r>
              <w:rPr>
                <w:lang w:eastAsia="en-AU"/>
              </w:rPr>
              <w:noBreakHyphen/>
            </w:r>
            <w:r w:rsidRPr="00CE1EE8">
              <w:rPr>
                <w:lang w:eastAsia="en-AU"/>
              </w:rPr>
              <w:t>based freight accessibility and reliability improvement projects completed</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5</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3</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CE1EE8" w:rsidRDefault="00E25CC6" w:rsidP="00C2276C">
            <w:pPr>
              <w:pStyle w:val="OGNotes"/>
            </w:pPr>
            <w:r w:rsidRPr="00CE1EE8">
              <w:t>The 2015</w:t>
            </w:r>
            <w:r w:rsidRPr="00804F7C">
              <w:noBreakHyphen/>
            </w:r>
            <w:r w:rsidRPr="00CE1EE8">
              <w:t xml:space="preserve">16 </w:t>
            </w:r>
            <w:r w:rsidRPr="00804F7C">
              <w:t>expected outcome</w:t>
            </w:r>
            <w:r w:rsidRPr="00CE1EE8">
              <w:t xml:space="preserve"> is lower than the 2015</w:t>
            </w:r>
            <w:r w:rsidRPr="00804F7C">
              <w:noBreakHyphen/>
            </w:r>
            <w:r w:rsidRPr="00CE1EE8">
              <w:t xml:space="preserve">16 </w:t>
            </w:r>
            <w:r w:rsidRPr="00804F7C">
              <w:t>target</w:t>
            </w:r>
            <w:r w:rsidRPr="00CE1EE8">
              <w:t xml:space="preserve"> due to a delay in awarding a contract for installing a </w:t>
            </w:r>
            <w:r>
              <w:t>T</w:t>
            </w:r>
            <w:r w:rsidRPr="00CE1EE8">
              <w:t xml:space="preserve">ruck </w:t>
            </w:r>
            <w:r>
              <w:t>R</w:t>
            </w:r>
            <w:r w:rsidRPr="00CE1EE8">
              <w:t xml:space="preserve">est </w:t>
            </w:r>
            <w:r>
              <w:t>A</w:t>
            </w:r>
            <w:r w:rsidRPr="00CE1EE8">
              <w:t xml:space="preserve">rea </w:t>
            </w:r>
            <w:r>
              <w:t>V</w:t>
            </w:r>
            <w:r w:rsidRPr="00CE1EE8">
              <w:t xml:space="preserve">acancy </w:t>
            </w:r>
            <w:r>
              <w:t>I</w:t>
            </w:r>
            <w:r w:rsidRPr="00CE1EE8">
              <w:t xml:space="preserve">nformation </w:t>
            </w:r>
            <w:r>
              <w:t>S</w:t>
            </w:r>
            <w:r w:rsidRPr="00CE1EE8">
              <w:t>ystem (TRAVIS) on the Hume Highway.</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bottom w:val="single" w:sz="6" w:space="0" w:color="auto"/>
              <w:right w:val="nil"/>
            </w:tcBorders>
          </w:tcPr>
          <w:p w:rsidR="00E25CC6" w:rsidRPr="00CE1EE8" w:rsidRDefault="00E25CC6" w:rsidP="00CE1EE8">
            <w:pPr>
              <w:pStyle w:val="OGTabText"/>
              <w:rPr>
                <w:lang w:eastAsia="en-AU"/>
              </w:rPr>
            </w:pPr>
            <w:r w:rsidRPr="00CE1EE8">
              <w:rPr>
                <w:lang w:eastAsia="en-AU"/>
              </w:rPr>
              <w:t>Number of accessible local ports</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number</w:t>
            </w:r>
          </w:p>
        </w:tc>
        <w:tc>
          <w:tcPr>
            <w:tcW w:w="909" w:type="dxa"/>
            <w:tcBorders>
              <w:top w:val="nil"/>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14</w:t>
            </w:r>
          </w:p>
        </w:tc>
        <w:tc>
          <w:tcPr>
            <w:tcW w:w="992"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14</w:t>
            </w:r>
          </w:p>
        </w:tc>
        <w:tc>
          <w:tcPr>
            <w:tcW w:w="907"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14</w:t>
            </w:r>
          </w:p>
        </w:tc>
        <w:tc>
          <w:tcPr>
            <w:tcW w:w="908" w:type="dxa"/>
            <w:tcBorders>
              <w:top w:val="nil"/>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14</w:t>
            </w:r>
          </w:p>
        </w:tc>
      </w:tr>
      <w:tr w:rsidR="00E25CC6" w:rsidRPr="00CE1EE8" w:rsidTr="009F0B90">
        <w:trPr>
          <w:cantSplit/>
        </w:trPr>
        <w:tc>
          <w:tcPr>
            <w:tcW w:w="3144" w:type="dxa"/>
            <w:tcBorders>
              <w:top w:val="single" w:sz="6" w:space="0" w:color="auto"/>
              <w:left w:val="nil"/>
              <w:bottom w:val="single" w:sz="6" w:space="0" w:color="auto"/>
              <w:right w:val="nil"/>
            </w:tcBorders>
          </w:tcPr>
          <w:p w:rsidR="00E25CC6" w:rsidRPr="00CE1EE8" w:rsidRDefault="00E25CC6" w:rsidP="00BF3E01">
            <w:pPr>
              <w:pStyle w:val="OGTabText"/>
              <w:rPr>
                <w:lang w:eastAsia="en-AU"/>
              </w:rPr>
            </w:pPr>
            <w:r w:rsidRPr="00CE1EE8">
              <w:rPr>
                <w:lang w:eastAsia="en-AU"/>
              </w:rPr>
              <w:t>Road</w:t>
            </w:r>
            <w:r>
              <w:rPr>
                <w:lang w:eastAsia="en-AU"/>
              </w:rPr>
              <w:noBreakHyphen/>
            </w:r>
            <w:r w:rsidRPr="00CE1EE8">
              <w:rPr>
                <w:lang w:eastAsia="en-AU"/>
              </w:rPr>
              <w:t>based freight accessibility and reliability projects completed within specified scope and standards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r>
      <w:tr w:rsidR="00E25CC6" w:rsidRPr="00CE1EE8" w:rsidTr="009F0B90">
        <w:trPr>
          <w:cantSplit/>
        </w:trPr>
        <w:tc>
          <w:tcPr>
            <w:tcW w:w="3144" w:type="dxa"/>
            <w:tcBorders>
              <w:top w:val="single" w:sz="6" w:space="0" w:color="auto"/>
              <w:left w:val="nil"/>
              <w:bottom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9F0B90">
        <w:trPr>
          <w:cantSplit/>
        </w:trPr>
        <w:tc>
          <w:tcPr>
            <w:tcW w:w="3144" w:type="dxa"/>
            <w:tcBorders>
              <w:top w:val="nil"/>
              <w:left w:val="nil"/>
              <w:right w:val="nil"/>
            </w:tcBorders>
          </w:tcPr>
          <w:p w:rsidR="00E25CC6" w:rsidRPr="00CE1EE8" w:rsidRDefault="00E25CC6" w:rsidP="00BF3E01">
            <w:pPr>
              <w:pStyle w:val="OGTabText"/>
              <w:rPr>
                <w:lang w:eastAsia="en-AU"/>
              </w:rPr>
            </w:pPr>
            <w:r w:rsidRPr="00CE1EE8">
              <w:rPr>
                <w:lang w:eastAsia="en-AU"/>
              </w:rPr>
              <w:t xml:space="preserve">Delivery of a Metropolitan Intermodal System </w:t>
            </w:r>
            <w:r>
              <w:rPr>
                <w:lang w:eastAsia="en-AU"/>
              </w:rPr>
              <w:t>–</w:t>
            </w:r>
            <w:r w:rsidRPr="00CE1EE8">
              <w:rPr>
                <w:lang w:eastAsia="en-AU"/>
              </w:rPr>
              <w:t xml:space="preserve"> Market Engagement</w:t>
            </w:r>
          </w:p>
        </w:tc>
        <w:tc>
          <w:tcPr>
            <w:tcW w:w="907" w:type="dxa"/>
            <w:tcBorders>
              <w:top w:val="nil"/>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date</w:t>
            </w:r>
          </w:p>
        </w:tc>
        <w:tc>
          <w:tcPr>
            <w:tcW w:w="909" w:type="dxa"/>
            <w:tcBorders>
              <w:top w:val="nil"/>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TBC</w:t>
            </w:r>
          </w:p>
        </w:tc>
        <w:tc>
          <w:tcPr>
            <w:tcW w:w="992"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TBC</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TBC</w:t>
            </w:r>
          </w:p>
        </w:tc>
        <w:tc>
          <w:tcPr>
            <w:tcW w:w="908"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nm</w:t>
            </w:r>
          </w:p>
        </w:tc>
      </w:tr>
      <w:tr w:rsidR="00E25CC6" w:rsidRPr="00CE1EE8" w:rsidTr="00670E32">
        <w:trPr>
          <w:cantSplit/>
        </w:trPr>
        <w:tc>
          <w:tcPr>
            <w:tcW w:w="7767" w:type="dxa"/>
            <w:gridSpan w:val="6"/>
            <w:tcBorders>
              <w:top w:val="nil"/>
              <w:left w:val="nil"/>
              <w:bottom w:val="single" w:sz="6" w:space="0" w:color="auto"/>
              <w:right w:val="nil"/>
            </w:tcBorders>
          </w:tcPr>
          <w:p w:rsidR="00E25CC6" w:rsidRPr="00CE1EE8" w:rsidRDefault="00E25CC6" w:rsidP="00CE1EE8">
            <w:pPr>
              <w:pStyle w:val="OGNotes"/>
            </w:pPr>
            <w:r w:rsidRPr="00CE1EE8">
              <w:t xml:space="preserve">The </w:t>
            </w:r>
            <w:r w:rsidRPr="00804F7C">
              <w:t>target</w:t>
            </w:r>
            <w:r w:rsidRPr="00CE1EE8">
              <w:t xml:space="preserve"> for 2016</w:t>
            </w:r>
            <w:r w:rsidRPr="00804F7C">
              <w:noBreakHyphen/>
            </w:r>
            <w:r w:rsidRPr="00CE1EE8">
              <w:t>17 cannot be confirmed until lease of the Port of Melbourne is finalised.</w:t>
            </w:r>
          </w:p>
        </w:tc>
      </w:tr>
      <w:tr w:rsidR="00E25CC6" w:rsidRPr="00CE1EE8" w:rsidTr="00372E48">
        <w:trPr>
          <w:cantSplit/>
        </w:trPr>
        <w:tc>
          <w:tcPr>
            <w:tcW w:w="3144" w:type="dxa"/>
            <w:tcBorders>
              <w:top w:val="single" w:sz="6" w:space="0" w:color="auto"/>
              <w:left w:val="nil"/>
              <w:bottom w:val="single" w:sz="6" w:space="0" w:color="auto"/>
              <w:right w:val="nil"/>
            </w:tcBorders>
          </w:tcPr>
          <w:p w:rsidR="00E25CC6" w:rsidRPr="00CE1EE8" w:rsidRDefault="00E25CC6" w:rsidP="00CE1EE8">
            <w:pPr>
              <w:pStyle w:val="OGTabText"/>
              <w:rPr>
                <w:lang w:eastAsia="en-AU"/>
              </w:rPr>
            </w:pPr>
            <w:r w:rsidRPr="00CE1EE8">
              <w:rPr>
                <w:lang w:eastAsia="en-AU"/>
              </w:rPr>
              <w:t>Road</w:t>
            </w:r>
            <w:r>
              <w:rPr>
                <w:lang w:eastAsia="en-AU"/>
              </w:rPr>
              <w:noBreakHyphen/>
            </w:r>
            <w:r w:rsidRPr="00CE1EE8">
              <w:rPr>
                <w:lang w:eastAsia="en-AU"/>
              </w:rPr>
              <w:t>based freight accessibility and reliability projects completed within agreed timeframes</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100</w:t>
            </w:r>
          </w:p>
        </w:tc>
      </w:tr>
      <w:tr w:rsidR="00E25CC6" w:rsidRPr="00CE1EE8" w:rsidTr="009F0B90">
        <w:trPr>
          <w:cantSplit/>
        </w:trPr>
        <w:tc>
          <w:tcPr>
            <w:tcW w:w="3144" w:type="dxa"/>
            <w:tcBorders>
              <w:top w:val="single" w:sz="6" w:space="0" w:color="auto"/>
              <w:left w:val="nil"/>
              <w:right w:val="nil"/>
            </w:tcBorders>
          </w:tcPr>
          <w:p w:rsidR="00E25CC6" w:rsidRPr="00CE1EE8"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CE1EE8">
              <w:rPr>
                <w:rFonts w:ascii="Calibri" w:hAnsi="Calibri" w:cs="Calibri"/>
                <w:i/>
                <w:iCs/>
                <w:color w:val="000000"/>
                <w:sz w:val="19"/>
                <w:szCs w:val="22"/>
                <w:lang w:eastAsia="en-AU"/>
              </w:rPr>
              <w:t>Cost</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center"/>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 xml:space="preserve"> </w:t>
            </w:r>
          </w:p>
        </w:tc>
      </w:tr>
      <w:tr w:rsidR="00E25CC6" w:rsidRPr="00CE1EE8" w:rsidTr="00372E48">
        <w:trPr>
          <w:cantSplit/>
        </w:trPr>
        <w:tc>
          <w:tcPr>
            <w:tcW w:w="3144" w:type="dxa"/>
            <w:tcBorders>
              <w:top w:val="nil"/>
              <w:left w:val="nil"/>
              <w:right w:val="nil"/>
            </w:tcBorders>
          </w:tcPr>
          <w:p w:rsidR="00E25CC6" w:rsidRPr="00FF058D" w:rsidRDefault="00E25CC6" w:rsidP="00CE1EE8">
            <w:pPr>
              <w:pStyle w:val="OGTabText"/>
              <w:rPr>
                <w:lang w:eastAsia="en-AU"/>
              </w:rPr>
            </w:pPr>
            <w:r w:rsidRPr="00FF058D">
              <w:rPr>
                <w:lang w:eastAsia="en-AU"/>
              </w:rPr>
              <w:t>Total output cost</w:t>
            </w:r>
          </w:p>
        </w:tc>
        <w:tc>
          <w:tcPr>
            <w:tcW w:w="907" w:type="dxa"/>
            <w:tcBorders>
              <w:top w:val="nil"/>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 million</w:t>
            </w:r>
          </w:p>
        </w:tc>
        <w:tc>
          <w:tcPr>
            <w:tcW w:w="909" w:type="dxa"/>
            <w:tcBorders>
              <w:top w:val="nil"/>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116.6</w:t>
            </w:r>
          </w:p>
        </w:tc>
        <w:tc>
          <w:tcPr>
            <w:tcW w:w="992"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110.8</w:t>
            </w:r>
          </w:p>
        </w:tc>
        <w:tc>
          <w:tcPr>
            <w:tcW w:w="907"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68.2</w:t>
            </w:r>
          </w:p>
        </w:tc>
        <w:tc>
          <w:tcPr>
            <w:tcW w:w="908" w:type="dxa"/>
            <w:tcBorders>
              <w:top w:val="nil"/>
              <w:left w:val="nil"/>
              <w:right w:val="nil"/>
            </w:tcBorders>
          </w:tcPr>
          <w:p w:rsidR="00E25CC6" w:rsidRPr="00CE1EE8" w:rsidRDefault="00E25CC6" w:rsidP="00CE1EE8">
            <w:pPr>
              <w:autoSpaceDE w:val="0"/>
              <w:autoSpaceDN w:val="0"/>
              <w:adjustRightInd w:val="0"/>
              <w:spacing w:after="0"/>
              <w:jc w:val="right"/>
              <w:rPr>
                <w:rFonts w:ascii="Calibri" w:hAnsi="Calibri" w:cs="Calibri"/>
                <w:color w:val="000000"/>
                <w:sz w:val="19"/>
                <w:szCs w:val="22"/>
                <w:lang w:eastAsia="en-AU"/>
              </w:rPr>
            </w:pPr>
            <w:r w:rsidRPr="00CE1EE8">
              <w:rPr>
                <w:rFonts w:ascii="Calibri" w:hAnsi="Calibri" w:cs="Calibri"/>
                <w:color w:val="000000"/>
                <w:sz w:val="19"/>
                <w:szCs w:val="22"/>
                <w:lang w:eastAsia="en-AU"/>
              </w:rPr>
              <w:t>54.4</w:t>
            </w:r>
          </w:p>
        </w:tc>
      </w:tr>
      <w:tr w:rsidR="00E25CC6" w:rsidRPr="00737159" w:rsidTr="00372E48">
        <w:trPr>
          <w:cantSplit/>
        </w:trPr>
        <w:tc>
          <w:tcPr>
            <w:tcW w:w="7767" w:type="dxa"/>
            <w:gridSpan w:val="6"/>
            <w:tcBorders>
              <w:left w:val="nil"/>
              <w:bottom w:val="single" w:sz="6" w:space="0" w:color="auto"/>
              <w:right w:val="nil"/>
            </w:tcBorders>
          </w:tcPr>
          <w:p w:rsidR="00E25CC6" w:rsidRPr="00FF058D" w:rsidRDefault="00E25CC6" w:rsidP="00372E48">
            <w:pPr>
              <w:pStyle w:val="OGNotes"/>
            </w:pPr>
            <w:r w:rsidRPr="00FF058D">
              <w:t>The 2015</w:t>
            </w:r>
            <w:r w:rsidRPr="00FF058D">
              <w:noBreakHyphen/>
              <w:t>16 expected outcome is higher than the 2015</w:t>
            </w:r>
            <w:r w:rsidRPr="00FF058D">
              <w:noBreakHyphen/>
              <w:t>16 target primarily due to additional departmental funding for the National Heavy Vehicle Regulator and prior year carryover.</w:t>
            </w:r>
          </w:p>
          <w:p w:rsidR="00E25CC6" w:rsidRPr="00FF058D" w:rsidRDefault="00E25CC6" w:rsidP="00372E48">
            <w:pPr>
              <w:pStyle w:val="OGNotes"/>
            </w:pPr>
            <w:r w:rsidRPr="00FF058D">
              <w:t>The higher 2016</w:t>
            </w:r>
            <w:r w:rsidRPr="00FF058D">
              <w:noBreakHyphen/>
              <w:t>17 target mainly reflects the allocation of funding for Victoria</w:t>
            </w:r>
            <w:r>
              <w:t>’</w:t>
            </w:r>
            <w:r w:rsidRPr="00FF058D">
              <w:t>s contribution to the National Heavy Vehicle Regulator and new funding for Gippsland Lakes Ocean Access project.</w:t>
            </w:r>
          </w:p>
          <w:p w:rsidR="00E25CC6" w:rsidRPr="00FF058D" w:rsidRDefault="00E25CC6" w:rsidP="00372E48">
            <w:pPr>
              <w:pStyle w:val="OGNotes"/>
              <w:rPr>
                <w:rFonts w:cs="Calibri"/>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737159" w:rsidTr="00DF0E54">
        <w:trPr>
          <w:cantSplit/>
        </w:trPr>
        <w:tc>
          <w:tcPr>
            <w:tcW w:w="7767" w:type="dxa"/>
            <w:gridSpan w:val="6"/>
            <w:tcBorders>
              <w:top w:val="single" w:sz="6" w:space="0" w:color="auto"/>
              <w:left w:val="nil"/>
              <w:bottom w:val="nil"/>
              <w:right w:val="nil"/>
            </w:tcBorders>
          </w:tcPr>
          <w:p w:rsidR="00E25CC6" w:rsidRPr="00737159" w:rsidRDefault="00E25CC6" w:rsidP="00CE1EE8">
            <w:pPr>
              <w:pStyle w:val="OGHeading2"/>
              <w:rPr>
                <w:lang w:eastAsia="en-AU"/>
              </w:rPr>
            </w:pPr>
            <w:r w:rsidRPr="00737159">
              <w:rPr>
                <w:lang w:eastAsia="en-AU"/>
              </w:rPr>
              <w:t xml:space="preserve">Road Asset Management </w:t>
            </w:r>
          </w:p>
        </w:tc>
      </w:tr>
      <w:tr w:rsidR="00E25CC6" w:rsidRPr="00737159" w:rsidTr="00657DBC">
        <w:trPr>
          <w:cantSplit/>
        </w:trPr>
        <w:tc>
          <w:tcPr>
            <w:tcW w:w="7767" w:type="dxa"/>
            <w:gridSpan w:val="6"/>
            <w:tcBorders>
              <w:top w:val="nil"/>
              <w:left w:val="nil"/>
              <w:bottom w:val="single" w:sz="6" w:space="0" w:color="auto"/>
              <w:right w:val="nil"/>
            </w:tcBorders>
          </w:tcPr>
          <w:p w:rsidR="00E25CC6" w:rsidRPr="00737159" w:rsidRDefault="00E25CC6" w:rsidP="00DF0E54">
            <w:pPr>
              <w:pStyle w:val="OGTabText"/>
              <w:rPr>
                <w:lang w:eastAsia="en-AU"/>
              </w:rPr>
            </w:pPr>
            <w:r w:rsidRPr="00737159">
              <w:rPr>
                <w:lang w:eastAsia="en-AU"/>
              </w:rPr>
              <w:t>This output group delivers programs and initiatives to maintain Victoria</w:t>
            </w:r>
            <w:r>
              <w:rPr>
                <w:lang w:eastAsia="en-AU"/>
              </w:rPr>
              <w:t>’</w:t>
            </w:r>
            <w:r w:rsidRPr="00737159">
              <w:rPr>
                <w:lang w:eastAsia="en-AU"/>
              </w:rPr>
              <w:t xml:space="preserve">s freeways and arterial road network. Activities support the safety and reliability of the network. </w:t>
            </w:r>
          </w:p>
        </w:tc>
      </w:tr>
      <w:tr w:rsidR="00E25CC6" w:rsidRPr="00737159" w:rsidTr="009F0B90">
        <w:trPr>
          <w:cantSplit/>
        </w:trPr>
        <w:tc>
          <w:tcPr>
            <w:tcW w:w="3144" w:type="dxa"/>
            <w:tcBorders>
              <w:top w:val="nil"/>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Quantity</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Bridges maintained: metropolitan</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927</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927</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927</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927</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Bridges maintained: regional</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2 255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2 255</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2 245</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2 245</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higher 2016</w:t>
            </w:r>
            <w:r w:rsidRPr="00737159">
              <w:noBreakHyphen/>
              <w:t>17 target reflects a further review of the regional bridges maintained.</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Pavement resurfaced: metropolitan</w:t>
            </w:r>
          </w:p>
        </w:tc>
        <w:tc>
          <w:tcPr>
            <w:tcW w:w="907" w:type="dxa"/>
            <w:tcBorders>
              <w:top w:val="single" w:sz="6" w:space="0" w:color="auto"/>
              <w:left w:val="nil"/>
              <w:right w:val="nil"/>
            </w:tcBorders>
          </w:tcPr>
          <w:p w:rsidR="00E25CC6" w:rsidRPr="00737159" w:rsidRDefault="00E25CC6" w:rsidP="00741C09">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m</w:t>
            </w:r>
            <w:r w:rsidRPr="00737159">
              <w:rPr>
                <w:rFonts w:ascii="Calibri" w:hAnsi="Calibri" w:cs="Calibri"/>
                <w:color w:val="000000"/>
                <w:sz w:val="19"/>
                <w:szCs w:val="22"/>
                <w:vertAlign w:val="superscript"/>
                <w:lang w:eastAsia="en-AU"/>
              </w:rPr>
              <w:t xml:space="preserve">2 </w:t>
            </w:r>
            <w:r w:rsidRPr="00737159">
              <w:rPr>
                <w:rFonts w:ascii="Calibri" w:hAnsi="Calibri" w:cs="Calibri"/>
                <w:color w:val="000000"/>
                <w:sz w:val="18"/>
                <w:szCs w:val="18"/>
                <w:lang w:eastAsia="en-AU"/>
              </w:rPr>
              <w:t>(</w:t>
            </w:r>
            <w:r>
              <w:rPr>
                <w:rFonts w:ascii="Calibri" w:hAnsi="Calibri" w:cs="Calibri"/>
                <w:color w:val="000000"/>
                <w:sz w:val="18"/>
                <w:szCs w:val="18"/>
                <w:lang w:eastAsia="en-AU"/>
              </w:rPr>
              <w:t>000</w:t>
            </w:r>
            <w:r w:rsidRPr="00737159">
              <w:rPr>
                <w:rFonts w:ascii="Calibri" w:hAnsi="Calibri" w:cs="Calibri"/>
                <w:color w:val="000000"/>
                <w:sz w:val="18"/>
                <w:szCs w:val="18"/>
                <w:lang w:eastAsia="en-AU"/>
              </w:rPr>
              <w:t>)</w:t>
            </w:r>
          </w:p>
        </w:tc>
        <w:tc>
          <w:tcPr>
            <w:tcW w:w="909" w:type="dxa"/>
            <w:tcBorders>
              <w:top w:val="single" w:sz="6" w:space="0" w:color="auto"/>
              <w:left w:val="nil"/>
              <w:right w:val="nil"/>
            </w:tcBorders>
            <w:shd w:val="clear" w:color="auto" w:fill="DCDCDC"/>
          </w:tcPr>
          <w:p w:rsidR="00E25CC6" w:rsidRPr="00FF058D" w:rsidRDefault="00E25CC6" w:rsidP="006B40B2">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 xml:space="preserve">1 </w:t>
            </w:r>
            <w:r>
              <w:rPr>
                <w:rFonts w:ascii="Calibri" w:hAnsi="Calibri" w:cs="Calibri"/>
                <w:sz w:val="19"/>
                <w:szCs w:val="22"/>
                <w:lang w:eastAsia="en-AU"/>
              </w:rPr>
              <w:t>635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1 377</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1 280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1 892</w:t>
            </w:r>
          </w:p>
        </w:tc>
      </w:tr>
      <w:tr w:rsidR="00E25CC6" w:rsidRPr="00737159" w:rsidTr="00E705DF">
        <w:trPr>
          <w:cantSplit/>
        </w:trPr>
        <w:tc>
          <w:tcPr>
            <w:tcW w:w="7767" w:type="dxa"/>
            <w:gridSpan w:val="6"/>
            <w:tcBorders>
              <w:top w:val="nil"/>
              <w:left w:val="nil"/>
              <w:bottom w:val="single" w:sz="6" w:space="0" w:color="auto"/>
              <w:right w:val="nil"/>
            </w:tcBorders>
          </w:tcPr>
          <w:p w:rsidR="00E25CC6" w:rsidRDefault="00E25CC6" w:rsidP="0062061B">
            <w:pPr>
              <w:pStyle w:val="OGNotes"/>
            </w:pPr>
            <w:r w:rsidRPr="00FF058D">
              <w:t>The 2015</w:t>
            </w:r>
            <w:r w:rsidRPr="00FF058D">
              <w:noBreakHyphen/>
              <w:t>16 expected outcome is higher than the 2015</w:t>
            </w:r>
            <w:r w:rsidRPr="00FF058D">
              <w:noBreakHyphen/>
              <w:t xml:space="preserve">16 target due to competitive market rates which has allowed for </w:t>
            </w:r>
            <w:r>
              <w:t>greater return on investment.</w:t>
            </w:r>
          </w:p>
          <w:p w:rsidR="00E25CC6" w:rsidRPr="00FF058D" w:rsidRDefault="00E25CC6" w:rsidP="00BF3E01">
            <w:pPr>
              <w:pStyle w:val="OGNotes"/>
            </w:pPr>
            <w:r w:rsidRPr="00425401">
              <w:rPr>
                <w:iCs/>
              </w:rPr>
              <w:t>The higher 2016</w:t>
            </w:r>
            <w:r>
              <w:rPr>
                <w:iCs/>
              </w:rPr>
              <w:noBreakHyphen/>
            </w:r>
            <w:r w:rsidRPr="00425401">
              <w:rPr>
                <w:iCs/>
              </w:rPr>
              <w:t xml:space="preserve">17 target reflects new funding provided in the </w:t>
            </w:r>
            <w:r w:rsidRPr="001420D9">
              <w:rPr>
                <w:i w:val="0"/>
                <w:iCs/>
              </w:rPr>
              <w:t>2016</w:t>
            </w:r>
            <w:r>
              <w:rPr>
                <w:iCs/>
              </w:rPr>
              <w:noBreakHyphen/>
            </w:r>
            <w:r w:rsidRPr="001420D9">
              <w:rPr>
                <w:i w:val="0"/>
                <w:iCs/>
              </w:rPr>
              <w:t>17 Budget</w:t>
            </w:r>
            <w:r w:rsidRPr="00425401">
              <w:rPr>
                <w:iCs/>
              </w:rPr>
              <w:t xml:space="preserve"> for Road Restoration and Road Surface Replacement</w:t>
            </w:r>
            <w:r>
              <w:rPr>
                <w:iCs/>
              </w:rPr>
              <w:t>.</w:t>
            </w:r>
          </w:p>
        </w:tc>
      </w:tr>
      <w:tr w:rsidR="00E25CC6" w:rsidRPr="00737159" w:rsidTr="00BF3E01">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Pavement resurfaced: regional</w:t>
            </w:r>
          </w:p>
        </w:tc>
        <w:tc>
          <w:tcPr>
            <w:tcW w:w="907" w:type="dxa"/>
            <w:tcBorders>
              <w:top w:val="single" w:sz="6" w:space="0" w:color="auto"/>
              <w:left w:val="nil"/>
              <w:right w:val="nil"/>
            </w:tcBorders>
          </w:tcPr>
          <w:p w:rsidR="00E25CC6" w:rsidRPr="00737159" w:rsidRDefault="00E25CC6" w:rsidP="00741C09">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m</w:t>
            </w:r>
            <w:r w:rsidRPr="00737159">
              <w:rPr>
                <w:rFonts w:ascii="Calibri" w:hAnsi="Calibri" w:cs="Calibri"/>
                <w:color w:val="000000"/>
                <w:sz w:val="19"/>
                <w:szCs w:val="22"/>
                <w:vertAlign w:val="superscript"/>
                <w:lang w:eastAsia="en-AU"/>
              </w:rPr>
              <w:t xml:space="preserve">2 </w:t>
            </w:r>
            <w:r w:rsidRPr="00737159">
              <w:rPr>
                <w:rFonts w:ascii="Calibri" w:hAnsi="Calibri" w:cs="Calibri"/>
                <w:color w:val="000000"/>
                <w:sz w:val="18"/>
                <w:szCs w:val="18"/>
                <w:lang w:eastAsia="en-AU"/>
              </w:rPr>
              <w:t>(</w:t>
            </w:r>
            <w:r>
              <w:rPr>
                <w:rFonts w:ascii="Calibri" w:hAnsi="Calibri" w:cs="Calibri"/>
                <w:color w:val="000000"/>
                <w:sz w:val="18"/>
                <w:szCs w:val="18"/>
                <w:lang w:eastAsia="en-AU"/>
              </w:rPr>
              <w:t>000</w:t>
            </w:r>
            <w:r w:rsidRPr="00737159">
              <w:rPr>
                <w:rFonts w:ascii="Calibri" w:hAnsi="Calibri" w:cs="Calibri"/>
                <w:color w:val="000000"/>
                <w:sz w:val="18"/>
                <w:szCs w:val="18"/>
                <w:lang w:eastAsia="en-AU"/>
              </w:rPr>
              <w:t>)</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Pr>
                <w:rFonts w:ascii="Calibri" w:hAnsi="Calibri" w:cs="Calibri"/>
                <w:sz w:val="19"/>
                <w:szCs w:val="22"/>
                <w:lang w:eastAsia="en-AU"/>
              </w:rPr>
              <w:t>8 752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8 622</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8 490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9 167</w:t>
            </w:r>
          </w:p>
        </w:tc>
      </w:tr>
      <w:tr w:rsidR="00E25CC6" w:rsidRPr="00737159" w:rsidTr="00BF3E01">
        <w:trPr>
          <w:cantSplit/>
        </w:trPr>
        <w:tc>
          <w:tcPr>
            <w:tcW w:w="7767" w:type="dxa"/>
            <w:gridSpan w:val="6"/>
            <w:tcBorders>
              <w:left w:val="nil"/>
              <w:bottom w:val="single" w:sz="6" w:space="0" w:color="auto"/>
            </w:tcBorders>
          </w:tcPr>
          <w:p w:rsidR="00E25CC6" w:rsidRPr="00E705DF" w:rsidRDefault="00E25CC6" w:rsidP="00656F5B">
            <w:pPr>
              <w:pStyle w:val="OGNotes"/>
            </w:pPr>
            <w:r w:rsidRPr="00425401">
              <w:rPr>
                <w:iCs/>
              </w:rPr>
              <w:t>The higher 2016</w:t>
            </w:r>
            <w:r>
              <w:rPr>
                <w:iCs/>
              </w:rPr>
              <w:noBreakHyphen/>
            </w:r>
            <w:r w:rsidRPr="00425401">
              <w:rPr>
                <w:iCs/>
              </w:rPr>
              <w:t xml:space="preserve">17 target reflects new funding provided in the </w:t>
            </w:r>
            <w:r w:rsidRPr="001420D9">
              <w:rPr>
                <w:i w:val="0"/>
                <w:iCs/>
              </w:rPr>
              <w:t>2016</w:t>
            </w:r>
            <w:r>
              <w:rPr>
                <w:iCs/>
              </w:rPr>
              <w:noBreakHyphen/>
            </w:r>
            <w:r w:rsidRPr="001420D9">
              <w:rPr>
                <w:i w:val="0"/>
                <w:iCs/>
              </w:rPr>
              <w:t>17 Budget</w:t>
            </w:r>
            <w:r w:rsidRPr="00425401">
              <w:rPr>
                <w:iCs/>
              </w:rPr>
              <w:t xml:space="preserve"> for Road Restoration and Road Surface Replacement</w:t>
            </w:r>
            <w:r>
              <w:rPr>
                <w:iCs/>
              </w:rPr>
              <w:t>.</w:t>
            </w:r>
          </w:p>
        </w:tc>
      </w:tr>
      <w:tr w:rsidR="00E25CC6" w:rsidRPr="00737159" w:rsidTr="00BF3E01">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network maintained: metropolitan</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lane-km</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12 302</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12 302</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12 302</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12 302</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Road network maintained: regional</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lane-km</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41 435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41 435</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41 433</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41 435</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higher 2016</w:t>
            </w:r>
            <w:r w:rsidRPr="00737159">
              <w:noBreakHyphen/>
              <w:t>17 target was set after a further review on the regional road network maintained.</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Bridges that are acceptable for legal load vehicles: metropolitan</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99.6</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99.5</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99.6</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99.5</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Bridges that are acceptable for legal load vehicles: regional</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99.6</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99.6</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99.6</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99.6</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Proportion of road pavements not distressed: metropolitan</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is proposed to replace the 2015</w:t>
            </w:r>
            <w:r w:rsidRPr="00737159">
              <w:noBreakHyphen/>
              <w:t xml:space="preserve">16 performance measure </w:t>
            </w:r>
            <w:r>
              <w:t>‘</w:t>
            </w:r>
            <w:r w:rsidRPr="00737159">
              <w:t>Proportion of distressed road pavements: metropolitan</w:t>
            </w:r>
            <w:r>
              <w:t>’</w:t>
            </w:r>
            <w:r w:rsidRPr="00737159">
              <w:t xml:space="preserve">. </w:t>
            </w:r>
          </w:p>
          <w:p w:rsidR="00E25CC6" w:rsidRPr="00737159" w:rsidRDefault="00E25CC6" w:rsidP="00CE1EE8">
            <w:pPr>
              <w:pStyle w:val="OGNotes"/>
            </w:pPr>
            <w:r w:rsidRPr="00737159">
              <w:t>The new measure reports on the same activity as the previous measure however has been amended for increased clarity.</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Proportion of road pavements not distressed: regional</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91.7</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is proposed to replace the 2015</w:t>
            </w:r>
            <w:r w:rsidRPr="00737159">
              <w:noBreakHyphen/>
              <w:t xml:space="preserve">16 performance measure </w:t>
            </w:r>
            <w:r>
              <w:t>‘</w:t>
            </w:r>
            <w:r w:rsidRPr="00737159">
              <w:t>Proportion of distressed road pavements: regional</w:t>
            </w:r>
            <w:r>
              <w:t>’</w:t>
            </w:r>
            <w:r w:rsidRPr="00737159">
              <w:t>.</w:t>
            </w:r>
          </w:p>
          <w:p w:rsidR="00E25CC6" w:rsidRPr="00737159" w:rsidRDefault="00E25CC6" w:rsidP="00CE1EE8">
            <w:pPr>
              <w:pStyle w:val="OGNotes"/>
            </w:pPr>
            <w:r w:rsidRPr="00737159">
              <w:t xml:space="preserve">The new measure reports on the same activity as the previous measure however has been amended for increased clarity. </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DF0E54">
            <w:pPr>
              <w:keepNext/>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737159" w:rsidRDefault="00E25CC6" w:rsidP="00DF0E54">
            <w:pPr>
              <w:keepNext/>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Annual road maintenance program completed within agreed timeframes: metropolitan</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Annual road maintenance program completed within agreed timeframes: regional</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372E48">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Cost</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372E48">
        <w:trPr>
          <w:cantSplit/>
        </w:trPr>
        <w:tc>
          <w:tcPr>
            <w:tcW w:w="3144" w:type="dxa"/>
            <w:tcBorders>
              <w:top w:val="nil"/>
              <w:left w:val="nil"/>
              <w:right w:val="nil"/>
            </w:tcBorders>
          </w:tcPr>
          <w:p w:rsidR="00E25CC6" w:rsidRPr="00FF058D" w:rsidRDefault="00E25CC6" w:rsidP="00CE1EE8">
            <w:pPr>
              <w:pStyle w:val="OGTabText"/>
              <w:rPr>
                <w:lang w:eastAsia="en-AU"/>
              </w:rPr>
            </w:pPr>
            <w:r w:rsidRPr="00FF058D">
              <w:rPr>
                <w:lang w:eastAsia="en-AU"/>
              </w:rPr>
              <w:t>Total output cost</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million</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440.3</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419.0</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402.1</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489.0</w:t>
            </w:r>
          </w:p>
        </w:tc>
      </w:tr>
      <w:tr w:rsidR="00E25CC6" w:rsidRPr="00737159" w:rsidTr="00CA26A5">
        <w:trPr>
          <w:cantSplit/>
        </w:trPr>
        <w:tc>
          <w:tcPr>
            <w:tcW w:w="7767" w:type="dxa"/>
            <w:gridSpan w:val="6"/>
            <w:tcBorders>
              <w:left w:val="nil"/>
              <w:bottom w:val="single" w:sz="6" w:space="0" w:color="auto"/>
              <w:right w:val="nil"/>
            </w:tcBorders>
          </w:tcPr>
          <w:p w:rsidR="00E25CC6" w:rsidRPr="00FF058D" w:rsidRDefault="00E25CC6" w:rsidP="00372E48">
            <w:pPr>
              <w:pStyle w:val="OGNotes"/>
            </w:pPr>
            <w:r w:rsidRPr="00FF058D">
              <w:t>The higher 2016</w:t>
            </w:r>
            <w:r w:rsidRPr="00FF058D">
              <w:noBreakHyphen/>
              <w:t>17 target reflects the allocation of new funding towards roads maintenance activities.</w:t>
            </w:r>
          </w:p>
          <w:p w:rsidR="00E25CC6" w:rsidRPr="00FF058D" w:rsidRDefault="00E25CC6" w:rsidP="00372E48">
            <w:pPr>
              <w:pStyle w:val="OGNotes"/>
              <w:rPr>
                <w:rFonts w:cs="Calibri"/>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737159" w:rsidTr="00DF0E54">
        <w:trPr>
          <w:cantSplit/>
        </w:trPr>
        <w:tc>
          <w:tcPr>
            <w:tcW w:w="7767" w:type="dxa"/>
            <w:gridSpan w:val="6"/>
            <w:tcBorders>
              <w:top w:val="single" w:sz="6" w:space="0" w:color="auto"/>
              <w:left w:val="nil"/>
              <w:bottom w:val="nil"/>
              <w:right w:val="nil"/>
            </w:tcBorders>
          </w:tcPr>
          <w:p w:rsidR="00E25CC6" w:rsidRPr="00737159" w:rsidRDefault="00E25CC6" w:rsidP="00CE1EE8">
            <w:pPr>
              <w:pStyle w:val="OGHeading2"/>
              <w:rPr>
                <w:lang w:eastAsia="en-AU"/>
              </w:rPr>
            </w:pPr>
            <w:r w:rsidRPr="00737159">
              <w:rPr>
                <w:lang w:eastAsia="en-AU"/>
              </w:rPr>
              <w:t xml:space="preserve">Road Operations and Network Improvements </w:t>
            </w:r>
          </w:p>
        </w:tc>
      </w:tr>
      <w:tr w:rsidR="00E25CC6" w:rsidRPr="00737159" w:rsidTr="00783D7E">
        <w:trPr>
          <w:cantSplit/>
        </w:trPr>
        <w:tc>
          <w:tcPr>
            <w:tcW w:w="7767" w:type="dxa"/>
            <w:gridSpan w:val="6"/>
            <w:tcBorders>
              <w:top w:val="nil"/>
              <w:left w:val="nil"/>
              <w:bottom w:val="single" w:sz="6" w:space="0" w:color="auto"/>
              <w:right w:val="nil"/>
            </w:tcBorders>
          </w:tcPr>
          <w:p w:rsidR="00E25CC6" w:rsidRPr="00737159" w:rsidRDefault="00E25CC6" w:rsidP="00C515AB">
            <w:pPr>
              <w:pStyle w:val="OGTabText"/>
              <w:rPr>
                <w:lang w:eastAsia="en-AU"/>
              </w:rPr>
            </w:pPr>
            <w:r w:rsidRPr="00737159">
              <w:rPr>
                <w:lang w:eastAsia="en-AU"/>
              </w:rPr>
              <w:t>This output group delivers network improvement initiatives to enhance and develop Victoria</w:t>
            </w:r>
            <w:r>
              <w:rPr>
                <w:lang w:eastAsia="en-AU"/>
              </w:rPr>
              <w:t>’</w:t>
            </w:r>
            <w:r w:rsidRPr="00737159">
              <w:rPr>
                <w:lang w:eastAsia="en-AU"/>
              </w:rPr>
              <w:t>s freeways, arterial road network and strategic local road connections. Activities support improvements to the safety and reliability of the network.</w:t>
            </w:r>
          </w:p>
        </w:tc>
      </w:tr>
      <w:tr w:rsidR="00E25CC6" w:rsidRPr="00737159" w:rsidTr="009F0B90">
        <w:trPr>
          <w:cantSplit/>
        </w:trPr>
        <w:tc>
          <w:tcPr>
            <w:tcW w:w="3144" w:type="dxa"/>
            <w:tcBorders>
              <w:top w:val="nil"/>
              <w:left w:val="nil"/>
              <w:bottom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Bridge strengthening and replacement projects completed: metropolitan</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CE1EE8">
            <w:pPr>
              <w:pStyle w:val="OGNotes"/>
            </w:pPr>
            <w:r w:rsidRPr="00FF058D">
              <w:t>The lower 2016</w:t>
            </w:r>
            <w:r w:rsidRPr="00FF058D">
              <w:noBreakHyphen/>
              <w:t>17 target reflects the number of projects to be delivered in 2016</w:t>
            </w:r>
            <w:r w:rsidRPr="00FF058D">
              <w:noBreakHyphen/>
              <w:t>17, noting that projects are underway and often span multiple years. A number of existing and new projects may be completed in 2017</w:t>
            </w:r>
            <w:r w:rsidRPr="00FF058D">
              <w:noBreakHyphen/>
              <w:t>18 and beyond.</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FF058D" w:rsidRDefault="00E25CC6" w:rsidP="00CE1EE8">
            <w:pPr>
              <w:pStyle w:val="OGTabText"/>
              <w:rPr>
                <w:lang w:eastAsia="en-AU"/>
              </w:rPr>
            </w:pPr>
            <w:r w:rsidRPr="00FF058D">
              <w:rPr>
                <w:lang w:eastAsia="en-AU"/>
              </w:rPr>
              <w:t>Bridge strengthening and replacement projects completed: regional</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bottom w:val="single" w:sz="6" w:space="0" w:color="auto"/>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7</w:t>
            </w:r>
          </w:p>
        </w:tc>
        <w:tc>
          <w:tcPr>
            <w:tcW w:w="992"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7</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7</w:t>
            </w:r>
          </w:p>
        </w:tc>
        <w:tc>
          <w:tcPr>
            <w:tcW w:w="908"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5</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C94948">
            <w:pPr>
              <w:pStyle w:val="OGTabText"/>
              <w:keepNext/>
              <w:rPr>
                <w:lang w:eastAsia="en-AU"/>
              </w:rPr>
            </w:pPr>
            <w:r w:rsidRPr="00FF058D">
              <w:rPr>
                <w:lang w:eastAsia="en-AU"/>
              </w:rPr>
              <w:t>Congestion projects completed</w:t>
            </w:r>
          </w:p>
        </w:tc>
        <w:tc>
          <w:tcPr>
            <w:tcW w:w="907" w:type="dxa"/>
            <w:tcBorders>
              <w:top w:val="single" w:sz="6" w:space="0" w:color="auto"/>
              <w:left w:val="nil"/>
              <w:right w:val="nil"/>
            </w:tcBorders>
          </w:tcPr>
          <w:p w:rsidR="00E25CC6" w:rsidRPr="00FF058D" w:rsidRDefault="00E25CC6" w:rsidP="00C94948">
            <w:pPr>
              <w:keepNext/>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right w:val="nil"/>
            </w:tcBorders>
            <w:shd w:val="clear" w:color="auto" w:fill="DCDCDC"/>
          </w:tcPr>
          <w:p w:rsidR="00E25CC6" w:rsidRPr="00FF058D" w:rsidRDefault="00E25CC6" w:rsidP="00C94948">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10</w:t>
            </w:r>
          </w:p>
        </w:tc>
        <w:tc>
          <w:tcPr>
            <w:tcW w:w="992" w:type="dxa"/>
            <w:tcBorders>
              <w:top w:val="single" w:sz="6" w:space="0" w:color="auto"/>
              <w:left w:val="nil"/>
              <w:right w:val="nil"/>
            </w:tcBorders>
          </w:tcPr>
          <w:p w:rsidR="00E25CC6" w:rsidRPr="00FF058D" w:rsidRDefault="00E25CC6" w:rsidP="00C94948">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6</w:t>
            </w:r>
          </w:p>
        </w:tc>
        <w:tc>
          <w:tcPr>
            <w:tcW w:w="907" w:type="dxa"/>
            <w:tcBorders>
              <w:top w:val="single" w:sz="6" w:space="0" w:color="auto"/>
              <w:left w:val="nil"/>
              <w:right w:val="nil"/>
            </w:tcBorders>
          </w:tcPr>
          <w:p w:rsidR="00E25CC6" w:rsidRPr="00FF058D" w:rsidRDefault="00E25CC6" w:rsidP="00C94948">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6</w:t>
            </w:r>
          </w:p>
        </w:tc>
        <w:tc>
          <w:tcPr>
            <w:tcW w:w="908" w:type="dxa"/>
            <w:tcBorders>
              <w:top w:val="single" w:sz="6" w:space="0" w:color="auto"/>
              <w:left w:val="nil"/>
              <w:right w:val="nil"/>
            </w:tcBorders>
          </w:tcPr>
          <w:p w:rsidR="00E25CC6" w:rsidRPr="00FF058D" w:rsidRDefault="00E25CC6" w:rsidP="00C94948">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CE1EE8">
            <w:pPr>
              <w:pStyle w:val="OGNotes"/>
            </w:pPr>
            <w:r w:rsidRPr="00FF058D">
              <w:t>The higher 2016</w:t>
            </w:r>
            <w:r w:rsidRPr="00FF058D">
              <w:noBreakHyphen/>
              <w:t>17 target reflects the number of projects to be delivered in 2016</w:t>
            </w:r>
            <w:r w:rsidRPr="00FF058D">
              <w:noBreakHyphen/>
              <w:t>17, noting that projects are underway and often span multiple years.</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FF058D" w:rsidRDefault="00E25CC6" w:rsidP="00CE1EE8">
            <w:pPr>
              <w:pStyle w:val="OGTabText"/>
              <w:rPr>
                <w:lang w:eastAsia="en-AU"/>
              </w:rPr>
            </w:pPr>
            <w:r w:rsidRPr="00FF058D">
              <w:rPr>
                <w:lang w:eastAsia="en-AU"/>
              </w:rPr>
              <w:t>Cycling projects completed</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bottom w:val="single" w:sz="6" w:space="0" w:color="auto"/>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w:t>
            </w:r>
          </w:p>
        </w:tc>
        <w:tc>
          <w:tcPr>
            <w:tcW w:w="992"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w:t>
            </w:r>
          </w:p>
        </w:tc>
        <w:tc>
          <w:tcPr>
            <w:tcW w:w="908"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10</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9909EC">
            <w:pPr>
              <w:pStyle w:val="OGTabText"/>
              <w:keepNext/>
              <w:rPr>
                <w:lang w:eastAsia="en-AU"/>
              </w:rPr>
            </w:pPr>
            <w:r w:rsidRPr="00FF058D">
              <w:rPr>
                <w:lang w:eastAsia="en-AU"/>
              </w:rPr>
              <w:t>Major road improvement projects completed: metropolitan</w:t>
            </w:r>
          </w:p>
        </w:tc>
        <w:tc>
          <w:tcPr>
            <w:tcW w:w="907" w:type="dxa"/>
            <w:tcBorders>
              <w:top w:val="single" w:sz="6" w:space="0" w:color="auto"/>
              <w:left w:val="nil"/>
              <w:right w:val="nil"/>
            </w:tcBorders>
          </w:tcPr>
          <w:p w:rsidR="00E25CC6" w:rsidRPr="00FF058D" w:rsidRDefault="00E25CC6" w:rsidP="009909EC">
            <w:pPr>
              <w:keepNext/>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right w:val="nil"/>
            </w:tcBorders>
            <w:shd w:val="clear" w:color="auto" w:fill="DCDCDC"/>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Pr>
                <w:rFonts w:ascii="Calibri" w:hAnsi="Calibri" w:cs="Calibri"/>
                <w:sz w:val="19"/>
                <w:szCs w:val="22"/>
                <w:lang w:eastAsia="en-AU"/>
              </w:rPr>
              <w:t>0</w:t>
            </w:r>
          </w:p>
        </w:tc>
        <w:tc>
          <w:tcPr>
            <w:tcW w:w="992"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w:t>
            </w:r>
          </w:p>
        </w:tc>
        <w:tc>
          <w:tcPr>
            <w:tcW w:w="907"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w:t>
            </w:r>
          </w:p>
        </w:tc>
        <w:tc>
          <w:tcPr>
            <w:tcW w:w="908"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Pr>
                <w:rFonts w:ascii="Calibri" w:hAnsi="Calibri" w:cs="Calibri"/>
                <w:sz w:val="19"/>
                <w:szCs w:val="22"/>
                <w:lang w:eastAsia="en-AU"/>
              </w:rPr>
              <w:t>0</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CE1EE8">
            <w:pPr>
              <w:pStyle w:val="OGNotes"/>
            </w:pPr>
            <w:r>
              <w:t>The lower 2016</w:t>
            </w:r>
            <w:r>
              <w:noBreakHyphen/>
              <w:t>17 t</w:t>
            </w:r>
            <w:r w:rsidRPr="00FF058D">
              <w:t>arget reflects the number of projects to be delivered in 2016</w:t>
            </w:r>
            <w:r>
              <w:noBreakHyphen/>
            </w:r>
            <w:r w:rsidRPr="00FF058D">
              <w:t>17, noting that projects are underway and often span multiple years. A number of existing and new projects may be completed in 2017</w:t>
            </w:r>
            <w:r>
              <w:noBreakHyphen/>
            </w:r>
            <w:r w:rsidRPr="00FF058D">
              <w:t>18 and beyond.</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Major road improvement projects completed: regional</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2015</w:t>
            </w:r>
            <w:r w:rsidRPr="00737159">
              <w:noBreakHyphen/>
              <w:t>16 expected outcome is lower than the 2015</w:t>
            </w:r>
            <w:r w:rsidRPr="00737159">
              <w:noBreakHyphen/>
              <w:t>16 target due to a revised project scope which extended completion to 2016</w:t>
            </w:r>
            <w:r w:rsidRPr="00737159">
              <w:noBreakHyphen/>
              <w:t>17.</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Other road improvement projects completed: metropolitan</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CE1EE8">
            <w:pPr>
              <w:pStyle w:val="OGNotes"/>
            </w:pPr>
            <w:r>
              <w:t>The higher 2016</w:t>
            </w:r>
            <w:r>
              <w:noBreakHyphen/>
              <w:t>17 t</w:t>
            </w:r>
            <w:r w:rsidRPr="00FF058D">
              <w:t>arget reflects the number of projects to be delivered in 2016</w:t>
            </w:r>
            <w:r>
              <w:noBreakHyphen/>
            </w:r>
            <w:r w:rsidRPr="00FF058D">
              <w:t>17, noting that projects are underway and often span multiple years.</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CE1EE8">
            <w:pPr>
              <w:pStyle w:val="OGTabText"/>
              <w:rPr>
                <w:lang w:eastAsia="en-AU"/>
              </w:rPr>
            </w:pPr>
            <w:r w:rsidRPr="00FF058D">
              <w:rPr>
                <w:lang w:eastAsia="en-AU"/>
              </w:rPr>
              <w:t>Other road improvement projects completed: regional</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7</w:t>
            </w:r>
          </w:p>
        </w:tc>
        <w:tc>
          <w:tcPr>
            <w:tcW w:w="992"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10</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10</w:t>
            </w:r>
          </w:p>
        </w:tc>
        <w:tc>
          <w:tcPr>
            <w:tcW w:w="908"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7</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0939BA">
            <w:pPr>
              <w:pStyle w:val="OGNotes"/>
            </w:pPr>
            <w:r w:rsidRPr="00FF058D">
              <w:t>The lower 2016</w:t>
            </w:r>
            <w:r>
              <w:noBreakHyphen/>
            </w:r>
            <w:r w:rsidRPr="00FF058D">
              <w:t xml:space="preserve">17 </w:t>
            </w:r>
            <w:r>
              <w:t>t</w:t>
            </w:r>
            <w:r w:rsidRPr="00FF058D">
              <w:t>arget reflects the number of projects to be delivered in 2016</w:t>
            </w:r>
            <w:r>
              <w:noBreakHyphen/>
            </w:r>
            <w:r w:rsidRPr="00FF058D">
              <w:t>17, noting that projects are underway and often span multiple years. A number of existing and new projects may be completed in 2017</w:t>
            </w:r>
            <w:r>
              <w:noBreakHyphen/>
            </w:r>
            <w:r w:rsidRPr="00FF058D">
              <w:t>18 and beyond.</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CE1EE8">
            <w:pPr>
              <w:pStyle w:val="OGTabText"/>
              <w:rPr>
                <w:lang w:eastAsia="en-AU"/>
              </w:rPr>
            </w:pPr>
            <w:r w:rsidRPr="00FF058D">
              <w:rPr>
                <w:lang w:eastAsia="en-AU"/>
              </w:rPr>
              <w:t>Pedestrian projects completed</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w:t>
            </w:r>
          </w:p>
        </w:tc>
        <w:tc>
          <w:tcPr>
            <w:tcW w:w="992"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11</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11</w:t>
            </w:r>
          </w:p>
        </w:tc>
        <w:tc>
          <w:tcPr>
            <w:tcW w:w="908"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C94948">
            <w:pPr>
              <w:pStyle w:val="OGNotes"/>
            </w:pPr>
            <w:r>
              <w:t>The lower 2016</w:t>
            </w:r>
            <w:r>
              <w:noBreakHyphen/>
              <w:t>17 t</w:t>
            </w:r>
            <w:r w:rsidRPr="00FF058D">
              <w:t>arget reflects the number of projects to be delivered in 2016</w:t>
            </w:r>
            <w:r>
              <w:noBreakHyphen/>
            </w:r>
            <w:r w:rsidRPr="00FF058D">
              <w:t>17, noting that projects are underway and often span multiple years. A number of existing and new projects may be completed in 2017</w:t>
            </w:r>
            <w:r>
              <w:noBreakHyphen/>
            </w:r>
            <w:r w:rsidRPr="00FF058D">
              <w:t>18 and beyond.</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DF0E54">
            <w:pPr>
              <w:keepNext/>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737159" w:rsidRDefault="00E25CC6" w:rsidP="00DF0E54">
            <w:pPr>
              <w:keepNext/>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projects completed within agreed scope and standards: metropolitan</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projects completed within agreed scope and standards: regional</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98</w:t>
            </w:r>
          </w:p>
        </w:tc>
      </w:tr>
      <w:tr w:rsidR="00E25CC6" w:rsidRPr="00737159" w:rsidTr="009F0B90">
        <w:trPr>
          <w:cantSplit/>
        </w:trPr>
        <w:tc>
          <w:tcPr>
            <w:tcW w:w="3144" w:type="dxa"/>
            <w:tcBorders>
              <w:top w:val="single" w:sz="6" w:space="0" w:color="auto"/>
              <w:left w:val="nil"/>
              <w:bottom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FF058D" w:rsidRDefault="00E25CC6" w:rsidP="00CE1EE8">
            <w:pPr>
              <w:pStyle w:val="OGTabText"/>
              <w:rPr>
                <w:lang w:eastAsia="en-AU"/>
              </w:rPr>
            </w:pPr>
            <w:r w:rsidRPr="00FF058D">
              <w:rPr>
                <w:lang w:eastAsia="en-AU"/>
              </w:rPr>
              <w:t>Develop and release Cycling Strategy and Cycling Action plan</w:t>
            </w:r>
          </w:p>
        </w:tc>
        <w:tc>
          <w:tcPr>
            <w:tcW w:w="907" w:type="dxa"/>
            <w:tcBorders>
              <w:top w:val="nil"/>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date</w:t>
            </w:r>
          </w:p>
        </w:tc>
        <w:tc>
          <w:tcPr>
            <w:tcW w:w="909" w:type="dxa"/>
            <w:tcBorders>
              <w:top w:val="nil"/>
              <w:left w:val="nil"/>
              <w:right w:val="nil"/>
            </w:tcBorders>
            <w:shd w:val="clear" w:color="auto" w:fill="DCDCDC"/>
          </w:tcPr>
          <w:p w:rsidR="00E25CC6" w:rsidRPr="00FF058D" w:rsidRDefault="00E25CC6" w:rsidP="00EC123D">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30 Sept 2016</w:t>
            </w:r>
          </w:p>
        </w:tc>
        <w:tc>
          <w:tcPr>
            <w:tcW w:w="992" w:type="dxa"/>
            <w:tcBorders>
              <w:top w:val="nil"/>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nm</w:t>
            </w:r>
          </w:p>
        </w:tc>
        <w:tc>
          <w:tcPr>
            <w:tcW w:w="907" w:type="dxa"/>
            <w:tcBorders>
              <w:top w:val="nil"/>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nm</w:t>
            </w:r>
          </w:p>
        </w:tc>
        <w:tc>
          <w:tcPr>
            <w:tcW w:w="908" w:type="dxa"/>
            <w:tcBorders>
              <w:top w:val="nil"/>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nm</w:t>
            </w:r>
          </w:p>
        </w:tc>
      </w:tr>
      <w:tr w:rsidR="00E25CC6" w:rsidRPr="00737159" w:rsidTr="00DF0E54">
        <w:trPr>
          <w:cantSplit/>
        </w:trPr>
        <w:tc>
          <w:tcPr>
            <w:tcW w:w="7767" w:type="dxa"/>
            <w:gridSpan w:val="6"/>
            <w:tcBorders>
              <w:top w:val="nil"/>
              <w:left w:val="nil"/>
              <w:bottom w:val="single" w:sz="6" w:space="0" w:color="auto"/>
              <w:right w:val="nil"/>
            </w:tcBorders>
          </w:tcPr>
          <w:p w:rsidR="00E25CC6" w:rsidRPr="00FF058D" w:rsidRDefault="00E25CC6" w:rsidP="00CE1EE8">
            <w:pPr>
              <w:pStyle w:val="OGNotes"/>
            </w:pPr>
            <w:r w:rsidRPr="00FF058D">
              <w:t>New performance measure for 2016</w:t>
            </w:r>
            <w:r w:rsidRPr="00FF058D">
              <w:noBreakHyphen/>
              <w:t>17 to reflect new funding for Active Transport Victoria.</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FF058D" w:rsidRDefault="00E25CC6" w:rsidP="00CE1EE8">
            <w:pPr>
              <w:pStyle w:val="OGTabText"/>
              <w:rPr>
                <w:lang w:eastAsia="en-AU"/>
              </w:rPr>
            </w:pPr>
            <w:r w:rsidRPr="00FF058D">
              <w:rPr>
                <w:lang w:eastAsia="en-AU"/>
              </w:rPr>
              <w:t>Programmed works completed within agreed timeframes: metropolitan</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c>
          <w:tcPr>
            <w:tcW w:w="992"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c>
          <w:tcPr>
            <w:tcW w:w="908"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FF058D" w:rsidRDefault="00E25CC6" w:rsidP="00CE1EE8">
            <w:pPr>
              <w:pStyle w:val="OGTabText"/>
              <w:rPr>
                <w:lang w:eastAsia="en-AU"/>
              </w:rPr>
            </w:pPr>
            <w:r w:rsidRPr="00FF058D">
              <w:rPr>
                <w:lang w:eastAsia="en-AU"/>
              </w:rPr>
              <w:t>Programmed works completed within agreed timeframes: regional</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c>
          <w:tcPr>
            <w:tcW w:w="992"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c>
          <w:tcPr>
            <w:tcW w:w="908"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w:t>
            </w:r>
          </w:p>
        </w:tc>
      </w:tr>
      <w:tr w:rsidR="00E25CC6" w:rsidRPr="00737159" w:rsidTr="00372E48">
        <w:trPr>
          <w:cantSplit/>
        </w:trPr>
        <w:tc>
          <w:tcPr>
            <w:tcW w:w="3144" w:type="dxa"/>
            <w:tcBorders>
              <w:top w:val="single" w:sz="6" w:space="0" w:color="auto"/>
              <w:left w:val="nil"/>
              <w:right w:val="nil"/>
            </w:tcBorders>
          </w:tcPr>
          <w:p w:rsidR="00E25CC6" w:rsidRPr="00FF058D" w:rsidRDefault="00E25CC6" w:rsidP="009909EC">
            <w:pPr>
              <w:keepNext/>
              <w:autoSpaceDE w:val="0"/>
              <w:autoSpaceDN w:val="0"/>
              <w:adjustRightInd w:val="0"/>
              <w:spacing w:after="0"/>
              <w:ind w:left="227" w:hanging="227"/>
              <w:rPr>
                <w:rFonts w:ascii="Calibri" w:hAnsi="Calibri" w:cs="Calibri"/>
                <w:i/>
                <w:iCs/>
                <w:sz w:val="19"/>
                <w:szCs w:val="22"/>
                <w:lang w:eastAsia="en-AU"/>
              </w:rPr>
            </w:pPr>
            <w:r w:rsidRPr="00FF058D">
              <w:rPr>
                <w:rFonts w:ascii="Calibri" w:hAnsi="Calibri" w:cs="Calibri"/>
                <w:i/>
                <w:iCs/>
                <w:sz w:val="19"/>
                <w:szCs w:val="22"/>
                <w:lang w:eastAsia="en-AU"/>
              </w:rPr>
              <w:t>Cost</w:t>
            </w:r>
          </w:p>
        </w:tc>
        <w:tc>
          <w:tcPr>
            <w:tcW w:w="907" w:type="dxa"/>
            <w:tcBorders>
              <w:top w:val="single" w:sz="6" w:space="0" w:color="auto"/>
              <w:left w:val="nil"/>
              <w:right w:val="nil"/>
            </w:tcBorders>
          </w:tcPr>
          <w:p w:rsidR="00E25CC6" w:rsidRPr="00FF058D" w:rsidRDefault="00E25CC6" w:rsidP="009909EC">
            <w:pPr>
              <w:keepNext/>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 xml:space="preserve"> </w:t>
            </w:r>
          </w:p>
        </w:tc>
        <w:tc>
          <w:tcPr>
            <w:tcW w:w="909" w:type="dxa"/>
            <w:tcBorders>
              <w:top w:val="single" w:sz="6" w:space="0" w:color="auto"/>
              <w:left w:val="nil"/>
              <w:right w:val="nil"/>
            </w:tcBorders>
            <w:shd w:val="clear" w:color="auto" w:fill="DCDCDC"/>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 xml:space="preserve"> </w:t>
            </w:r>
          </w:p>
        </w:tc>
        <w:tc>
          <w:tcPr>
            <w:tcW w:w="992"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 xml:space="preserve"> </w:t>
            </w:r>
          </w:p>
        </w:tc>
        <w:tc>
          <w:tcPr>
            <w:tcW w:w="907"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 xml:space="preserve"> </w:t>
            </w:r>
          </w:p>
        </w:tc>
        <w:tc>
          <w:tcPr>
            <w:tcW w:w="908"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 xml:space="preserve"> </w:t>
            </w:r>
          </w:p>
        </w:tc>
      </w:tr>
      <w:tr w:rsidR="00E25CC6" w:rsidRPr="00737159" w:rsidTr="00123B97">
        <w:trPr>
          <w:cantSplit/>
        </w:trPr>
        <w:tc>
          <w:tcPr>
            <w:tcW w:w="3144" w:type="dxa"/>
            <w:tcBorders>
              <w:left w:val="nil"/>
              <w:right w:val="nil"/>
            </w:tcBorders>
          </w:tcPr>
          <w:p w:rsidR="00E25CC6" w:rsidRPr="00FF058D" w:rsidRDefault="00E25CC6" w:rsidP="009909EC">
            <w:pPr>
              <w:pStyle w:val="OGTabText"/>
              <w:keepNext/>
              <w:rPr>
                <w:lang w:eastAsia="en-AU"/>
              </w:rPr>
            </w:pPr>
            <w:r w:rsidRPr="00FF058D">
              <w:rPr>
                <w:lang w:eastAsia="en-AU"/>
              </w:rPr>
              <w:t>Total output cost</w:t>
            </w:r>
          </w:p>
        </w:tc>
        <w:tc>
          <w:tcPr>
            <w:tcW w:w="907" w:type="dxa"/>
            <w:tcBorders>
              <w:left w:val="nil"/>
              <w:right w:val="nil"/>
            </w:tcBorders>
          </w:tcPr>
          <w:p w:rsidR="00E25CC6" w:rsidRPr="00FF058D" w:rsidRDefault="00E25CC6" w:rsidP="009909EC">
            <w:pPr>
              <w:keepNext/>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 million</w:t>
            </w:r>
          </w:p>
        </w:tc>
        <w:tc>
          <w:tcPr>
            <w:tcW w:w="909" w:type="dxa"/>
            <w:tcBorders>
              <w:left w:val="nil"/>
              <w:right w:val="nil"/>
            </w:tcBorders>
            <w:shd w:val="clear" w:color="auto" w:fill="DCDCDC"/>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982.9</w:t>
            </w:r>
          </w:p>
        </w:tc>
        <w:tc>
          <w:tcPr>
            <w:tcW w:w="992" w:type="dxa"/>
            <w:tcBorders>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950.3</w:t>
            </w:r>
          </w:p>
        </w:tc>
        <w:tc>
          <w:tcPr>
            <w:tcW w:w="907" w:type="dxa"/>
            <w:tcBorders>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1 017.3</w:t>
            </w:r>
          </w:p>
        </w:tc>
        <w:tc>
          <w:tcPr>
            <w:tcW w:w="908" w:type="dxa"/>
            <w:tcBorders>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1 002.4</w:t>
            </w:r>
          </w:p>
        </w:tc>
      </w:tr>
      <w:tr w:rsidR="00E25CC6" w:rsidRPr="00737159" w:rsidTr="00123B97">
        <w:trPr>
          <w:cantSplit/>
        </w:trPr>
        <w:tc>
          <w:tcPr>
            <w:tcW w:w="7767" w:type="dxa"/>
            <w:gridSpan w:val="6"/>
            <w:tcBorders>
              <w:left w:val="nil"/>
              <w:bottom w:val="single" w:sz="6" w:space="0" w:color="auto"/>
              <w:right w:val="nil"/>
            </w:tcBorders>
          </w:tcPr>
          <w:p w:rsidR="00E25CC6" w:rsidRPr="00FF058D" w:rsidRDefault="00E25CC6" w:rsidP="00123B97">
            <w:pPr>
              <w:pStyle w:val="OGNotes"/>
            </w:pPr>
            <w:r w:rsidRPr="00FF058D">
              <w:t>The 2015</w:t>
            </w:r>
            <w:r w:rsidRPr="00FF058D">
              <w:noBreakHyphen/>
              <w:t>16 expected outcome is lower than the 2015</w:t>
            </w:r>
            <w:r w:rsidRPr="00FF058D">
              <w:noBreakHyphen/>
              <w:t>16 target due to a reduction in the estimated depreciation expenditure following revaluation of assets, and a decline in works undertaken for third parties including developers, councils and other road agencies.</w:t>
            </w:r>
          </w:p>
          <w:p w:rsidR="00E25CC6" w:rsidRPr="00FF058D" w:rsidRDefault="00E25CC6" w:rsidP="00123B97">
            <w:pPr>
              <w:pStyle w:val="OGNotes"/>
            </w:pPr>
            <w:r w:rsidRPr="00FF058D">
              <w:t>The lower 2016</w:t>
            </w:r>
            <w:r w:rsidRPr="00FF058D">
              <w:noBreakHyphen/>
              <w:t xml:space="preserve">17 target is mainly the result of a reduction in depreciation expenditure following the revaluation of assets. </w:t>
            </w:r>
          </w:p>
          <w:p w:rsidR="00E25CC6" w:rsidRPr="00FF058D" w:rsidRDefault="00E25CC6" w:rsidP="00123B97">
            <w:pPr>
              <w:pStyle w:val="OGNotes"/>
              <w:rPr>
                <w:rFonts w:cs="Calibri"/>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737159" w:rsidTr="00123B97">
        <w:trPr>
          <w:cantSplit/>
        </w:trPr>
        <w:tc>
          <w:tcPr>
            <w:tcW w:w="7767" w:type="dxa"/>
            <w:gridSpan w:val="6"/>
            <w:tcBorders>
              <w:top w:val="single" w:sz="6" w:space="0" w:color="auto"/>
              <w:left w:val="nil"/>
              <w:bottom w:val="nil"/>
              <w:right w:val="nil"/>
            </w:tcBorders>
          </w:tcPr>
          <w:p w:rsidR="00E25CC6" w:rsidRPr="00737159" w:rsidRDefault="00E25CC6" w:rsidP="00CE1EE8">
            <w:pPr>
              <w:pStyle w:val="OGHeading2"/>
              <w:rPr>
                <w:lang w:eastAsia="en-AU"/>
              </w:rPr>
            </w:pPr>
            <w:r w:rsidRPr="00737159">
              <w:rPr>
                <w:lang w:eastAsia="en-AU"/>
              </w:rPr>
              <w:t xml:space="preserve">Taxi and Hire Vehicle Services </w:t>
            </w:r>
          </w:p>
        </w:tc>
      </w:tr>
      <w:tr w:rsidR="00E25CC6" w:rsidRPr="00737159" w:rsidTr="00783D7E">
        <w:trPr>
          <w:cantSplit/>
        </w:trPr>
        <w:tc>
          <w:tcPr>
            <w:tcW w:w="7767" w:type="dxa"/>
            <w:gridSpan w:val="6"/>
            <w:tcBorders>
              <w:top w:val="nil"/>
              <w:left w:val="nil"/>
              <w:bottom w:val="single" w:sz="6" w:space="0" w:color="auto"/>
              <w:right w:val="nil"/>
            </w:tcBorders>
          </w:tcPr>
          <w:p w:rsidR="00E25CC6" w:rsidRPr="00737159" w:rsidRDefault="00E25CC6" w:rsidP="00C515AB">
            <w:pPr>
              <w:pStyle w:val="OGTabText"/>
              <w:rPr>
                <w:lang w:eastAsia="en-AU"/>
              </w:rPr>
            </w:pPr>
            <w:r w:rsidRPr="00737159">
              <w:rPr>
                <w:lang w:eastAsia="en-AU"/>
              </w:rPr>
              <w:t>This output delivers safe and accessible taxi and hire vehicle services in metropolitan and regional Victoria through the regulation of drivers and operators and promoting choices available to customers.</w:t>
            </w:r>
          </w:p>
        </w:tc>
      </w:tr>
      <w:tr w:rsidR="00E25CC6" w:rsidRPr="00737159" w:rsidTr="009F0B90">
        <w:trPr>
          <w:cantSplit/>
        </w:trPr>
        <w:tc>
          <w:tcPr>
            <w:tcW w:w="3144" w:type="dxa"/>
            <w:tcBorders>
              <w:top w:val="nil"/>
              <w:left w:val="nil"/>
              <w:bottom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Number of Multi-Purpose Taxi Program: trips subsidised</w:t>
            </w:r>
          </w:p>
        </w:tc>
        <w:tc>
          <w:tcPr>
            <w:tcW w:w="907" w:type="dxa"/>
            <w:tcBorders>
              <w:top w:val="nil"/>
              <w:left w:val="nil"/>
              <w:right w:val="nil"/>
            </w:tcBorders>
          </w:tcPr>
          <w:p w:rsidR="00E25CC6" w:rsidRPr="00737159" w:rsidRDefault="00E25CC6" w:rsidP="00B46C0A">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number </w:t>
            </w:r>
            <w:r w:rsidRPr="00737159">
              <w:rPr>
                <w:rFonts w:ascii="Calibri" w:hAnsi="Calibri" w:cs="Calibri"/>
                <w:color w:val="000000"/>
                <w:sz w:val="18"/>
                <w:szCs w:val="18"/>
                <w:lang w:eastAsia="en-AU"/>
              </w:rPr>
              <w:t>(</w:t>
            </w:r>
            <w:r>
              <w:rPr>
                <w:rFonts w:ascii="Calibri" w:hAnsi="Calibri" w:cs="Calibri"/>
                <w:color w:val="000000"/>
                <w:sz w:val="18"/>
                <w:szCs w:val="18"/>
                <w:lang w:eastAsia="en-AU"/>
              </w:rPr>
              <w:t>000</w:t>
            </w:r>
            <w:r w:rsidRPr="00737159">
              <w:rPr>
                <w:rFonts w:ascii="Calibri" w:hAnsi="Calibri" w:cs="Calibri"/>
                <w:color w:val="000000"/>
                <w:sz w:val="18"/>
                <w:szCs w:val="18"/>
                <w:lang w:eastAsia="en-AU"/>
              </w:rPr>
              <w:t>)</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4 450</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515AB">
            <w:pPr>
              <w:pStyle w:val="OGNotes"/>
            </w:pPr>
            <w:r w:rsidRPr="00737159">
              <w:t>This performance measure is proposed to replace the 2015</w:t>
            </w:r>
            <w:r w:rsidRPr="00737159">
              <w:noBreakHyphen/>
              <w:t xml:space="preserve">16 performance measure </w:t>
            </w:r>
            <w:r>
              <w:t>‘</w:t>
            </w:r>
            <w:r w:rsidRPr="00737159">
              <w:t>Multi</w:t>
            </w:r>
            <w:r w:rsidRPr="00737159">
              <w:rPr>
                <w:rFonts w:eastAsia="MS Gothic" w:cs="MS Gothic" w:hint="eastAsia"/>
              </w:rPr>
              <w:t>‑</w:t>
            </w:r>
            <w:r w:rsidRPr="00737159">
              <w:t>Purpose Taxi Program: passenger only trips</w:t>
            </w:r>
            <w:r>
              <w:t>’</w:t>
            </w:r>
            <w:r w:rsidRPr="00737159">
              <w:t>. It has been replaced to include all subsidised taxi trips.</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Number of Multi-Purpose Taxi Program: wheelchair and scooter lifting fees paid</w:t>
            </w:r>
          </w:p>
        </w:tc>
        <w:tc>
          <w:tcPr>
            <w:tcW w:w="907" w:type="dxa"/>
            <w:tcBorders>
              <w:top w:val="single" w:sz="6" w:space="0" w:color="auto"/>
              <w:left w:val="nil"/>
              <w:right w:val="nil"/>
            </w:tcBorders>
          </w:tcPr>
          <w:p w:rsidR="00E25CC6" w:rsidRPr="00737159" w:rsidRDefault="00E25CC6" w:rsidP="00B46C0A">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number </w:t>
            </w:r>
            <w:r w:rsidRPr="00737159">
              <w:rPr>
                <w:rFonts w:ascii="Calibri" w:hAnsi="Calibri" w:cs="Calibri"/>
                <w:color w:val="000000"/>
                <w:sz w:val="18"/>
                <w:szCs w:val="18"/>
                <w:lang w:eastAsia="en-AU"/>
              </w:rPr>
              <w:t>(</w:t>
            </w:r>
            <w:r>
              <w:rPr>
                <w:rFonts w:ascii="Calibri" w:hAnsi="Calibri" w:cs="Calibri"/>
                <w:color w:val="000000"/>
                <w:sz w:val="18"/>
                <w:szCs w:val="18"/>
                <w:lang w:eastAsia="en-AU"/>
              </w:rPr>
              <w:t>000</w:t>
            </w:r>
            <w:r w:rsidRPr="00737159">
              <w:rPr>
                <w:rFonts w:ascii="Calibri" w:hAnsi="Calibri" w:cs="Calibri"/>
                <w:color w:val="000000"/>
                <w:sz w:val="18"/>
                <w:szCs w:val="18"/>
                <w:lang w:eastAsia="en-AU"/>
              </w:rPr>
              <w: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950</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is proposed to replace the 2015</w:t>
            </w:r>
            <w:r w:rsidRPr="00737159">
              <w:noBreakHyphen/>
              <w:t xml:space="preserve">16 performance measure </w:t>
            </w:r>
            <w:r>
              <w:t>‘</w:t>
            </w:r>
            <w:r w:rsidRPr="00737159">
              <w:t>Multi</w:t>
            </w:r>
            <w:r w:rsidRPr="00737159">
              <w:rPr>
                <w:rFonts w:eastAsia="MS Gothic" w:cs="MS Gothic" w:hint="eastAsia"/>
              </w:rPr>
              <w:t>‑</w:t>
            </w:r>
            <w:r w:rsidRPr="00737159">
              <w:t>Purpose Taxi Program: with wheelchair trips</w:t>
            </w:r>
            <w:r>
              <w:t>’</w:t>
            </w:r>
            <w:r w:rsidRPr="00737159">
              <w:t>. It has been replaced to focus on the subsidised taxi trips where a wheelchair or scooter lifting fee is also paid.</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EC123D">
            <w:pPr>
              <w:pStyle w:val="OGTabText"/>
              <w:rPr>
                <w:lang w:eastAsia="en-AU"/>
              </w:rPr>
            </w:pPr>
            <w:r w:rsidRPr="00FF058D">
              <w:rPr>
                <w:lang w:eastAsia="en-AU"/>
              </w:rPr>
              <w:t>Taxi and hire vehicle complaints assessed, investigated and closed</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3 450</w:t>
            </w:r>
          </w:p>
        </w:tc>
        <w:tc>
          <w:tcPr>
            <w:tcW w:w="992"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3 600</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3 600</w:t>
            </w:r>
          </w:p>
        </w:tc>
        <w:tc>
          <w:tcPr>
            <w:tcW w:w="908"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3 272</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EC123D">
            <w:pPr>
              <w:pStyle w:val="OGNotes"/>
            </w:pPr>
            <w:r w:rsidRPr="00FF058D">
              <w:t>This performance measure renames the 2015</w:t>
            </w:r>
            <w:r w:rsidRPr="00FF058D">
              <w:noBreakHyphen/>
              <w:t xml:space="preserve">16 performance measure </w:t>
            </w:r>
            <w:r>
              <w:t>‘</w:t>
            </w:r>
            <w:r w:rsidRPr="00FF058D">
              <w:t>Taxi and hire vehicle complaints and other feedback assessed, investigated and closed</w:t>
            </w:r>
            <w:r>
              <w:t>’</w:t>
            </w:r>
            <w:r w:rsidRPr="00FF058D">
              <w:t>. This new measure reports on the same activity as the previous measure with the exception of including general queries and therefore provides increased clarity.</w:t>
            </w:r>
          </w:p>
          <w:p w:rsidR="00E25CC6" w:rsidRPr="00FF058D" w:rsidRDefault="00E25CC6" w:rsidP="00032288">
            <w:pPr>
              <w:pStyle w:val="OGNotes"/>
            </w:pPr>
            <w:r w:rsidRPr="00FF058D">
              <w:t>The lower 2016</w:t>
            </w:r>
            <w:r w:rsidRPr="00FF058D">
              <w:noBreakHyphen/>
              <w:t>17 target reflects that only formal complaints are lodged through this process, and more general que</w:t>
            </w:r>
            <w:r>
              <w:t>ries are dealt with separately.</w:t>
            </w:r>
            <w:r w:rsidRPr="00FF058D">
              <w:t xml:space="preserve"> </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Taxi and hire vehicle compliance and enforcement interventions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19 200</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20 000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20 000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BF3E01">
            <w:pPr>
              <w:pStyle w:val="OGNotes"/>
            </w:pPr>
            <w:r w:rsidRPr="00737159">
              <w:t>The lower 2016</w:t>
            </w:r>
            <w:r w:rsidRPr="00737159">
              <w:noBreakHyphen/>
              <w:t>17 target reflects a change to a more targeted, risk</w:t>
            </w:r>
            <w:r>
              <w:noBreakHyphen/>
            </w:r>
            <w:r w:rsidRPr="00737159">
              <w:t>based approach to regulation which will impact the number of interventions.</w:t>
            </w:r>
          </w:p>
        </w:tc>
      </w:tr>
      <w:tr w:rsidR="00E25CC6" w:rsidRPr="00737159" w:rsidTr="009F0B90">
        <w:trPr>
          <w:cantSplit/>
        </w:trPr>
        <w:tc>
          <w:tcPr>
            <w:tcW w:w="3144" w:type="dxa"/>
            <w:tcBorders>
              <w:top w:val="single" w:sz="6" w:space="0" w:color="auto"/>
              <w:left w:val="nil"/>
              <w:bottom w:val="nil"/>
              <w:right w:val="nil"/>
            </w:tcBorders>
          </w:tcPr>
          <w:p w:rsidR="00E25CC6" w:rsidRPr="00737159" w:rsidRDefault="00E25CC6" w:rsidP="00DF0E54">
            <w:pPr>
              <w:keepNext/>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737159" w:rsidRDefault="00E25CC6" w:rsidP="00DF0E54">
            <w:pPr>
              <w:keepNext/>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737159" w:rsidRDefault="00E25CC6" w:rsidP="00DF0E5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Average wait time for conventional taxis booked to arrive at peak periods of demand</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minutes</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6C5CFD">
            <w:pPr>
              <w:pStyle w:val="OGNotes"/>
            </w:pPr>
            <w:r w:rsidRPr="00FF058D">
              <w:t>The 2015</w:t>
            </w:r>
            <w:r w:rsidRPr="00FF058D">
              <w:noBreakHyphen/>
              <w:t>16 expected outcome is lower than the 2015</w:t>
            </w:r>
            <w:r w:rsidRPr="00FF058D">
              <w:noBreakHyphen/>
              <w:t xml:space="preserve">16 target indicating reduced waiting times. This is due to the introduction of new taxi licensing arrangements which has increased the number of taxis offering conventional services. </w:t>
            </w:r>
          </w:p>
          <w:p w:rsidR="00E25CC6" w:rsidRPr="00737159" w:rsidRDefault="00E25CC6" w:rsidP="00032288">
            <w:pPr>
              <w:pStyle w:val="OGNotes"/>
            </w:pPr>
            <w:r w:rsidRPr="00FF058D">
              <w:t>The lower 2016</w:t>
            </w:r>
            <w:r w:rsidRPr="00FF058D">
              <w:noBreakHyphen/>
              <w:t>17 target reflects the continuation of the improvement in 2015</w:t>
            </w:r>
            <w:r w:rsidRPr="00FF058D">
              <w:noBreakHyphen/>
              <w:t>16.</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9909EC">
            <w:pPr>
              <w:pStyle w:val="OGTabText"/>
              <w:keepNext/>
              <w:rPr>
                <w:lang w:eastAsia="en-AU"/>
              </w:rPr>
            </w:pPr>
            <w:r w:rsidRPr="00737159">
              <w:rPr>
                <w:lang w:eastAsia="en-AU"/>
              </w:rPr>
              <w:t>Average wait time for wheelchair accessible taxis booked to arrive at peak periods of demand</w:t>
            </w:r>
          </w:p>
        </w:tc>
        <w:tc>
          <w:tcPr>
            <w:tcW w:w="907" w:type="dxa"/>
            <w:tcBorders>
              <w:top w:val="single" w:sz="6" w:space="0" w:color="auto"/>
              <w:left w:val="nil"/>
              <w:right w:val="nil"/>
            </w:tcBorders>
          </w:tcPr>
          <w:p w:rsidR="00E25CC6" w:rsidRPr="00737159" w:rsidRDefault="00E25CC6" w:rsidP="009909EC">
            <w:pPr>
              <w:keepNext/>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minutes</w:t>
            </w:r>
          </w:p>
        </w:tc>
        <w:tc>
          <w:tcPr>
            <w:tcW w:w="909" w:type="dxa"/>
            <w:tcBorders>
              <w:top w:val="single" w:sz="6" w:space="0" w:color="auto"/>
              <w:left w:val="nil"/>
              <w:right w:val="nil"/>
            </w:tcBorders>
            <w:shd w:val="clear" w:color="auto" w:fill="DCDCDC"/>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29</w:t>
            </w:r>
          </w:p>
        </w:tc>
        <w:tc>
          <w:tcPr>
            <w:tcW w:w="992" w:type="dxa"/>
            <w:tcBorders>
              <w:top w:val="single" w:sz="6" w:space="0" w:color="auto"/>
              <w:left w:val="nil"/>
              <w:right w:val="nil"/>
            </w:tcBorders>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29</w:t>
            </w:r>
          </w:p>
        </w:tc>
        <w:tc>
          <w:tcPr>
            <w:tcW w:w="907" w:type="dxa"/>
            <w:tcBorders>
              <w:top w:val="single" w:sz="6" w:space="0" w:color="auto"/>
              <w:left w:val="nil"/>
              <w:right w:val="nil"/>
            </w:tcBorders>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27</w:t>
            </w:r>
          </w:p>
        </w:tc>
        <w:tc>
          <w:tcPr>
            <w:tcW w:w="908" w:type="dxa"/>
            <w:tcBorders>
              <w:top w:val="single" w:sz="6" w:space="0" w:color="auto"/>
              <w:left w:val="nil"/>
              <w:right w:val="nil"/>
            </w:tcBorders>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28</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6C5CFD">
            <w:pPr>
              <w:pStyle w:val="OGNotes"/>
            </w:pPr>
            <w:r w:rsidRPr="00FF058D">
              <w:t>The 2015</w:t>
            </w:r>
            <w:r w:rsidRPr="00FF058D">
              <w:noBreakHyphen/>
              <w:t>16 expected outcome is higher than the 2015</w:t>
            </w:r>
            <w:r w:rsidRPr="00FF058D">
              <w:noBreakHyphen/>
              <w:t xml:space="preserve">16 target due to a decline in taxis offering wheelchair services in the past year contributing to longer waiting times. A review is underway to investigate strategies for increasing the supply of wheelchair services. </w:t>
            </w:r>
          </w:p>
          <w:p w:rsidR="00E25CC6" w:rsidRPr="00737159" w:rsidRDefault="00E25CC6" w:rsidP="00032288">
            <w:pPr>
              <w:pStyle w:val="OGNotes"/>
            </w:pPr>
            <w:r w:rsidRPr="00FF058D">
              <w:t>The higher 2016</w:t>
            </w:r>
            <w:r w:rsidRPr="00FF058D">
              <w:noBreakHyphen/>
              <w:t>17 target reflects an expectation that implementation of the outcome of the current review is unlikely to increase in taxis offering wheelchair services in the short term.</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Taxis and hire vehicles conform to safety and quality standards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82</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82</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80</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515AB">
            <w:pPr>
              <w:pStyle w:val="OGNotes"/>
            </w:pPr>
            <w:r w:rsidRPr="00737159">
              <w:t xml:space="preserve">This performance measure was proposed to be discontinued in the </w:t>
            </w:r>
            <w:r w:rsidRPr="000939BA">
              <w:rPr>
                <w:i w:val="0"/>
              </w:rPr>
              <w:t>2015</w:t>
            </w:r>
            <w:r w:rsidRPr="000939BA">
              <w:rPr>
                <w:i w:val="0"/>
              </w:rPr>
              <w:noBreakHyphen/>
              <w:t>16 Budget</w:t>
            </w:r>
            <w:r w:rsidRPr="00737159">
              <w:t>, however has been reinstated following the Public Accounts and Estimates Committee</w:t>
            </w:r>
            <w:r>
              <w:t>’</w:t>
            </w:r>
            <w:r w:rsidRPr="00737159">
              <w:t xml:space="preserve">s review of the </w:t>
            </w:r>
            <w:r w:rsidRPr="000939BA">
              <w:rPr>
                <w:i w:val="0"/>
              </w:rPr>
              <w:t>2015</w:t>
            </w:r>
            <w:r w:rsidRPr="000939BA">
              <w:rPr>
                <w:i w:val="0"/>
              </w:rPr>
              <w:noBreakHyphen/>
              <w:t>16 Budget Estimates</w:t>
            </w:r>
            <w:r w:rsidRPr="00737159">
              <w:t>.</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Taxi services online customer rating: overall satisfaction in metropolitan Melbourne</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score</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60.4</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60.4</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60.4</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Taxi services online customer rating: overall satisfaction in regional Victoria</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score</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72.3</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72.3</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72.3</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Taxi services online customer rating: safety and comfort of journeys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score</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69.7</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69.7</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69.7</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76</w:t>
            </w:r>
          </w:p>
        </w:tc>
      </w:tr>
      <w:tr w:rsidR="00E25CC6" w:rsidRPr="00737159" w:rsidTr="009F0B90">
        <w:trPr>
          <w:cantSplit/>
        </w:trPr>
        <w:tc>
          <w:tcPr>
            <w:tcW w:w="3144" w:type="dxa"/>
            <w:tcBorders>
              <w:top w:val="single" w:sz="6" w:space="0" w:color="auto"/>
              <w:left w:val="nil"/>
              <w:bottom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Taxi and hire vehicle: average speed of calls answered in the Taxi Services Commission call centre</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seconds</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240</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is proposed to replace the 2015</w:t>
            </w:r>
            <w:r w:rsidRPr="00737159">
              <w:noBreakHyphen/>
              <w:t xml:space="preserve">16 performance measure </w:t>
            </w:r>
            <w:r>
              <w:t>‘</w:t>
            </w:r>
            <w:r w:rsidRPr="00737159">
              <w:t>Taxi and hire vehicle: calls to the Taxi Services Commission call centre answered within 20 seconds</w:t>
            </w:r>
            <w:r>
              <w:t>’</w:t>
            </w:r>
            <w:r w:rsidRPr="00737159">
              <w:t>.</w:t>
            </w:r>
          </w:p>
          <w:p w:rsidR="00E25CC6" w:rsidRPr="00737159" w:rsidRDefault="00E25CC6" w:rsidP="00CE1EE8">
            <w:pPr>
              <w:pStyle w:val="OGNotes"/>
            </w:pPr>
            <w:r w:rsidRPr="00737159">
              <w:t>It has been amended to demonstrate the Taxi Services Commission</w:t>
            </w:r>
            <w:r>
              <w:t>’</w:t>
            </w:r>
            <w:r w:rsidRPr="00737159">
              <w:t>s responsiveness to industry and public enquiries. It is the Taxi Services Commission</w:t>
            </w:r>
            <w:r>
              <w:t>’</w:t>
            </w:r>
            <w:r w:rsidRPr="00737159">
              <w:t>s policy that the call centre resolves calls at this first point of contact rather than distribute them to other parts of the organisation.</w:t>
            </w:r>
          </w:p>
        </w:tc>
      </w:tr>
      <w:tr w:rsidR="00E25CC6" w:rsidRPr="00737159" w:rsidTr="00123B97">
        <w:trPr>
          <w:cantSplit/>
        </w:trPr>
        <w:tc>
          <w:tcPr>
            <w:tcW w:w="3144" w:type="dxa"/>
            <w:tcBorders>
              <w:top w:val="single" w:sz="6" w:space="0" w:color="auto"/>
              <w:left w:val="nil"/>
              <w:bottom w:val="single" w:sz="6" w:space="0" w:color="auto"/>
              <w:right w:val="nil"/>
            </w:tcBorders>
          </w:tcPr>
          <w:p w:rsidR="00E25CC6" w:rsidRPr="00737159" w:rsidRDefault="00E25CC6" w:rsidP="00032288">
            <w:pPr>
              <w:pStyle w:val="OGTabText"/>
              <w:rPr>
                <w:lang w:eastAsia="en-AU"/>
              </w:rPr>
            </w:pPr>
            <w:r w:rsidRPr="00737159">
              <w:rPr>
                <w:lang w:eastAsia="en-AU"/>
              </w:rPr>
              <w:t xml:space="preserve">Taxi and hire vehicle complaints </w:t>
            </w:r>
            <w:r>
              <w:rPr>
                <w:lang w:eastAsia="en-AU"/>
              </w:rPr>
              <w:t xml:space="preserve">investigated and closed within </w:t>
            </w:r>
            <w:r w:rsidRPr="00737159">
              <w:rPr>
                <w:lang w:eastAsia="en-AU"/>
              </w:rPr>
              <w:t>4</w:t>
            </w:r>
            <w:r>
              <w:rPr>
                <w:lang w:eastAsia="en-AU"/>
              </w:rPr>
              <w:t>5 </w:t>
            </w:r>
            <w:r w:rsidRPr="00737159">
              <w:rPr>
                <w:lang w:eastAsia="en-AU"/>
              </w:rPr>
              <w:t>days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85</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85</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85</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97</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Cost</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123B97">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Total output cost</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million</w:t>
            </w:r>
          </w:p>
        </w:tc>
        <w:tc>
          <w:tcPr>
            <w:tcW w:w="909" w:type="dxa"/>
            <w:tcBorders>
              <w:top w:val="nil"/>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89.2</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97.6</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90.0</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89.2</w:t>
            </w:r>
          </w:p>
        </w:tc>
      </w:tr>
      <w:tr w:rsidR="00E25CC6" w:rsidRPr="00737159" w:rsidTr="00CA26A5">
        <w:trPr>
          <w:cantSplit/>
        </w:trPr>
        <w:tc>
          <w:tcPr>
            <w:tcW w:w="7767" w:type="dxa"/>
            <w:gridSpan w:val="6"/>
            <w:tcBorders>
              <w:left w:val="nil"/>
              <w:bottom w:val="single" w:sz="6" w:space="0" w:color="auto"/>
              <w:right w:val="nil"/>
            </w:tcBorders>
          </w:tcPr>
          <w:p w:rsidR="00E25CC6" w:rsidRPr="00FF058D" w:rsidRDefault="00E25CC6" w:rsidP="00123B97">
            <w:pPr>
              <w:pStyle w:val="OGNotes"/>
            </w:pPr>
            <w:r w:rsidRPr="00FF058D">
              <w:t>The 2015</w:t>
            </w:r>
            <w:r w:rsidRPr="00FF058D">
              <w:noBreakHyphen/>
              <w:t>16 expected outcome is higher than the 2015</w:t>
            </w:r>
            <w:r w:rsidRPr="00FF058D">
              <w:noBreakHyphen/>
              <w:t>16 target due to earlier implementation of the taxi licence hardships support fund in 2015</w:t>
            </w:r>
            <w:r w:rsidRPr="00FF058D">
              <w:noBreakHyphen/>
              <w:t>16 and carryover of reform initiatives funded from 2014</w:t>
            </w:r>
            <w:r w:rsidRPr="00FF058D">
              <w:noBreakHyphen/>
              <w:t>15.</w:t>
            </w:r>
          </w:p>
          <w:p w:rsidR="00E25CC6" w:rsidRPr="00FF058D" w:rsidRDefault="00E25CC6" w:rsidP="00123B97">
            <w:pPr>
              <w:pStyle w:val="OGNotes"/>
            </w:pPr>
            <w:r w:rsidRPr="00FF058D">
              <w:t>The lower 2016</w:t>
            </w:r>
            <w:r w:rsidRPr="00FF058D">
              <w:noBreakHyphen/>
              <w:t>17 target is due to the funding profile of taxi initiatives.</w:t>
            </w:r>
          </w:p>
          <w:p w:rsidR="00E25CC6" w:rsidRPr="00FF058D" w:rsidRDefault="00E25CC6" w:rsidP="00123B97">
            <w:pPr>
              <w:pStyle w:val="OGNotes"/>
              <w:rPr>
                <w:rFonts w:cs="Calibri"/>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737159" w:rsidTr="00DF0E54">
        <w:trPr>
          <w:cantSplit/>
        </w:trPr>
        <w:tc>
          <w:tcPr>
            <w:tcW w:w="7767" w:type="dxa"/>
            <w:gridSpan w:val="6"/>
            <w:tcBorders>
              <w:top w:val="single" w:sz="6" w:space="0" w:color="auto"/>
              <w:left w:val="nil"/>
              <w:bottom w:val="nil"/>
              <w:right w:val="nil"/>
            </w:tcBorders>
          </w:tcPr>
          <w:p w:rsidR="00E25CC6" w:rsidRPr="00737159" w:rsidRDefault="00E25CC6" w:rsidP="009909EC">
            <w:pPr>
              <w:pStyle w:val="OGHeading2"/>
              <w:rPr>
                <w:lang w:eastAsia="en-AU"/>
              </w:rPr>
            </w:pPr>
            <w:r w:rsidRPr="00737159">
              <w:rPr>
                <w:lang w:eastAsia="en-AU"/>
              </w:rPr>
              <w:t>Train Services</w:t>
            </w:r>
          </w:p>
        </w:tc>
      </w:tr>
      <w:tr w:rsidR="00E25CC6" w:rsidRPr="00737159" w:rsidTr="00783D7E">
        <w:trPr>
          <w:cantSplit/>
        </w:trPr>
        <w:tc>
          <w:tcPr>
            <w:tcW w:w="7767" w:type="dxa"/>
            <w:gridSpan w:val="6"/>
            <w:tcBorders>
              <w:top w:val="nil"/>
              <w:left w:val="nil"/>
              <w:bottom w:val="single" w:sz="6" w:space="0" w:color="auto"/>
              <w:right w:val="nil"/>
            </w:tcBorders>
          </w:tcPr>
          <w:p w:rsidR="00E25CC6" w:rsidRPr="00737159" w:rsidRDefault="00E25CC6" w:rsidP="00BF3E01">
            <w:pPr>
              <w:pStyle w:val="OGTabText"/>
              <w:keepNext/>
              <w:rPr>
                <w:lang w:eastAsia="en-AU"/>
              </w:rPr>
            </w:pPr>
            <w:r w:rsidRPr="00737159">
              <w:rPr>
                <w:lang w:eastAsia="en-AU"/>
              </w:rPr>
              <w:t>This output delivers reliable and cost</w:t>
            </w:r>
            <w:r>
              <w:rPr>
                <w:lang w:eastAsia="en-AU"/>
              </w:rPr>
              <w:noBreakHyphen/>
            </w:r>
            <w:r w:rsidRPr="00737159">
              <w:rPr>
                <w:lang w:eastAsia="en-AU"/>
              </w:rPr>
              <w:t>effective train services and infrastructure investments across the Victorian rail network, including services delivered through contractual arrangements with private operators.</w:t>
            </w:r>
          </w:p>
        </w:tc>
      </w:tr>
      <w:tr w:rsidR="00E25CC6" w:rsidRPr="00737159" w:rsidTr="009F0B90">
        <w:trPr>
          <w:cantSplit/>
        </w:trPr>
        <w:tc>
          <w:tcPr>
            <w:tcW w:w="3144" w:type="dxa"/>
            <w:tcBorders>
              <w:top w:val="nil"/>
              <w:left w:val="nil"/>
              <w:bottom w:val="nil"/>
              <w:right w:val="nil"/>
            </w:tcBorders>
          </w:tcPr>
          <w:p w:rsidR="00E25CC6" w:rsidRPr="00737159" w:rsidRDefault="00E25CC6" w:rsidP="009909EC">
            <w:pPr>
              <w:keepNext/>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737159" w:rsidRDefault="00E25CC6" w:rsidP="009909EC">
            <w:pPr>
              <w:keepNext/>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737159" w:rsidRDefault="00E25CC6" w:rsidP="009909EC">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Passengers carried: metropolitan train services</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 (million)</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241.3</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234</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234</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227.5</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FC573C">
            <w:pPr>
              <w:pStyle w:val="OGNotes"/>
            </w:pPr>
            <w:r w:rsidRPr="00FF058D">
              <w:t>The higher 2016</w:t>
            </w:r>
            <w:r w:rsidRPr="00FF058D">
              <w:noBreakHyphen/>
              <w:t xml:space="preserve">17 target reflects an improvement in scheduled services and connectivity as well as initiatives such as </w:t>
            </w:r>
            <w:r w:rsidRPr="002E01B7">
              <w:t xml:space="preserve">More </w:t>
            </w:r>
            <w:r>
              <w:t>metropolitan train services</w:t>
            </w:r>
            <w:r w:rsidRPr="00FF058D">
              <w:t xml:space="preserve"> included as part of the </w:t>
            </w:r>
            <w:r w:rsidRPr="00FF058D">
              <w:rPr>
                <w:i w:val="0"/>
              </w:rPr>
              <w:t>2016</w:t>
            </w:r>
            <w:r w:rsidRPr="00FF058D">
              <w:rPr>
                <w:i w:val="0"/>
              </w:rPr>
              <w:noBreakHyphen/>
              <w:t>17 Budget</w:t>
            </w:r>
            <w:r w:rsidRPr="00FF058D">
              <w:t>.</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Passengers carried: regional train and coach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 (million)</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19.8</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18.2</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16.7</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15.0</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2015</w:t>
            </w:r>
            <w:r w:rsidRPr="00737159">
              <w:noBreakHyphen/>
              <w:t>16 expected outcome is higher than the 2015</w:t>
            </w:r>
            <w:r w:rsidRPr="00737159">
              <w:noBreakHyphen/>
              <w:t>16 target due to the impact of the opening of the Regional Rail Link and cessation of associated disruptions.</w:t>
            </w:r>
          </w:p>
          <w:p w:rsidR="00E25CC6" w:rsidRPr="00737159" w:rsidRDefault="00E25CC6" w:rsidP="00CE1EE8">
            <w:pPr>
              <w:pStyle w:val="OGNotes"/>
            </w:pPr>
            <w:r w:rsidRPr="00737159">
              <w:t>The higher 2016</w:t>
            </w:r>
            <w:r w:rsidRPr="00737159">
              <w:noBreakHyphen/>
              <w:t>17 target reflects further expected patronage growth following the opening of the Regional Rail Lin</w:t>
            </w:r>
            <w:r>
              <w:t>k and new funding provided for regional services u</w:t>
            </w:r>
            <w:r w:rsidRPr="00737159">
              <w:t xml:space="preserve">pgrades in the </w:t>
            </w:r>
            <w:r w:rsidRPr="00032288">
              <w:rPr>
                <w:i w:val="0"/>
              </w:rPr>
              <w:t>2016</w:t>
            </w:r>
            <w:r w:rsidRPr="00032288">
              <w:rPr>
                <w:i w:val="0"/>
              </w:rPr>
              <w:noBreakHyphen/>
              <w:t>17 Budget</w:t>
            </w:r>
            <w:r w:rsidRPr="00737159">
              <w:t xml:space="preserve">. </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Payments made for: metropolitan train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million</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760</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780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743</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738</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2015</w:t>
            </w:r>
            <w:r w:rsidRPr="00737159">
              <w:noBreakHyphen/>
              <w:t>16 expected outcome is higher than the 2015</w:t>
            </w:r>
            <w:r w:rsidRPr="00737159">
              <w:noBreakHyphen/>
              <w:t>16 target due to the inclusion of the Night Network and the rephasing of some franchisee contracted works from 2014</w:t>
            </w:r>
            <w:r w:rsidRPr="00737159">
              <w:noBreakHyphen/>
              <w:t>15 to 2015</w:t>
            </w:r>
            <w:r w:rsidRPr="00737159">
              <w:noBreakHyphen/>
              <w:t>16.</w:t>
            </w:r>
          </w:p>
          <w:p w:rsidR="00E25CC6" w:rsidRPr="00737159" w:rsidRDefault="00E25CC6" w:rsidP="00CE1EE8">
            <w:pPr>
              <w:pStyle w:val="OGNotes"/>
            </w:pPr>
            <w:r w:rsidRPr="00737159">
              <w:t>The higher 2016</w:t>
            </w:r>
            <w:r w:rsidRPr="00737159">
              <w:noBreakHyphen/>
              <w:t xml:space="preserve">17 target reflects the inclusion of the Night Network services and new funding in the </w:t>
            </w:r>
            <w:r w:rsidRPr="00032288">
              <w:rPr>
                <w:i w:val="0"/>
              </w:rPr>
              <w:t>2016</w:t>
            </w:r>
            <w:r w:rsidRPr="00032288">
              <w:rPr>
                <w:i w:val="0"/>
              </w:rPr>
              <w:noBreakHyphen/>
              <w:t>17 Budget</w:t>
            </w:r>
            <w:r w:rsidRPr="00737159">
              <w:t xml:space="preserve"> for </w:t>
            </w:r>
            <w:r w:rsidRPr="002E01B7">
              <w:t xml:space="preserve">More </w:t>
            </w:r>
            <w:r>
              <w:t>metropolitan train services</w:t>
            </w:r>
            <w:r w:rsidRPr="00737159">
              <w:t>.</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Payments made for: regional train and coach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million</w:t>
            </w:r>
          </w:p>
        </w:tc>
        <w:tc>
          <w:tcPr>
            <w:tcW w:w="909" w:type="dxa"/>
            <w:tcBorders>
              <w:top w:val="single" w:sz="6" w:space="0" w:color="auto"/>
              <w:left w:val="nil"/>
              <w:right w:val="nil"/>
            </w:tcBorders>
            <w:shd w:val="clear" w:color="auto" w:fill="DCDCDC"/>
          </w:tcPr>
          <w:p w:rsidR="00E25CC6" w:rsidRPr="00757908" w:rsidRDefault="00E25CC6" w:rsidP="00167E49">
            <w:pPr>
              <w:autoSpaceDE w:val="0"/>
              <w:autoSpaceDN w:val="0"/>
              <w:adjustRightInd w:val="0"/>
              <w:spacing w:after="0"/>
              <w:jc w:val="right"/>
              <w:rPr>
                <w:rFonts w:ascii="Calibri" w:hAnsi="Calibri" w:cs="Calibri"/>
                <w:sz w:val="19"/>
                <w:szCs w:val="22"/>
                <w:lang w:eastAsia="en-AU"/>
              </w:rPr>
            </w:pPr>
            <w:r w:rsidRPr="00757908">
              <w:rPr>
                <w:rFonts w:ascii="Calibri" w:hAnsi="Calibri" w:cs="Calibri"/>
                <w:sz w:val="19"/>
                <w:szCs w:val="22"/>
                <w:lang w:eastAsia="en-AU"/>
              </w:rPr>
              <w:t>4</w:t>
            </w:r>
            <w:r>
              <w:rPr>
                <w:rFonts w:ascii="Calibri" w:hAnsi="Calibri" w:cs="Calibri"/>
                <w:sz w:val="19"/>
                <w:szCs w:val="22"/>
                <w:lang w:eastAsia="en-AU"/>
              </w:rPr>
              <w:t>6</w:t>
            </w:r>
            <w:r w:rsidRPr="00757908">
              <w:rPr>
                <w:rFonts w:ascii="Calibri" w:hAnsi="Calibri" w:cs="Calibri"/>
                <w:sz w:val="19"/>
                <w:szCs w:val="22"/>
                <w:lang w:eastAsia="en-AU"/>
              </w:rPr>
              <w:t>8</w:t>
            </w:r>
          </w:p>
        </w:tc>
        <w:tc>
          <w:tcPr>
            <w:tcW w:w="992" w:type="dxa"/>
            <w:tcBorders>
              <w:top w:val="single" w:sz="6" w:space="0" w:color="auto"/>
              <w:left w:val="nil"/>
              <w:right w:val="nil"/>
            </w:tcBorders>
          </w:tcPr>
          <w:p w:rsidR="00E25CC6" w:rsidRPr="00757908" w:rsidRDefault="00E25CC6" w:rsidP="00CE1EE8">
            <w:pPr>
              <w:autoSpaceDE w:val="0"/>
              <w:autoSpaceDN w:val="0"/>
              <w:adjustRightInd w:val="0"/>
              <w:spacing w:after="0"/>
              <w:jc w:val="right"/>
              <w:rPr>
                <w:rFonts w:ascii="Calibri" w:hAnsi="Calibri" w:cs="Calibri"/>
                <w:sz w:val="19"/>
                <w:szCs w:val="22"/>
                <w:lang w:eastAsia="en-AU"/>
              </w:rPr>
            </w:pPr>
            <w:r w:rsidRPr="00757908">
              <w:rPr>
                <w:rFonts w:ascii="Calibri" w:hAnsi="Calibri" w:cs="Calibri"/>
                <w:sz w:val="19"/>
                <w:szCs w:val="22"/>
                <w:lang w:eastAsia="en-AU"/>
              </w:rPr>
              <w:t>420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369</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402</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2015</w:t>
            </w:r>
            <w:r w:rsidRPr="00737159">
              <w:noBreakHyphen/>
              <w:t>16 expected outcome is higher than the 2015</w:t>
            </w:r>
            <w:r w:rsidRPr="00737159">
              <w:noBreakHyphen/>
              <w:t>16 target due to an increase in services, and additional funding to ensure the sustainability of V/</w:t>
            </w:r>
            <w:r>
              <w:t>Li</w:t>
            </w:r>
            <w:r w:rsidRPr="00737159">
              <w:t>ne</w:t>
            </w:r>
            <w:r>
              <w:t>’</w:t>
            </w:r>
            <w:r w:rsidRPr="00737159">
              <w:t xml:space="preserve">s operations. </w:t>
            </w:r>
          </w:p>
          <w:p w:rsidR="00E25CC6" w:rsidRPr="00737159" w:rsidRDefault="00E25CC6" w:rsidP="00032288">
            <w:pPr>
              <w:pStyle w:val="OGNotes"/>
            </w:pPr>
            <w:r w:rsidRPr="00FF058D">
              <w:t>The higher 2016</w:t>
            </w:r>
            <w:r w:rsidRPr="00FF058D">
              <w:noBreakHyphen/>
              <w:t>17 target reflect</w:t>
            </w:r>
            <w:r>
              <w:t>s the new funding provided for regional services u</w:t>
            </w:r>
            <w:r w:rsidRPr="00FF058D">
              <w:t xml:space="preserve">pgrades and </w:t>
            </w:r>
            <w:r w:rsidRPr="002E01B7">
              <w:t>Regional rail sustainability</w:t>
            </w:r>
            <w:r w:rsidRPr="00FF058D">
              <w:t xml:space="preserve"> initiatives in the </w:t>
            </w:r>
            <w:r w:rsidRPr="00FF058D">
              <w:rPr>
                <w:i w:val="0"/>
              </w:rPr>
              <w:t>2016</w:t>
            </w:r>
            <w:r w:rsidRPr="00FF058D">
              <w:rPr>
                <w:i w:val="0"/>
              </w:rPr>
              <w:noBreakHyphen/>
              <w:t>17 Budget</w:t>
            </w:r>
            <w:r w:rsidRPr="00FF058D">
              <w:t>.</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Public railway crossings upgraded</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29</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29</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23</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FF058D">
              <w:t>The lower 2016</w:t>
            </w:r>
            <w:r w:rsidRPr="00FF058D">
              <w:noBreakHyphen/>
              <w:t>17 target reflects the number of projects that are scheduled and expected to be delivered within 2016</w:t>
            </w:r>
            <w:r w:rsidRPr="00FF058D">
              <w:noBreakHyphen/>
              <w:t>17. Projects within this measure often span across multiple years.</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Public transport network improvement: minor projects completed – train</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11</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032288">
            <w:pPr>
              <w:pStyle w:val="OGNotes"/>
            </w:pPr>
            <w:r w:rsidRPr="00FF058D">
              <w:t>The higher 2016</w:t>
            </w:r>
            <w:r w:rsidRPr="00FF058D">
              <w:noBreakHyphen/>
              <w:t xml:space="preserve">17 target reflects the </w:t>
            </w:r>
            <w:r w:rsidRPr="005B62E9">
              <w:t xml:space="preserve">Road and </w:t>
            </w:r>
            <w:r>
              <w:t>R</w:t>
            </w:r>
            <w:r w:rsidRPr="005B62E9">
              <w:t xml:space="preserve">ail </w:t>
            </w:r>
            <w:r>
              <w:t>M</w:t>
            </w:r>
            <w:r w:rsidRPr="005B62E9">
              <w:t xml:space="preserve">inor </w:t>
            </w:r>
            <w:r>
              <w:t>W</w:t>
            </w:r>
            <w:r w:rsidRPr="005B62E9">
              <w:t>orks</w:t>
            </w:r>
            <w:r w:rsidRPr="00FF058D">
              <w:t xml:space="preserve"> initiative in </w:t>
            </w:r>
            <w:r w:rsidRPr="00FF058D">
              <w:rPr>
                <w:i w:val="0"/>
              </w:rPr>
              <w:t>the 2016</w:t>
            </w:r>
            <w:r w:rsidRPr="00FF058D">
              <w:rPr>
                <w:i w:val="0"/>
              </w:rPr>
              <w:noBreakHyphen/>
              <w:t>17 Budget</w:t>
            </w:r>
            <w:r w:rsidRPr="00FF058D">
              <w:t>.</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FF058D" w:rsidRDefault="00E25CC6" w:rsidP="00CE1EE8">
            <w:pPr>
              <w:pStyle w:val="OGTabText"/>
              <w:rPr>
                <w:lang w:eastAsia="en-AU"/>
              </w:rPr>
            </w:pPr>
            <w:r w:rsidRPr="00FF058D">
              <w:rPr>
                <w:lang w:eastAsia="en-AU"/>
              </w:rPr>
              <w:t>Public transport network improvement: multimodal projects completed</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bottom w:val="single" w:sz="6" w:space="0" w:color="auto"/>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w:t>
            </w:r>
          </w:p>
        </w:tc>
        <w:tc>
          <w:tcPr>
            <w:tcW w:w="992"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w:t>
            </w:r>
          </w:p>
        </w:tc>
        <w:tc>
          <w:tcPr>
            <w:tcW w:w="908"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3</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FF058D" w:rsidRDefault="00E25CC6" w:rsidP="00CE1EE8">
            <w:pPr>
              <w:pStyle w:val="OGTabText"/>
              <w:rPr>
                <w:lang w:eastAsia="en-AU"/>
              </w:rPr>
            </w:pPr>
            <w:r w:rsidRPr="00FF058D">
              <w:rPr>
                <w:lang w:eastAsia="en-AU"/>
              </w:rPr>
              <w:t>Scheduled services delivered: metropolitan train</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99</w:t>
            </w:r>
          </w:p>
        </w:tc>
        <w:tc>
          <w:tcPr>
            <w:tcW w:w="992"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99</w:t>
            </w:r>
          </w:p>
        </w:tc>
        <w:tc>
          <w:tcPr>
            <w:tcW w:w="907"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99</w:t>
            </w:r>
          </w:p>
        </w:tc>
        <w:tc>
          <w:tcPr>
            <w:tcW w:w="908" w:type="dxa"/>
            <w:tcBorders>
              <w:top w:val="single" w:sz="6" w:space="0" w:color="auto"/>
              <w:left w:val="nil"/>
              <w:bottom w:val="single" w:sz="6" w:space="0" w:color="auto"/>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99</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9909EC">
            <w:pPr>
              <w:pStyle w:val="OGTabText"/>
              <w:keepNext/>
              <w:rPr>
                <w:lang w:eastAsia="en-AU"/>
              </w:rPr>
            </w:pPr>
            <w:r w:rsidRPr="00FF058D">
              <w:rPr>
                <w:lang w:eastAsia="en-AU"/>
              </w:rPr>
              <w:t>Scheduled services delivered: regional train</w:t>
            </w:r>
          </w:p>
        </w:tc>
        <w:tc>
          <w:tcPr>
            <w:tcW w:w="907" w:type="dxa"/>
            <w:tcBorders>
              <w:top w:val="single" w:sz="6" w:space="0" w:color="auto"/>
              <w:left w:val="nil"/>
              <w:right w:val="nil"/>
            </w:tcBorders>
          </w:tcPr>
          <w:p w:rsidR="00E25CC6" w:rsidRPr="00FF058D" w:rsidRDefault="00E25CC6" w:rsidP="009909EC">
            <w:pPr>
              <w:keepNext/>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per cent</w:t>
            </w:r>
          </w:p>
        </w:tc>
        <w:tc>
          <w:tcPr>
            <w:tcW w:w="909" w:type="dxa"/>
            <w:tcBorders>
              <w:top w:val="single" w:sz="6" w:space="0" w:color="auto"/>
              <w:left w:val="nil"/>
              <w:right w:val="nil"/>
            </w:tcBorders>
            <w:shd w:val="clear" w:color="auto" w:fill="DCDCDC"/>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98.5</w:t>
            </w:r>
          </w:p>
        </w:tc>
        <w:tc>
          <w:tcPr>
            <w:tcW w:w="992"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96.7</w:t>
            </w:r>
          </w:p>
        </w:tc>
        <w:tc>
          <w:tcPr>
            <w:tcW w:w="907"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98.5</w:t>
            </w:r>
          </w:p>
        </w:tc>
        <w:tc>
          <w:tcPr>
            <w:tcW w:w="908" w:type="dxa"/>
            <w:tcBorders>
              <w:top w:val="single" w:sz="6" w:space="0" w:color="auto"/>
              <w:left w:val="nil"/>
              <w:right w:val="nil"/>
            </w:tcBorders>
          </w:tcPr>
          <w:p w:rsidR="00E25CC6" w:rsidRPr="00FF058D" w:rsidRDefault="00E25CC6" w:rsidP="009909EC">
            <w:pPr>
              <w:keepNext/>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98.6</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A774D6">
            <w:pPr>
              <w:pStyle w:val="OGNotes"/>
            </w:pPr>
            <w:r w:rsidRPr="00FF058D">
              <w:t>The 2015</w:t>
            </w:r>
            <w:r w:rsidRPr="00FF058D">
              <w:noBreakHyphen/>
              <w:t>16 expected outcome reflects a decrease in service delivery performance as a result of recent V/Line infrastructure and wheel wear issues which have since been addressed.</w:t>
            </w:r>
          </w:p>
          <w:p w:rsidR="00E25CC6" w:rsidRPr="00FF058D" w:rsidRDefault="00E25CC6" w:rsidP="00032288">
            <w:pPr>
              <w:pStyle w:val="OGNotes"/>
            </w:pPr>
            <w:r w:rsidRPr="00FF058D">
              <w:t xml:space="preserve">The methodology used to calculate this measure records variances to the daily timetable provided by </w:t>
            </w:r>
            <w:r w:rsidRPr="00737159">
              <w:t>V/</w:t>
            </w:r>
            <w:r>
              <w:t>Li</w:t>
            </w:r>
            <w:r w:rsidRPr="00737159">
              <w:t>ne</w:t>
            </w:r>
            <w:r w:rsidRPr="00FF058D">
              <w:t xml:space="preserve"> four days prior to the services being operated. If the service changes resulting from the V/Line wheel</w:t>
            </w:r>
            <w:r>
              <w:noBreakHyphen/>
            </w:r>
            <w:r w:rsidRPr="00FF058D">
              <w:t>wear issue had not been put through the timetable, the 2015</w:t>
            </w:r>
            <w:r w:rsidRPr="00FF058D">
              <w:noBreakHyphen/>
              <w:t xml:space="preserve">16 expected </w:t>
            </w:r>
            <w:r>
              <w:t xml:space="preserve">outcome </w:t>
            </w:r>
            <w:r w:rsidRPr="00FF058D">
              <w:t xml:space="preserve">would be closer to 92.7 per cent. </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Total kilometres scheduled: metropolitan train</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km (million)</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22.8</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22.6</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22.8</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22.4</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Total kilometres scheduled: regional train and coach</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km (million)</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24.7</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24.2</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23.6</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23.9</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A774D6">
            <w:pPr>
              <w:pStyle w:val="OGNotes"/>
            </w:pPr>
            <w:r w:rsidRPr="00FF058D">
              <w:t>The higher 2015</w:t>
            </w:r>
            <w:r w:rsidRPr="00FF058D">
              <w:noBreakHyphen/>
              <w:t xml:space="preserve">16 expected outcome reflects the increase in regional coach services for the Night Network. </w:t>
            </w:r>
          </w:p>
          <w:p w:rsidR="00E25CC6" w:rsidRPr="00FF058D" w:rsidRDefault="00E25CC6" w:rsidP="00A774D6">
            <w:pPr>
              <w:pStyle w:val="OGNotes"/>
            </w:pPr>
            <w:r w:rsidRPr="00FF058D">
              <w:t>The higher 2016</w:t>
            </w:r>
            <w:r w:rsidRPr="00FF058D">
              <w:noBreakHyphen/>
              <w:t>17 target includes projected regional coach kilometres for the Night Network and</w:t>
            </w:r>
            <w:r>
              <w:t xml:space="preserve"> reflects funding provided for regional services u</w:t>
            </w:r>
            <w:r w:rsidRPr="00FF058D">
              <w:t xml:space="preserve">pgrades in the </w:t>
            </w:r>
            <w:r w:rsidRPr="00FF058D">
              <w:rPr>
                <w:i w:val="0"/>
              </w:rPr>
              <w:t>2016</w:t>
            </w:r>
            <w:r w:rsidRPr="00FF058D">
              <w:rPr>
                <w:i w:val="0"/>
              </w:rPr>
              <w:noBreakHyphen/>
              <w:t>17 Budget</w:t>
            </w:r>
            <w:r w:rsidRPr="00FF058D">
              <w:t>.</w:t>
            </w:r>
          </w:p>
          <w:p w:rsidR="00E25CC6" w:rsidRPr="00737159" w:rsidRDefault="00E25CC6" w:rsidP="00BF3E01">
            <w:pPr>
              <w:pStyle w:val="OGNotes"/>
            </w:pPr>
            <w:r w:rsidRPr="00FF058D">
              <w:t xml:space="preserve">The methodology used to calculate this measure records variances to the daily timetable provided by </w:t>
            </w:r>
            <w:r w:rsidRPr="00737159">
              <w:t>V/</w:t>
            </w:r>
            <w:r>
              <w:t>Li</w:t>
            </w:r>
            <w:r w:rsidRPr="00737159">
              <w:t>ne</w:t>
            </w:r>
            <w:r w:rsidRPr="00FF058D">
              <w:t xml:space="preserve"> four days prior to the services being operated. If the service changes resulting from the V/Line wheel</w:t>
            </w:r>
            <w:r>
              <w:noBreakHyphen/>
            </w:r>
            <w:r w:rsidRPr="00FF058D">
              <w:t>wear issue had not been put through the timetable, the 2015</w:t>
            </w:r>
            <w:r w:rsidRPr="00FF058D">
              <w:noBreakHyphen/>
              <w:t>16 expected outcome would be closer to 23.8</w:t>
            </w:r>
            <w:r>
              <w:t> </w:t>
            </w:r>
            <w:r w:rsidRPr="00FF058D">
              <w:t>km.</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Availability of rolling stock: metropolitan trains</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656F5B">
            <w:pPr>
              <w:pStyle w:val="OGTabText"/>
              <w:rPr>
                <w:lang w:eastAsia="en-AU"/>
              </w:rPr>
            </w:pPr>
            <w:r w:rsidRPr="00737159">
              <w:rPr>
                <w:lang w:eastAsia="en-AU"/>
              </w:rPr>
              <w:t>Availability of rolling stock: VLocity</w:t>
            </w:r>
            <w:r>
              <w:rPr>
                <w:lang w:eastAsia="en-AU"/>
              </w:rPr>
              <w:t> </w:t>
            </w:r>
            <w:r w:rsidRPr="00737159">
              <w:rPr>
                <w:lang w:eastAsia="en-AU"/>
              </w:rPr>
              <w:t>fleet</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92.5</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90.1</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032288">
            <w:pPr>
              <w:pStyle w:val="OGNotes"/>
            </w:pPr>
            <w:r w:rsidRPr="00FF058D">
              <w:t>The expected outcome for 2015</w:t>
            </w:r>
            <w:r w:rsidRPr="00FF058D">
              <w:noBreakHyphen/>
              <w:t>16 is lower than the 2015</w:t>
            </w:r>
            <w:r w:rsidRPr="00FF058D">
              <w:noBreakHyphen/>
              <w:t>16 target due to the V/Line infrastructure and wheel</w:t>
            </w:r>
            <w:r>
              <w:noBreakHyphen/>
            </w:r>
            <w:r w:rsidRPr="00FF058D">
              <w:t>wear issues. These issues have since been addressed.</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CE1EE8">
            <w:pPr>
              <w:pStyle w:val="OGTabText"/>
              <w:rPr>
                <w:lang w:eastAsia="en-AU"/>
              </w:rPr>
            </w:pPr>
            <w:r w:rsidRPr="00FF058D">
              <w:rPr>
                <w:lang w:eastAsia="en-AU"/>
              </w:rPr>
              <w:t>Calls to the Public Transport Victoria call centre answered within 30 seconds</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per cent</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80</w:t>
            </w:r>
          </w:p>
        </w:tc>
        <w:tc>
          <w:tcPr>
            <w:tcW w:w="992"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76</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80</w:t>
            </w:r>
          </w:p>
        </w:tc>
        <w:tc>
          <w:tcPr>
            <w:tcW w:w="908"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81</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E705DF">
            <w:pPr>
              <w:pStyle w:val="OGNotes"/>
            </w:pPr>
            <w:r w:rsidRPr="00FF058D">
              <w:t>The expected outcome for 2015</w:t>
            </w:r>
            <w:r w:rsidRPr="00FF058D">
              <w:noBreakHyphen/>
              <w:t>16 is lower than the 2015</w:t>
            </w:r>
            <w:r w:rsidRPr="00FF058D">
              <w:noBreakHyphen/>
              <w:t>16 target due to V/Line infrastructure and wheel</w:t>
            </w:r>
            <w:r>
              <w:noBreakHyphen/>
            </w:r>
            <w:r w:rsidRPr="00FF058D">
              <w:t xml:space="preserve">wear issues </w:t>
            </w:r>
            <w:r>
              <w:t>and service changes, including new Night Network services</w:t>
            </w:r>
            <w:r w:rsidRPr="00FF058D">
              <w:t>.</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Customer satisfaction index: metropolitan train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score</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72.2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71.6</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70.1</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72</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higher 2016</w:t>
            </w:r>
            <w:r w:rsidRPr="00737159">
              <w:noBreakHyphen/>
              <w:t>17 target reflects expected improved customer satisfaction with metropolitan train services.</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Customer satisfaction index: regional train services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score</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77</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76</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77</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76</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 xml:space="preserve">Metropolitan fare compliance rate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96.5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replaces the 2015</w:t>
            </w:r>
            <w:r w:rsidRPr="00737159">
              <w:noBreakHyphen/>
              <w:t xml:space="preserve">16 performance measure </w:t>
            </w:r>
            <w:r>
              <w:t>‘</w:t>
            </w:r>
            <w:r w:rsidRPr="00737159">
              <w:t>Metropolitan fare evasion rate</w:t>
            </w:r>
            <w:r>
              <w:t>’</w:t>
            </w:r>
            <w:r w:rsidRPr="00737159">
              <w:t xml:space="preserve">. The new measure reports on the same activity as the previous measure however has been amended for increased clarity. This performance measure reports across all Metropolitan public transport modes. </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Public transport network improvement: performance against master project schedule</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Major periodic maintenance works completed against plan: metropolitan train network</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Major periodic maintenance works completed against plan: regional train network</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96</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Service punctuality for metropolitan train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92.3</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92.5</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92.7</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BF3E01">
            <w:pPr>
              <w:pStyle w:val="OGNotes"/>
            </w:pPr>
            <w:r w:rsidRPr="00737159">
              <w:t>Metropolitan trains are considered on</w:t>
            </w:r>
            <w:r>
              <w:t xml:space="preserve"> </w:t>
            </w:r>
            <w:r w:rsidRPr="00737159">
              <w:t>time if they arrive no more than four minutes and 59 seconds after the scheduled time in the timetable.</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Service punctuality for regional train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86</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w:t>
            </w:r>
          </w:p>
        </w:tc>
      </w:tr>
      <w:tr w:rsidR="00E25CC6" w:rsidRPr="00737159" w:rsidTr="00123B97">
        <w:trPr>
          <w:cantSplit/>
        </w:trPr>
        <w:tc>
          <w:tcPr>
            <w:tcW w:w="7767" w:type="dxa"/>
            <w:gridSpan w:val="6"/>
            <w:tcBorders>
              <w:top w:val="nil"/>
              <w:left w:val="nil"/>
              <w:bottom w:val="single" w:sz="6" w:space="0" w:color="auto"/>
              <w:right w:val="nil"/>
            </w:tcBorders>
          </w:tcPr>
          <w:p w:rsidR="00E25CC6" w:rsidRPr="00FF058D" w:rsidRDefault="00E25CC6" w:rsidP="00A774D6">
            <w:pPr>
              <w:pStyle w:val="OGNotes"/>
            </w:pPr>
            <w:r w:rsidRPr="00FF058D">
              <w:t>The 2015</w:t>
            </w:r>
            <w:r w:rsidRPr="00FF058D">
              <w:noBreakHyphen/>
              <w:t>16 expected outcome is lower than the 2015</w:t>
            </w:r>
            <w:r w:rsidRPr="00FF058D">
              <w:noBreakHyphen/>
              <w:t>16 target as it reflects the impact of recent V/Line infrastructure and wheel</w:t>
            </w:r>
            <w:r>
              <w:noBreakHyphen/>
            </w:r>
            <w:r w:rsidRPr="00FF058D">
              <w:t>wear issues which have since been addressed.</w:t>
            </w:r>
          </w:p>
          <w:p w:rsidR="00E25CC6" w:rsidRPr="00FF058D" w:rsidRDefault="00E25CC6" w:rsidP="00BF3E01">
            <w:pPr>
              <w:pStyle w:val="OGNotes"/>
            </w:pPr>
            <w:r w:rsidRPr="00FF058D">
              <w:t>Long</w:t>
            </w:r>
            <w:r w:rsidRPr="00FF058D">
              <w:noBreakHyphen/>
              <w:t>distance regional trains are considered on</w:t>
            </w:r>
            <w:r>
              <w:t xml:space="preserve"> </w:t>
            </w:r>
            <w:r w:rsidRPr="00FF058D">
              <w:t>time if they arrive no more than 10 minutes and 59 seconds late at their destination. Short</w:t>
            </w:r>
            <w:r w:rsidRPr="00FF058D">
              <w:noBreakHyphen/>
              <w:t>distance regional trains are considered on</w:t>
            </w:r>
            <w:r>
              <w:t xml:space="preserve"> </w:t>
            </w:r>
            <w:r w:rsidRPr="00FF058D">
              <w:t>time if they arrive no more than five minutes and 59 seconds late at their destination.</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Cost</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 xml:space="preserve"> </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123B97">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Total output cost</w:t>
            </w:r>
          </w:p>
        </w:tc>
        <w:tc>
          <w:tcPr>
            <w:tcW w:w="907" w:type="dxa"/>
            <w:tcBorders>
              <w:top w:val="nil"/>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 million</w:t>
            </w:r>
          </w:p>
        </w:tc>
        <w:tc>
          <w:tcPr>
            <w:tcW w:w="909" w:type="dxa"/>
            <w:tcBorders>
              <w:top w:val="nil"/>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Pr>
                <w:rFonts w:ascii="Calibri" w:hAnsi="Calibri" w:cs="Calibri"/>
                <w:sz w:val="19"/>
                <w:szCs w:val="22"/>
                <w:lang w:eastAsia="en-AU"/>
              </w:rPr>
              <w:t>2 952</w:t>
            </w:r>
            <w:r w:rsidRPr="00FF058D">
              <w:rPr>
                <w:rFonts w:ascii="Calibri" w:hAnsi="Calibri" w:cs="Calibri"/>
                <w:sz w:val="19"/>
                <w:szCs w:val="22"/>
                <w:lang w:eastAsia="en-AU"/>
              </w:rPr>
              <w:t>.6</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2 803.8</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2 755.2</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2 760.2</w:t>
            </w:r>
          </w:p>
        </w:tc>
      </w:tr>
      <w:tr w:rsidR="00E25CC6" w:rsidRPr="00737159" w:rsidTr="00CA26A5">
        <w:trPr>
          <w:cantSplit/>
        </w:trPr>
        <w:tc>
          <w:tcPr>
            <w:tcW w:w="7767" w:type="dxa"/>
            <w:gridSpan w:val="6"/>
            <w:tcBorders>
              <w:left w:val="nil"/>
              <w:bottom w:val="single" w:sz="6" w:space="0" w:color="auto"/>
              <w:right w:val="nil"/>
            </w:tcBorders>
          </w:tcPr>
          <w:p w:rsidR="00E25CC6" w:rsidRPr="00FF058D" w:rsidRDefault="00E25CC6" w:rsidP="00123B97">
            <w:pPr>
              <w:pStyle w:val="OGNotes"/>
            </w:pPr>
            <w:r w:rsidRPr="00FF058D">
              <w:t>The higher 2016</w:t>
            </w:r>
            <w:r w:rsidRPr="00FF058D">
              <w:noBreakHyphen/>
              <w:t xml:space="preserve">17 target is primarily due to new funding included in the </w:t>
            </w:r>
            <w:r w:rsidRPr="00FF058D">
              <w:rPr>
                <w:i w:val="0"/>
              </w:rPr>
              <w:t>2016</w:t>
            </w:r>
            <w:r w:rsidRPr="00FF058D">
              <w:rPr>
                <w:i w:val="0"/>
              </w:rPr>
              <w:noBreakHyphen/>
              <w:t>17 Budget</w:t>
            </w:r>
            <w:r w:rsidRPr="00FF058D">
              <w:t xml:space="preserve"> for various initiatives, an increase in the capital assets charge as a result of investment in infrastructure projects and a reallocation of costs across outputs.</w:t>
            </w:r>
          </w:p>
          <w:p w:rsidR="00E25CC6" w:rsidRPr="00FF058D" w:rsidRDefault="00E25CC6" w:rsidP="00123B97">
            <w:pPr>
              <w:pStyle w:val="OGNotes"/>
              <w:rPr>
                <w:rFonts w:cs="Calibri"/>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737159" w:rsidTr="00DF0E54">
        <w:trPr>
          <w:cantSplit/>
        </w:trPr>
        <w:tc>
          <w:tcPr>
            <w:tcW w:w="7767" w:type="dxa"/>
            <w:gridSpan w:val="6"/>
            <w:tcBorders>
              <w:top w:val="single" w:sz="6" w:space="0" w:color="auto"/>
              <w:left w:val="nil"/>
              <w:bottom w:val="nil"/>
              <w:right w:val="nil"/>
            </w:tcBorders>
          </w:tcPr>
          <w:p w:rsidR="00E25CC6" w:rsidRPr="00737159" w:rsidRDefault="00E25CC6" w:rsidP="00CE1EE8">
            <w:pPr>
              <w:pStyle w:val="OGHeading2"/>
              <w:rPr>
                <w:lang w:eastAsia="en-AU"/>
              </w:rPr>
            </w:pPr>
            <w:r w:rsidRPr="00737159">
              <w:rPr>
                <w:lang w:eastAsia="en-AU"/>
              </w:rPr>
              <w:t xml:space="preserve">Tram Services </w:t>
            </w:r>
          </w:p>
        </w:tc>
      </w:tr>
      <w:tr w:rsidR="00E25CC6" w:rsidRPr="00737159" w:rsidTr="00783D7E">
        <w:trPr>
          <w:cantSplit/>
        </w:trPr>
        <w:tc>
          <w:tcPr>
            <w:tcW w:w="7767" w:type="dxa"/>
            <w:gridSpan w:val="6"/>
            <w:tcBorders>
              <w:top w:val="nil"/>
              <w:left w:val="nil"/>
              <w:bottom w:val="single" w:sz="6" w:space="0" w:color="auto"/>
              <w:right w:val="nil"/>
            </w:tcBorders>
          </w:tcPr>
          <w:p w:rsidR="00E25CC6" w:rsidRPr="00737159" w:rsidRDefault="00E25CC6" w:rsidP="00C515AB">
            <w:pPr>
              <w:pStyle w:val="OGTabText"/>
              <w:rPr>
                <w:lang w:eastAsia="en-AU"/>
              </w:rPr>
            </w:pPr>
            <w:r w:rsidRPr="00737159">
              <w:rPr>
                <w:lang w:eastAsia="en-AU"/>
              </w:rPr>
              <w:t>This output delivers reliable and cost-effective tram services and infrastructure investments, including public transport services delivered through contractual arrangements with private operators.</w:t>
            </w:r>
          </w:p>
        </w:tc>
      </w:tr>
      <w:tr w:rsidR="00E25CC6" w:rsidRPr="00737159" w:rsidTr="009F0B90">
        <w:trPr>
          <w:cantSplit/>
        </w:trPr>
        <w:tc>
          <w:tcPr>
            <w:tcW w:w="3144" w:type="dxa"/>
            <w:tcBorders>
              <w:top w:val="nil"/>
              <w:left w:val="nil"/>
              <w:bottom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nil"/>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Level access tram stop upgraded</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lower 2016</w:t>
            </w:r>
            <w:r w:rsidRPr="00737159">
              <w:noBreakHyphen/>
              <w:t>17 target reflects the planned number of level access tram stop upgrades scheduled to be completed in 2016</w:t>
            </w:r>
            <w:r w:rsidRPr="00737159">
              <w:noBreakHyphen/>
              <w:t>17.</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Passengers carried: tram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 (million)</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200.1</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195.0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182.9</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182.1</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2015</w:t>
            </w:r>
            <w:r w:rsidRPr="00737159">
              <w:noBreakHyphen/>
              <w:t>16 expected outcome is higher than the 2015</w:t>
            </w:r>
            <w:r w:rsidRPr="00737159">
              <w:noBreakHyphen/>
              <w:t>16 target due to strong uptake of the Free Tram Zone.</w:t>
            </w:r>
          </w:p>
          <w:p w:rsidR="00E25CC6" w:rsidRPr="00737159" w:rsidRDefault="00E25CC6" w:rsidP="00CE1EE8">
            <w:pPr>
              <w:pStyle w:val="OGNotes"/>
            </w:pPr>
            <w:r w:rsidRPr="00737159">
              <w:t>The higher 2016</w:t>
            </w:r>
            <w:r w:rsidRPr="00737159">
              <w:noBreakHyphen/>
              <w:t>17 target reflects an expected increase in the number of services and continued patronage in the Free Tram Zone.</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Payments made for: tram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million</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200</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206</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202</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189</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lower 2016</w:t>
            </w:r>
            <w:r w:rsidRPr="00737159">
              <w:noBreakHyphen/>
              <w:t>17 target reflects the phasing of contractual obligations from one year to the next.</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 xml:space="preserve">Progress of Tram procurement and supporting infrastructure </w:t>
            </w:r>
            <w:r>
              <w:rPr>
                <w:lang w:eastAsia="en-AU"/>
              </w:rPr>
              <w:t>–</w:t>
            </w:r>
            <w:r w:rsidRPr="00737159">
              <w:rPr>
                <w:lang w:eastAsia="en-AU"/>
              </w:rPr>
              <w:t xml:space="preserve"> cumulative project expenditure</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93</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84</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72</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55</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renames the 2015</w:t>
            </w:r>
            <w:r w:rsidRPr="00737159">
              <w:noBreakHyphen/>
              <w:t xml:space="preserve">16 performance measure </w:t>
            </w:r>
            <w:r>
              <w:t>‘</w:t>
            </w:r>
            <w:r w:rsidRPr="00737159">
              <w:t>Tram – cumulative procurement of new rolling stock</w:t>
            </w:r>
            <w:r>
              <w:t>’</w:t>
            </w:r>
            <w:r w:rsidRPr="00737159">
              <w:t>. The new measure reports on the same activity as the previous measure however has been amended for increased clarity.</w:t>
            </w:r>
          </w:p>
          <w:p w:rsidR="00E25CC6" w:rsidRPr="00737159" w:rsidRDefault="00E25CC6" w:rsidP="00CE1EE8">
            <w:pPr>
              <w:pStyle w:val="OGNotes"/>
            </w:pPr>
            <w:r w:rsidRPr="00737159">
              <w:t>The 2015</w:t>
            </w:r>
            <w:r w:rsidRPr="00737159">
              <w:noBreakHyphen/>
              <w:t>16 expected outcome is higher than the 2015</w:t>
            </w:r>
            <w:r w:rsidRPr="00737159">
              <w:noBreakHyphen/>
              <w:t>16 target due to the purchase of new rolling stock ahead of schedule.</w:t>
            </w:r>
          </w:p>
          <w:p w:rsidR="00E25CC6" w:rsidRPr="00737159" w:rsidRDefault="00E25CC6" w:rsidP="00CE1EE8">
            <w:pPr>
              <w:pStyle w:val="OGNotes"/>
            </w:pPr>
            <w:r w:rsidRPr="00737159">
              <w:t>The higher 2016</w:t>
            </w:r>
            <w:r w:rsidRPr="00737159">
              <w:noBreakHyphen/>
              <w:t xml:space="preserve">17 target reflects the cumulative progress of the project. </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94948">
            <w:pPr>
              <w:pStyle w:val="OGTabText"/>
              <w:rPr>
                <w:lang w:eastAsia="en-AU"/>
              </w:rPr>
            </w:pPr>
            <w:r w:rsidRPr="00737159">
              <w:rPr>
                <w:lang w:eastAsia="en-AU"/>
              </w:rPr>
              <w:t xml:space="preserve">Public transport network improvement: minor projects completed </w:t>
            </w:r>
            <w:r>
              <w:rPr>
                <w:lang w:eastAsia="en-AU"/>
              </w:rPr>
              <w:t>–</w:t>
            </w:r>
            <w:r w:rsidRPr="00737159">
              <w:rPr>
                <w:lang w:eastAsia="en-AU"/>
              </w:rPr>
              <w:t xml:space="preserve"> tram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records the number of minor projects that have a budget of less than $50 million.</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Scheduled services delivered: tram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99.5</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99.1</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BA1E88">
            <w:pPr>
              <w:pStyle w:val="OGNotes"/>
            </w:pPr>
            <w:r w:rsidRPr="00FF058D">
              <w:t>The lower 2016</w:t>
            </w:r>
            <w:r w:rsidRPr="00FF058D">
              <w:noBreakHyphen/>
              <w:t>17 target reflects a change in the methodology which provides a more accurate measure of punctuality.</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CE1EE8">
            <w:pPr>
              <w:pStyle w:val="OGTabText"/>
              <w:rPr>
                <w:lang w:eastAsia="en-AU"/>
              </w:rPr>
            </w:pPr>
            <w:r w:rsidRPr="00FF058D">
              <w:rPr>
                <w:lang w:eastAsia="en-AU"/>
              </w:rPr>
              <w:t>Total kilometres scheduled: tram</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km (million)</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23.7</w:t>
            </w:r>
          </w:p>
        </w:tc>
        <w:tc>
          <w:tcPr>
            <w:tcW w:w="992"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23.5</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23.1</w:t>
            </w:r>
          </w:p>
        </w:tc>
        <w:tc>
          <w:tcPr>
            <w:tcW w:w="908"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23.7</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CE1EE8">
            <w:pPr>
              <w:pStyle w:val="OGNotes"/>
            </w:pPr>
            <w:r w:rsidRPr="00FF058D">
              <w:t>The higher 2016</w:t>
            </w:r>
            <w:r w:rsidRPr="00FF058D">
              <w:noBreakHyphen/>
              <w:t>17 target reflects the timetable change and introduction of the Night Network in January 2016.</w:t>
            </w:r>
          </w:p>
        </w:tc>
      </w:tr>
      <w:tr w:rsidR="00E25CC6" w:rsidRPr="00737159" w:rsidTr="009F0B90">
        <w:trPr>
          <w:cantSplit/>
        </w:trPr>
        <w:tc>
          <w:tcPr>
            <w:tcW w:w="3144" w:type="dxa"/>
            <w:tcBorders>
              <w:top w:val="single" w:sz="6" w:space="0" w:color="auto"/>
              <w:left w:val="nil"/>
              <w:right w:val="nil"/>
            </w:tcBorders>
          </w:tcPr>
          <w:p w:rsidR="00E25CC6" w:rsidRPr="00FF058D" w:rsidRDefault="00E25CC6" w:rsidP="00CE1EE8">
            <w:pPr>
              <w:pStyle w:val="OGTabText"/>
              <w:rPr>
                <w:lang w:eastAsia="en-AU"/>
              </w:rPr>
            </w:pPr>
            <w:r>
              <w:rPr>
                <w:lang w:eastAsia="en-AU"/>
              </w:rPr>
              <w:t>W-</w:t>
            </w:r>
            <w:r w:rsidRPr="00FF058D">
              <w:rPr>
                <w:lang w:eastAsia="en-AU"/>
              </w:rPr>
              <w:t>Class trams fully restored</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center"/>
              <w:rPr>
                <w:rFonts w:ascii="Calibri" w:hAnsi="Calibri" w:cs="Calibri"/>
                <w:sz w:val="19"/>
                <w:szCs w:val="22"/>
                <w:lang w:eastAsia="en-AU"/>
              </w:rPr>
            </w:pPr>
            <w:r w:rsidRPr="00FF058D">
              <w:rPr>
                <w:rFonts w:ascii="Calibri" w:hAnsi="Calibri" w:cs="Calibri"/>
                <w:sz w:val="19"/>
                <w:szCs w:val="22"/>
                <w:lang w:eastAsia="en-AU"/>
              </w:rPr>
              <w:t>number</w:t>
            </w:r>
          </w:p>
        </w:tc>
        <w:tc>
          <w:tcPr>
            <w:tcW w:w="909" w:type="dxa"/>
            <w:tcBorders>
              <w:top w:val="single" w:sz="6" w:space="0" w:color="auto"/>
              <w:left w:val="nil"/>
              <w:right w:val="nil"/>
            </w:tcBorders>
            <w:shd w:val="clear" w:color="auto" w:fill="DCDCDC"/>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Pr>
                <w:rFonts w:ascii="Calibri" w:hAnsi="Calibri" w:cs="Calibri"/>
                <w:sz w:val="19"/>
                <w:szCs w:val="22"/>
                <w:lang w:eastAsia="en-AU"/>
              </w:rPr>
              <w:t>0</w:t>
            </w:r>
          </w:p>
        </w:tc>
        <w:tc>
          <w:tcPr>
            <w:tcW w:w="992"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w:t>
            </w:r>
          </w:p>
        </w:tc>
        <w:tc>
          <w:tcPr>
            <w:tcW w:w="907"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sidRPr="00FF058D">
              <w:rPr>
                <w:rFonts w:ascii="Calibri" w:hAnsi="Calibri" w:cs="Calibri"/>
                <w:sz w:val="19"/>
                <w:szCs w:val="22"/>
                <w:lang w:eastAsia="en-AU"/>
              </w:rPr>
              <w:t>1</w:t>
            </w:r>
          </w:p>
        </w:tc>
        <w:tc>
          <w:tcPr>
            <w:tcW w:w="908" w:type="dxa"/>
            <w:tcBorders>
              <w:top w:val="single" w:sz="6" w:space="0" w:color="auto"/>
              <w:left w:val="nil"/>
              <w:right w:val="nil"/>
            </w:tcBorders>
          </w:tcPr>
          <w:p w:rsidR="00E25CC6" w:rsidRPr="00FF058D" w:rsidRDefault="00E25CC6" w:rsidP="00CE1EE8">
            <w:pPr>
              <w:autoSpaceDE w:val="0"/>
              <w:autoSpaceDN w:val="0"/>
              <w:adjustRightInd w:val="0"/>
              <w:spacing w:after="0"/>
              <w:jc w:val="right"/>
              <w:rPr>
                <w:rFonts w:ascii="Calibri" w:hAnsi="Calibri" w:cs="Calibri"/>
                <w:sz w:val="19"/>
                <w:szCs w:val="22"/>
                <w:lang w:eastAsia="en-AU"/>
              </w:rPr>
            </w:pPr>
            <w:r>
              <w:rPr>
                <w:rFonts w:ascii="Calibri" w:hAnsi="Calibri" w:cs="Calibri"/>
                <w:sz w:val="19"/>
                <w:szCs w:val="22"/>
                <w:lang w:eastAsia="en-AU"/>
              </w:rPr>
              <w:t>0</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FF058D" w:rsidRDefault="00E25CC6" w:rsidP="00C515AB">
            <w:pPr>
              <w:pStyle w:val="OGNotes"/>
            </w:pPr>
            <w:r w:rsidRPr="00FF058D">
              <w:t>The lower 2016</w:t>
            </w:r>
            <w:r w:rsidRPr="00FF058D">
              <w:noBreakHyphen/>
              <w:t>17 target reflects the number of projects that are scheduled and expected to be delivered within 2016</w:t>
            </w:r>
            <w:r w:rsidRPr="00FF058D">
              <w:noBreakHyphen/>
              <w:t>17. Projects within this measure often span across multiple years.</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Quality</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Availability of rolling stock: trams</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94</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Customer satisfaction index: tram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score</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76</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76</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74</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75</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2015</w:t>
            </w:r>
            <w:r w:rsidRPr="00737159">
              <w:noBreakHyphen/>
              <w:t>16 expected outcome is higher than the 2015</w:t>
            </w:r>
            <w:r w:rsidRPr="00737159">
              <w:noBreakHyphen/>
              <w:t>16 target due to better than anticipated customer satisfaction with tram services.</w:t>
            </w:r>
          </w:p>
          <w:p w:rsidR="00E25CC6" w:rsidRPr="00737159" w:rsidRDefault="00E25CC6" w:rsidP="00CE1EE8">
            <w:pPr>
              <w:pStyle w:val="OGNotes"/>
            </w:pPr>
            <w:r w:rsidRPr="00737159">
              <w:t>The higher 2016</w:t>
            </w:r>
            <w:r w:rsidRPr="00737159">
              <w:noBreakHyphen/>
              <w:t xml:space="preserve">17 target reflects the expected trend of improved customer satisfaction with tram services. </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Major periodic maintenance works completed against plan: tram network</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92</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Service punctuality for: tram services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82.9</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82.7</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82.9</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83.0</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Metropolitan tram services are considered on</w:t>
            </w:r>
            <w:r w:rsidRPr="00737159">
              <w:noBreakHyphen/>
              <w:t>time if they depart no more than 59 seconds early or four minutes and 59 seconds after the scheduled time in the timetable.</w:t>
            </w:r>
          </w:p>
        </w:tc>
      </w:tr>
      <w:tr w:rsidR="00E25CC6" w:rsidRPr="00737159" w:rsidTr="00035C1E">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Cost</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035C1E">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Total output cost</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million</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652.2</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635.9</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645.0</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514.7</w:t>
            </w:r>
          </w:p>
        </w:tc>
      </w:tr>
      <w:tr w:rsidR="00E25CC6" w:rsidRPr="00737159" w:rsidTr="00CA26A5">
        <w:trPr>
          <w:cantSplit/>
        </w:trPr>
        <w:tc>
          <w:tcPr>
            <w:tcW w:w="7767" w:type="dxa"/>
            <w:gridSpan w:val="6"/>
            <w:tcBorders>
              <w:left w:val="nil"/>
              <w:bottom w:val="single" w:sz="6" w:space="0" w:color="auto"/>
              <w:right w:val="nil"/>
            </w:tcBorders>
          </w:tcPr>
          <w:p w:rsidR="00E25CC6" w:rsidRPr="00D06905" w:rsidRDefault="00E25CC6" w:rsidP="00035C1E">
            <w:pPr>
              <w:pStyle w:val="OGNotes"/>
            </w:pPr>
            <w:r w:rsidRPr="00D06905">
              <w:t>The higher 2016</w:t>
            </w:r>
            <w:r w:rsidRPr="00D06905">
              <w:noBreakHyphen/>
              <w:t>17 t</w:t>
            </w:r>
            <w:r>
              <w:t xml:space="preserve">arget is primarily due to </w:t>
            </w:r>
            <w:r w:rsidRPr="00D06905">
              <w:t>increased capital asset charge due to investment in tram capital projects and a reallocation of costs across outputs.</w:t>
            </w:r>
          </w:p>
          <w:p w:rsidR="00E25CC6" w:rsidRPr="00737159" w:rsidRDefault="00E25CC6" w:rsidP="00035C1E">
            <w:pPr>
              <w:pStyle w:val="OGNotes"/>
              <w:rPr>
                <w:rFonts w:cs="Calibri"/>
                <w:color w:val="000000"/>
                <w:sz w:val="19"/>
                <w:szCs w:val="22"/>
              </w:rPr>
            </w:pPr>
            <w:r w:rsidRPr="00781CAC">
              <w:t>The 2014</w:t>
            </w:r>
            <w:r w:rsidRPr="00781CAC">
              <w:noBreakHyphen/>
              <w:t xml:space="preserve">15 actual </w:t>
            </w:r>
            <w:r>
              <w:t>is</w:t>
            </w:r>
            <w:r w:rsidRPr="00781CAC">
              <w:t xml:space="preserve"> based on a re-mapping of historical output costs.</w:t>
            </w:r>
          </w:p>
        </w:tc>
      </w:tr>
      <w:tr w:rsidR="00E25CC6" w:rsidRPr="00737159" w:rsidTr="00DF0E54">
        <w:trPr>
          <w:cantSplit/>
        </w:trPr>
        <w:tc>
          <w:tcPr>
            <w:tcW w:w="7767" w:type="dxa"/>
            <w:gridSpan w:val="6"/>
            <w:tcBorders>
              <w:top w:val="single" w:sz="6" w:space="0" w:color="auto"/>
              <w:left w:val="nil"/>
              <w:bottom w:val="nil"/>
              <w:right w:val="nil"/>
            </w:tcBorders>
          </w:tcPr>
          <w:p w:rsidR="00E25CC6" w:rsidRPr="00737159" w:rsidRDefault="00E25CC6" w:rsidP="00CE1EE8">
            <w:pPr>
              <w:pStyle w:val="OGHeading2"/>
              <w:rPr>
                <w:lang w:eastAsia="en-AU"/>
              </w:rPr>
            </w:pPr>
            <w:r w:rsidRPr="00737159">
              <w:rPr>
                <w:lang w:eastAsia="en-AU"/>
              </w:rPr>
              <w:t xml:space="preserve">Transport Safety, Security and Emergency Management </w:t>
            </w:r>
          </w:p>
        </w:tc>
      </w:tr>
      <w:tr w:rsidR="00E25CC6" w:rsidRPr="00737159" w:rsidTr="00657DBC">
        <w:trPr>
          <w:cantSplit/>
        </w:trPr>
        <w:tc>
          <w:tcPr>
            <w:tcW w:w="7767" w:type="dxa"/>
            <w:gridSpan w:val="6"/>
            <w:tcBorders>
              <w:top w:val="nil"/>
              <w:left w:val="nil"/>
              <w:bottom w:val="single" w:sz="6" w:space="0" w:color="auto"/>
              <w:right w:val="nil"/>
            </w:tcBorders>
          </w:tcPr>
          <w:p w:rsidR="00E25CC6" w:rsidRPr="00737159" w:rsidRDefault="00E25CC6" w:rsidP="00DF0E54">
            <w:pPr>
              <w:pStyle w:val="OGTabText"/>
              <w:rPr>
                <w:lang w:eastAsia="en-AU"/>
              </w:rPr>
            </w:pPr>
            <w:r w:rsidRPr="00737159">
              <w:rPr>
                <w:lang w:eastAsia="en-AU"/>
              </w:rPr>
              <w:t>This output delivers initiatives and regulatory activities that will improve safety and security and strengthen resilience on Victoria</w:t>
            </w:r>
            <w:r>
              <w:rPr>
                <w:lang w:eastAsia="en-AU"/>
              </w:rPr>
              <w:t>’</w:t>
            </w:r>
            <w:r w:rsidRPr="00737159">
              <w:rPr>
                <w:lang w:eastAsia="en-AU"/>
              </w:rPr>
              <w:t>s transport network.</w:t>
            </w:r>
            <w:r w:rsidRPr="00737159">
              <w:rPr>
                <w:rFonts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Quantity</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Accredited State maritime training providers audited in accordance with annual audit plan</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Recreational vessel inspections undertaken in accordance with State legislative requirements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3 500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3 500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3 500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Rail safety audits, compliance inspections and investigations conducted in accordance with legislative requirements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80</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This performance measure is proposed to consolidate the 2014</w:t>
            </w:r>
            <w:r>
              <w:noBreakHyphen/>
            </w:r>
            <w:r w:rsidRPr="00737159">
              <w:t xml:space="preserve">15 performance measure </w:t>
            </w:r>
            <w:r>
              <w:t>‘</w:t>
            </w:r>
            <w:r w:rsidRPr="00737159">
              <w:t>Transport safety regulation: rail safety audits/compliance inspections conducted in accordance with legislative requirements</w:t>
            </w:r>
            <w:r>
              <w:t>’</w:t>
            </w:r>
            <w:r w:rsidRPr="00737159">
              <w:t>, and the 2015</w:t>
            </w:r>
            <w:r w:rsidRPr="00737159">
              <w:noBreakHyphen/>
              <w:t xml:space="preserve">16 measures </w:t>
            </w:r>
            <w:r>
              <w:t>‘</w:t>
            </w:r>
            <w:r w:rsidRPr="00737159">
              <w:t>Rail safety audits, compliance inspections and investigations conducted in accordance with State and National legislative requirements and timelines</w:t>
            </w:r>
            <w:r>
              <w:t>’</w:t>
            </w:r>
            <w:r w:rsidRPr="00737159">
              <w:t xml:space="preserve"> and </w:t>
            </w:r>
            <w:r>
              <w:t>‘</w:t>
            </w:r>
            <w:r w:rsidRPr="00737159">
              <w:t>Regulatory interventions conducted on high risk or accredited Rail Transport Operators</w:t>
            </w:r>
            <w:r>
              <w:t>’</w:t>
            </w:r>
            <w:r w:rsidRPr="00737159">
              <w:t xml:space="preserve">. </w:t>
            </w:r>
          </w:p>
          <w:p w:rsidR="00E25CC6" w:rsidRPr="00737159" w:rsidRDefault="00E25CC6" w:rsidP="00CE1EE8">
            <w:pPr>
              <w:pStyle w:val="OGNotes"/>
            </w:pPr>
            <w:r w:rsidRPr="00737159">
              <w:t xml:space="preserve">It has been consolidated to accurately reflect the regulatory activities including investigations under </w:t>
            </w:r>
            <w:r>
              <w:t xml:space="preserve">the </w:t>
            </w:r>
            <w:r w:rsidRPr="00737159">
              <w:t xml:space="preserve">national and local rail safety regulatory scheme. </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4434A4">
            <w:pPr>
              <w:pStyle w:val="OGTabText"/>
              <w:keepNext/>
              <w:rPr>
                <w:lang w:eastAsia="en-AU"/>
              </w:rPr>
            </w:pPr>
            <w:r w:rsidRPr="00737159">
              <w:rPr>
                <w:lang w:eastAsia="en-AU"/>
              </w:rPr>
              <w:t>Road safety projects/initiatives completed: safe road users</w:t>
            </w:r>
          </w:p>
        </w:tc>
        <w:tc>
          <w:tcPr>
            <w:tcW w:w="907" w:type="dxa"/>
            <w:tcBorders>
              <w:top w:val="single" w:sz="6" w:space="0" w:color="auto"/>
              <w:left w:val="nil"/>
              <w:right w:val="nil"/>
            </w:tcBorders>
          </w:tcPr>
          <w:p w:rsidR="00E25CC6" w:rsidRPr="00737159" w:rsidRDefault="00E25CC6" w:rsidP="004434A4">
            <w:pPr>
              <w:keepNext/>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4434A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w:t>
            </w:r>
          </w:p>
        </w:tc>
        <w:tc>
          <w:tcPr>
            <w:tcW w:w="992" w:type="dxa"/>
            <w:tcBorders>
              <w:top w:val="single" w:sz="6" w:space="0" w:color="auto"/>
              <w:left w:val="nil"/>
              <w:right w:val="nil"/>
            </w:tcBorders>
          </w:tcPr>
          <w:p w:rsidR="00E25CC6" w:rsidRPr="00737159" w:rsidRDefault="00E25CC6" w:rsidP="004434A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w:t>
            </w:r>
          </w:p>
        </w:tc>
        <w:tc>
          <w:tcPr>
            <w:tcW w:w="907" w:type="dxa"/>
            <w:tcBorders>
              <w:top w:val="single" w:sz="6" w:space="0" w:color="auto"/>
              <w:left w:val="nil"/>
              <w:right w:val="nil"/>
            </w:tcBorders>
          </w:tcPr>
          <w:p w:rsidR="00E25CC6" w:rsidRPr="00737159" w:rsidRDefault="00E25CC6" w:rsidP="004434A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w:t>
            </w:r>
          </w:p>
        </w:tc>
        <w:tc>
          <w:tcPr>
            <w:tcW w:w="908" w:type="dxa"/>
            <w:tcBorders>
              <w:top w:val="single" w:sz="6" w:space="0" w:color="auto"/>
              <w:left w:val="nil"/>
              <w:right w:val="nil"/>
            </w:tcBorders>
          </w:tcPr>
          <w:p w:rsidR="00E25CC6" w:rsidRPr="00737159" w:rsidRDefault="00E25CC6" w:rsidP="004434A4">
            <w:pPr>
              <w:keepNext/>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BF3E01">
            <w:pPr>
              <w:pStyle w:val="OGNotes"/>
            </w:pPr>
            <w:r w:rsidRPr="00D06905">
              <w:t>The 2015</w:t>
            </w:r>
            <w:r w:rsidRPr="00D06905">
              <w:noBreakHyphen/>
              <w:t>16 expected outcome is lower than the 2015</w:t>
            </w:r>
            <w:r w:rsidRPr="00D06905">
              <w:noBreakHyphen/>
              <w:t xml:space="preserve">16 target due to delays in introducing a Memorandum of Authorisation which is a prerequisite for </w:t>
            </w:r>
            <w:r>
              <w:t>five</w:t>
            </w:r>
            <w:r w:rsidRPr="00D06905">
              <w:t xml:space="preserve"> projects to commence.</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Road safety projects/initiatives completed: safe roads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125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152</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145</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138</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BF3E01">
            <w:pPr>
              <w:pStyle w:val="OGNotes"/>
            </w:pPr>
            <w:r w:rsidRPr="00737159">
              <w:t>The lower 2016</w:t>
            </w:r>
            <w:r w:rsidRPr="00737159">
              <w:noBreakHyphen/>
              <w:t>17 target reflects the nature of projects endorsed by TAC (</w:t>
            </w:r>
            <w:r>
              <w:t>three</w:t>
            </w:r>
            <w:r w:rsidRPr="00737159">
              <w:t xml:space="preserve"> large projects are anticipated to form the majority of funding in</w:t>
            </w:r>
            <w:r>
              <w:t xml:space="preserve"> </w:t>
            </w:r>
            <w:r w:rsidRPr="00737159">
              <w:t>2016</w:t>
            </w:r>
            <w:r w:rsidRPr="00737159">
              <w:noBreakHyphen/>
              <w:t>17</w:t>
            </w:r>
            <w:r>
              <w:t>)</w:t>
            </w:r>
            <w:r w:rsidRPr="00737159">
              <w:t>.</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Road safety projects/initiatives completed: safe vehicles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BF3E01">
            <w:pPr>
              <w:pStyle w:val="OGNotes"/>
            </w:pPr>
            <w:r w:rsidRPr="00737159">
              <w:t>The 2014</w:t>
            </w:r>
            <w:r w:rsidRPr="00737159">
              <w:noBreakHyphen/>
              <w:t xml:space="preserve">15 actual is higher than that published in the Department of Economic Development, Jobs, Transport and Resources </w:t>
            </w:r>
            <w:r w:rsidRPr="00656F5B">
              <w:rPr>
                <w:i w:val="0"/>
              </w:rPr>
              <w:t>2014</w:t>
            </w:r>
            <w:r w:rsidRPr="00656F5B">
              <w:rPr>
                <w:i w:val="0"/>
              </w:rPr>
              <w:noBreakHyphen/>
              <w:t>15 Annual Report</w:t>
            </w:r>
            <w:r w:rsidRPr="00737159">
              <w:t xml:space="preserve">. This increases the previously reported outcome from </w:t>
            </w:r>
            <w:r>
              <w:t>one</w:t>
            </w:r>
            <w:r w:rsidRPr="00737159">
              <w:t xml:space="preserve"> to </w:t>
            </w:r>
            <w:r>
              <w:t>two</w:t>
            </w:r>
            <w:r w:rsidRPr="00737159">
              <w:t xml:space="preserve">. </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Road vehicle and driver regulation: driver licences renewed</w:t>
            </w:r>
          </w:p>
        </w:tc>
        <w:tc>
          <w:tcPr>
            <w:tcW w:w="907" w:type="dxa"/>
            <w:tcBorders>
              <w:top w:val="single" w:sz="6" w:space="0" w:color="auto"/>
              <w:left w:val="nil"/>
              <w:right w:val="nil"/>
            </w:tcBorders>
          </w:tcPr>
          <w:p w:rsidR="00E25CC6" w:rsidRPr="00737159" w:rsidRDefault="00E25CC6" w:rsidP="00B46C0A">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number </w:t>
            </w:r>
            <w:r w:rsidRPr="00737159">
              <w:rPr>
                <w:rFonts w:ascii="Calibri" w:hAnsi="Calibri" w:cs="Calibri"/>
                <w:color w:val="000000"/>
                <w:sz w:val="18"/>
                <w:szCs w:val="18"/>
                <w:lang w:eastAsia="en-AU"/>
              </w:rPr>
              <w:t>(</w:t>
            </w:r>
            <w:r>
              <w:rPr>
                <w:rFonts w:ascii="Calibri" w:hAnsi="Calibri" w:cs="Calibri"/>
                <w:color w:val="000000"/>
                <w:sz w:val="18"/>
                <w:szCs w:val="18"/>
                <w:lang w:eastAsia="en-AU"/>
              </w:rPr>
              <w:t>000</w:t>
            </w:r>
            <w:r w:rsidRPr="00737159">
              <w:rPr>
                <w:rFonts w:ascii="Calibri" w:hAnsi="Calibri" w:cs="Calibri"/>
                <w:color w:val="000000"/>
                <w:sz w:val="18"/>
                <w:szCs w:val="18"/>
                <w:lang w:eastAsia="en-AU"/>
              </w:rPr>
              <w: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716</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780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780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774</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lower 2016</w:t>
            </w:r>
            <w:r w:rsidRPr="00737159">
              <w:noBreakHyphen/>
              <w:t>17 target reflects cyclical trends in renewal</w:t>
            </w:r>
            <w:r>
              <w:t>.</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Road vehicle and driver regulation: new driver licences issued</w:t>
            </w:r>
          </w:p>
        </w:tc>
        <w:tc>
          <w:tcPr>
            <w:tcW w:w="907" w:type="dxa"/>
            <w:tcBorders>
              <w:top w:val="single" w:sz="6" w:space="0" w:color="auto"/>
              <w:left w:val="nil"/>
              <w:right w:val="nil"/>
            </w:tcBorders>
          </w:tcPr>
          <w:p w:rsidR="00E25CC6" w:rsidRPr="00737159" w:rsidRDefault="00E25CC6" w:rsidP="00B46C0A">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number </w:t>
            </w:r>
            <w:r w:rsidRPr="00737159">
              <w:rPr>
                <w:rFonts w:ascii="Calibri" w:hAnsi="Calibri" w:cs="Calibri"/>
                <w:color w:val="000000"/>
                <w:sz w:val="18"/>
                <w:szCs w:val="18"/>
                <w:lang w:eastAsia="en-AU"/>
              </w:rPr>
              <w:t>(</w:t>
            </w:r>
            <w:r>
              <w:rPr>
                <w:rFonts w:ascii="Calibri" w:hAnsi="Calibri" w:cs="Calibri"/>
                <w:color w:val="000000"/>
                <w:sz w:val="18"/>
                <w:szCs w:val="18"/>
                <w:lang w:eastAsia="en-AU"/>
              </w:rPr>
              <w:t>000</w:t>
            </w:r>
            <w:r w:rsidRPr="00737159">
              <w:rPr>
                <w:rFonts w:ascii="Calibri" w:hAnsi="Calibri" w:cs="Calibri"/>
                <w:color w:val="000000"/>
                <w:sz w:val="18"/>
                <w:szCs w:val="18"/>
                <w:lang w:eastAsia="en-AU"/>
              </w:rPr>
              <w: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190</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190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185</w:t>
            </w:r>
          </w:p>
        </w:tc>
      </w:tr>
      <w:tr w:rsidR="00E25CC6" w:rsidRPr="00737159" w:rsidTr="005C56B5">
        <w:trPr>
          <w:cantSplit/>
        </w:trPr>
        <w:tc>
          <w:tcPr>
            <w:tcW w:w="7767" w:type="dxa"/>
            <w:gridSpan w:val="6"/>
            <w:tcBorders>
              <w:top w:val="nil"/>
              <w:left w:val="nil"/>
              <w:bottom w:val="single" w:sz="6" w:space="0" w:color="auto"/>
              <w:right w:val="nil"/>
            </w:tcBorders>
          </w:tcPr>
          <w:p w:rsidR="00E25CC6" w:rsidRPr="00737159" w:rsidRDefault="00E25CC6" w:rsidP="00CE1EE8">
            <w:pPr>
              <w:pStyle w:val="OGNotes"/>
            </w:pPr>
            <w:r w:rsidRPr="00737159">
              <w:t>The 2015</w:t>
            </w:r>
            <w:r w:rsidRPr="00737159">
              <w:noBreakHyphen/>
              <w:t>16 expected outcome is lower than the 2015</w:t>
            </w:r>
            <w:r w:rsidRPr="00737159">
              <w:noBreakHyphen/>
              <w:t>16 target due to a lower take</w:t>
            </w:r>
            <w:r>
              <w:noBreakHyphen/>
            </w:r>
            <w:r w:rsidRPr="00737159">
              <w:t>up rate from the previous year.</w:t>
            </w:r>
          </w:p>
          <w:p w:rsidR="00E25CC6" w:rsidRPr="00737159" w:rsidRDefault="00E25CC6" w:rsidP="00731F5E">
            <w:pPr>
              <w:pStyle w:val="OGNotes"/>
            </w:pPr>
            <w:r w:rsidRPr="00D06905">
              <w:t>The lower 2016</w:t>
            </w:r>
            <w:r w:rsidRPr="00D06905">
              <w:noBreakHyphen/>
              <w:t>17 target reflects a revised forecast.</w:t>
            </w:r>
          </w:p>
        </w:tc>
      </w:tr>
      <w:tr w:rsidR="00E25CC6" w:rsidRPr="00737159" w:rsidTr="005C56B5">
        <w:trPr>
          <w:cantSplit/>
        </w:trPr>
        <w:tc>
          <w:tcPr>
            <w:tcW w:w="3144" w:type="dxa"/>
            <w:tcBorders>
              <w:top w:val="single" w:sz="6" w:space="0" w:color="auto"/>
              <w:left w:val="nil"/>
              <w:right w:val="nil"/>
            </w:tcBorders>
          </w:tcPr>
          <w:p w:rsidR="00E25CC6" w:rsidRPr="00757908" w:rsidRDefault="00E25CC6" w:rsidP="00CE1EE8">
            <w:pPr>
              <w:pStyle w:val="OGTabText"/>
              <w:rPr>
                <w:lang w:eastAsia="en-AU"/>
              </w:rPr>
            </w:pPr>
            <w:r w:rsidRPr="00757908">
              <w:rPr>
                <w:lang w:eastAsia="en-AU"/>
              </w:rPr>
              <w:t>Road vehicle and driver regulation: new vehicle registrations issued</w:t>
            </w:r>
          </w:p>
        </w:tc>
        <w:tc>
          <w:tcPr>
            <w:tcW w:w="907" w:type="dxa"/>
            <w:tcBorders>
              <w:top w:val="single" w:sz="6" w:space="0" w:color="auto"/>
              <w:left w:val="nil"/>
              <w:right w:val="nil"/>
            </w:tcBorders>
          </w:tcPr>
          <w:p w:rsidR="00E25CC6" w:rsidRPr="00757908" w:rsidRDefault="00E25CC6" w:rsidP="00B46C0A">
            <w:pPr>
              <w:autoSpaceDE w:val="0"/>
              <w:autoSpaceDN w:val="0"/>
              <w:adjustRightInd w:val="0"/>
              <w:spacing w:after="0"/>
              <w:jc w:val="center"/>
              <w:rPr>
                <w:rFonts w:ascii="Calibri" w:hAnsi="Calibri" w:cs="Calibri"/>
                <w:sz w:val="19"/>
                <w:szCs w:val="22"/>
                <w:lang w:eastAsia="en-AU"/>
              </w:rPr>
            </w:pPr>
            <w:r w:rsidRPr="00757908">
              <w:rPr>
                <w:rFonts w:ascii="Calibri" w:hAnsi="Calibri" w:cs="Calibri"/>
                <w:sz w:val="19"/>
                <w:szCs w:val="22"/>
                <w:lang w:eastAsia="en-AU"/>
              </w:rPr>
              <w:t xml:space="preserve">number </w:t>
            </w:r>
            <w:r w:rsidRPr="00757908">
              <w:rPr>
                <w:rFonts w:ascii="Calibri" w:hAnsi="Calibri" w:cs="Calibri"/>
                <w:sz w:val="18"/>
                <w:szCs w:val="18"/>
                <w:lang w:eastAsia="en-AU"/>
              </w:rPr>
              <w:t>(000)</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593</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580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580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561</w:t>
            </w:r>
          </w:p>
        </w:tc>
      </w:tr>
      <w:tr w:rsidR="00E25CC6" w:rsidRPr="00737159" w:rsidTr="005C56B5">
        <w:trPr>
          <w:cantSplit/>
        </w:trPr>
        <w:tc>
          <w:tcPr>
            <w:tcW w:w="7767" w:type="dxa"/>
            <w:gridSpan w:val="6"/>
            <w:tcBorders>
              <w:left w:val="nil"/>
              <w:bottom w:val="single" w:sz="6" w:space="0" w:color="auto"/>
              <w:right w:val="nil"/>
            </w:tcBorders>
          </w:tcPr>
          <w:p w:rsidR="00E25CC6" w:rsidRPr="00757908" w:rsidRDefault="00E25CC6" w:rsidP="005C56B5">
            <w:pPr>
              <w:pStyle w:val="OGNotes"/>
              <w:rPr>
                <w:i w:val="0"/>
              </w:rPr>
            </w:pPr>
            <w:r w:rsidRPr="00757908">
              <w:t>The higher 2016-17 target reflects forecasts of the number of new vehicle registrations issued, based on demographic and economic indicators and historical movements.</w:t>
            </w:r>
          </w:p>
        </w:tc>
      </w:tr>
      <w:tr w:rsidR="00E25CC6" w:rsidRPr="00737159" w:rsidTr="009F0B90">
        <w:trPr>
          <w:cantSplit/>
        </w:trPr>
        <w:tc>
          <w:tcPr>
            <w:tcW w:w="3144" w:type="dxa"/>
            <w:tcBorders>
              <w:top w:val="single" w:sz="6" w:space="0" w:color="auto"/>
              <w:left w:val="nil"/>
              <w:right w:val="nil"/>
            </w:tcBorders>
          </w:tcPr>
          <w:p w:rsidR="00E25CC6" w:rsidRPr="00757908" w:rsidRDefault="00E25CC6" w:rsidP="00CE1EE8">
            <w:pPr>
              <w:pStyle w:val="OGTabText"/>
              <w:rPr>
                <w:lang w:eastAsia="en-AU"/>
              </w:rPr>
            </w:pPr>
            <w:r w:rsidRPr="00757908">
              <w:rPr>
                <w:lang w:eastAsia="en-AU"/>
              </w:rPr>
              <w:t>Road vehicle and driver regulation: vehicle and driver information requests, including toll operator and council requests, processed</w:t>
            </w:r>
          </w:p>
        </w:tc>
        <w:tc>
          <w:tcPr>
            <w:tcW w:w="907" w:type="dxa"/>
            <w:tcBorders>
              <w:top w:val="single" w:sz="6" w:space="0" w:color="auto"/>
              <w:left w:val="nil"/>
              <w:right w:val="nil"/>
            </w:tcBorders>
          </w:tcPr>
          <w:p w:rsidR="00E25CC6" w:rsidRPr="00757908" w:rsidRDefault="00E25CC6" w:rsidP="00B46C0A">
            <w:pPr>
              <w:autoSpaceDE w:val="0"/>
              <w:autoSpaceDN w:val="0"/>
              <w:adjustRightInd w:val="0"/>
              <w:spacing w:after="0"/>
              <w:jc w:val="center"/>
              <w:rPr>
                <w:rFonts w:ascii="Calibri" w:hAnsi="Calibri" w:cs="Calibri"/>
                <w:sz w:val="19"/>
                <w:szCs w:val="22"/>
                <w:lang w:eastAsia="en-AU"/>
              </w:rPr>
            </w:pPr>
            <w:r w:rsidRPr="00757908">
              <w:rPr>
                <w:rFonts w:ascii="Calibri" w:hAnsi="Calibri" w:cs="Calibri"/>
                <w:sz w:val="19"/>
                <w:szCs w:val="22"/>
                <w:lang w:eastAsia="en-AU"/>
              </w:rPr>
              <w:t xml:space="preserve">number </w:t>
            </w:r>
            <w:r w:rsidRPr="00757908">
              <w:rPr>
                <w:rFonts w:ascii="Calibri" w:hAnsi="Calibri" w:cs="Calibri"/>
                <w:sz w:val="18"/>
                <w:szCs w:val="18"/>
                <w:lang w:eastAsia="en-AU"/>
              </w:rPr>
              <w:t>(000)</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3 922</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4 010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3 670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3 635</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57908" w:rsidRDefault="00E25CC6" w:rsidP="00CE1EE8">
            <w:pPr>
              <w:pStyle w:val="OGNotes"/>
            </w:pPr>
            <w:r w:rsidRPr="00757908">
              <w:t>The 2015</w:t>
            </w:r>
            <w:r w:rsidRPr="00757908">
              <w:noBreakHyphen/>
              <w:t>16 expected outcome is higher than the 2015</w:t>
            </w:r>
            <w:r w:rsidRPr="00757908">
              <w:noBreakHyphen/>
              <w:t>16 target due to an increase in information requests coming from CityLink and EastLink.</w:t>
            </w:r>
          </w:p>
          <w:p w:rsidR="00E25CC6" w:rsidRPr="00757908" w:rsidRDefault="00E25CC6" w:rsidP="008D7A01">
            <w:pPr>
              <w:pStyle w:val="OGNotes"/>
            </w:pPr>
            <w:r w:rsidRPr="00757908">
              <w:t>The higher 2016</w:t>
            </w:r>
            <w:r w:rsidRPr="00757908">
              <w:noBreakHyphen/>
              <w:t xml:space="preserve">17 target reflects the increase in demand from EastLink and Councils, offset by a decline in demand from CityLink. </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57908" w:rsidRDefault="00E25CC6" w:rsidP="00CE1EE8">
            <w:pPr>
              <w:pStyle w:val="OGTabText"/>
              <w:rPr>
                <w:lang w:eastAsia="en-AU"/>
              </w:rPr>
            </w:pPr>
            <w:r w:rsidRPr="00757908">
              <w:rPr>
                <w:lang w:eastAsia="en-AU"/>
              </w:rPr>
              <w:t>Road vehicle and driver regulation: vehicle registration transfers</w:t>
            </w:r>
          </w:p>
        </w:tc>
        <w:tc>
          <w:tcPr>
            <w:tcW w:w="907" w:type="dxa"/>
            <w:tcBorders>
              <w:top w:val="single" w:sz="6" w:space="0" w:color="auto"/>
              <w:left w:val="nil"/>
              <w:bottom w:val="single" w:sz="6" w:space="0" w:color="auto"/>
              <w:right w:val="nil"/>
            </w:tcBorders>
          </w:tcPr>
          <w:p w:rsidR="00E25CC6" w:rsidRPr="00757908" w:rsidRDefault="00E25CC6" w:rsidP="00B46C0A">
            <w:pPr>
              <w:autoSpaceDE w:val="0"/>
              <w:autoSpaceDN w:val="0"/>
              <w:adjustRightInd w:val="0"/>
              <w:spacing w:after="0"/>
              <w:jc w:val="center"/>
              <w:rPr>
                <w:rFonts w:ascii="Calibri" w:hAnsi="Calibri" w:cs="Calibri"/>
                <w:sz w:val="19"/>
                <w:szCs w:val="22"/>
                <w:lang w:eastAsia="en-AU"/>
              </w:rPr>
            </w:pPr>
            <w:r w:rsidRPr="00757908">
              <w:rPr>
                <w:rFonts w:ascii="Calibri" w:hAnsi="Calibri" w:cs="Calibri"/>
                <w:sz w:val="19"/>
                <w:szCs w:val="22"/>
                <w:lang w:eastAsia="en-AU"/>
              </w:rPr>
              <w:t xml:space="preserve">number </w:t>
            </w:r>
            <w:r w:rsidRPr="00757908">
              <w:rPr>
                <w:rFonts w:ascii="Calibri" w:hAnsi="Calibri" w:cs="Calibri"/>
                <w:sz w:val="18"/>
                <w:szCs w:val="18"/>
                <w:lang w:eastAsia="en-AU"/>
              </w:rPr>
              <w:t>(000)</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882</w:t>
            </w:r>
          </w:p>
        </w:tc>
      </w:tr>
      <w:tr w:rsidR="00E25CC6" w:rsidRPr="00737159" w:rsidTr="009F0B90">
        <w:trPr>
          <w:cantSplit/>
        </w:trPr>
        <w:tc>
          <w:tcPr>
            <w:tcW w:w="3144" w:type="dxa"/>
            <w:tcBorders>
              <w:top w:val="single" w:sz="6" w:space="0" w:color="auto"/>
              <w:left w:val="nil"/>
              <w:right w:val="nil"/>
            </w:tcBorders>
          </w:tcPr>
          <w:p w:rsidR="00E25CC6" w:rsidRPr="00757908" w:rsidRDefault="00E25CC6" w:rsidP="00CE1EE8">
            <w:pPr>
              <w:pStyle w:val="OGTabText"/>
              <w:rPr>
                <w:lang w:eastAsia="en-AU"/>
              </w:rPr>
            </w:pPr>
            <w:r w:rsidRPr="00757908">
              <w:rPr>
                <w:lang w:eastAsia="en-AU"/>
              </w:rPr>
              <w:t>Road vehicle and driver regulation: vehicle registrations renewed</w:t>
            </w:r>
          </w:p>
        </w:tc>
        <w:tc>
          <w:tcPr>
            <w:tcW w:w="907" w:type="dxa"/>
            <w:tcBorders>
              <w:top w:val="single" w:sz="6" w:space="0" w:color="auto"/>
              <w:left w:val="nil"/>
              <w:right w:val="nil"/>
            </w:tcBorders>
          </w:tcPr>
          <w:p w:rsidR="00E25CC6" w:rsidRPr="00757908" w:rsidRDefault="00E25CC6" w:rsidP="00B46C0A">
            <w:pPr>
              <w:autoSpaceDE w:val="0"/>
              <w:autoSpaceDN w:val="0"/>
              <w:adjustRightInd w:val="0"/>
              <w:spacing w:after="0"/>
              <w:jc w:val="center"/>
              <w:rPr>
                <w:rFonts w:ascii="Calibri" w:hAnsi="Calibri" w:cs="Calibri"/>
                <w:sz w:val="19"/>
                <w:szCs w:val="22"/>
                <w:lang w:eastAsia="en-AU"/>
              </w:rPr>
            </w:pPr>
            <w:r w:rsidRPr="00757908">
              <w:rPr>
                <w:rFonts w:ascii="Calibri" w:hAnsi="Calibri" w:cs="Calibri"/>
                <w:sz w:val="19"/>
                <w:szCs w:val="22"/>
                <w:lang w:eastAsia="en-AU"/>
              </w:rPr>
              <w:t xml:space="preserve">number </w:t>
            </w:r>
            <w:r w:rsidRPr="00757908">
              <w:rPr>
                <w:rFonts w:ascii="Calibri" w:hAnsi="Calibri" w:cs="Calibri"/>
                <w:sz w:val="18"/>
                <w:szCs w:val="18"/>
                <w:lang w:eastAsia="en-AU"/>
              </w:rPr>
              <w:t>(000)</w:t>
            </w:r>
          </w:p>
        </w:tc>
        <w:tc>
          <w:tcPr>
            <w:tcW w:w="909" w:type="dxa"/>
            <w:tcBorders>
              <w:top w:val="single" w:sz="6" w:space="0" w:color="auto"/>
              <w:left w:val="nil"/>
              <w:right w:val="nil"/>
            </w:tcBorders>
            <w:shd w:val="clear" w:color="auto" w:fill="DCDCDC"/>
          </w:tcPr>
          <w:p w:rsidR="00E25CC6" w:rsidRPr="00757908" w:rsidRDefault="00E25CC6" w:rsidP="005C56B5">
            <w:pPr>
              <w:autoSpaceDE w:val="0"/>
              <w:autoSpaceDN w:val="0"/>
              <w:adjustRightInd w:val="0"/>
              <w:spacing w:after="0"/>
              <w:jc w:val="right"/>
              <w:rPr>
                <w:rFonts w:ascii="Calibri" w:hAnsi="Calibri" w:cs="Calibri"/>
                <w:sz w:val="19"/>
                <w:szCs w:val="22"/>
                <w:lang w:eastAsia="en-AU"/>
              </w:rPr>
            </w:pPr>
            <w:r w:rsidRPr="00757908">
              <w:rPr>
                <w:rFonts w:ascii="Calibri" w:hAnsi="Calibri" w:cs="Calibri"/>
                <w:sz w:val="19"/>
                <w:szCs w:val="22"/>
                <w:lang w:eastAsia="en-AU"/>
              </w:rPr>
              <w:t>5 600</w:t>
            </w:r>
          </w:p>
        </w:tc>
        <w:tc>
          <w:tcPr>
            <w:tcW w:w="992" w:type="dxa"/>
            <w:tcBorders>
              <w:top w:val="single" w:sz="6" w:space="0" w:color="auto"/>
              <w:left w:val="nil"/>
              <w:right w:val="nil"/>
            </w:tcBorders>
          </w:tcPr>
          <w:p w:rsidR="00E25CC6" w:rsidRPr="00757908" w:rsidRDefault="00E25CC6" w:rsidP="00CE1EE8">
            <w:pPr>
              <w:autoSpaceDE w:val="0"/>
              <w:autoSpaceDN w:val="0"/>
              <w:adjustRightInd w:val="0"/>
              <w:spacing w:after="0"/>
              <w:jc w:val="right"/>
              <w:rPr>
                <w:rFonts w:ascii="Calibri" w:hAnsi="Calibri" w:cs="Calibri"/>
                <w:sz w:val="19"/>
                <w:szCs w:val="22"/>
                <w:lang w:eastAsia="en-AU"/>
              </w:rPr>
            </w:pPr>
            <w:r w:rsidRPr="00757908">
              <w:rPr>
                <w:rFonts w:ascii="Calibri" w:hAnsi="Calibri" w:cs="Calibri"/>
                <w:sz w:val="19"/>
                <w:szCs w:val="22"/>
                <w:lang w:eastAsia="en-AU"/>
              </w:rPr>
              <w:t>5 500</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5 500</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5 414</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57908" w:rsidRDefault="00E25CC6" w:rsidP="00757908">
            <w:pPr>
              <w:pStyle w:val="OGNotes"/>
            </w:pPr>
            <w:r w:rsidRPr="00757908">
              <w:t>The higher 2016</w:t>
            </w:r>
            <w:r w:rsidRPr="00757908">
              <w:noBreakHyphen/>
              <w:t xml:space="preserve">17 target reflects forecasts of the number of new vehicle registrations issued, based on demographic and economic indicators and historical movements. </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57908" w:rsidRDefault="00E25CC6" w:rsidP="00CE1EE8">
            <w:pPr>
              <w:pStyle w:val="OGTabText"/>
              <w:rPr>
                <w:lang w:eastAsia="en-AU"/>
              </w:rPr>
            </w:pPr>
            <w:r w:rsidRPr="00757908">
              <w:rPr>
                <w:lang w:eastAsia="en-AU"/>
              </w:rPr>
              <w:t xml:space="preserve">Safety audits of bus operators conducted in accordance with </w:t>
            </w:r>
            <w:r w:rsidRPr="00757908">
              <w:rPr>
                <w:i/>
                <w:lang w:eastAsia="en-AU"/>
              </w:rPr>
              <w:t>Bus Safety Act 2009</w:t>
            </w:r>
            <w:r w:rsidRPr="00757908">
              <w:rPr>
                <w:lang w:eastAsia="en-AU"/>
              </w:rPr>
              <w:t xml:space="preserve"> (Vic) requirements</w:t>
            </w:r>
          </w:p>
        </w:tc>
        <w:tc>
          <w:tcPr>
            <w:tcW w:w="907" w:type="dxa"/>
            <w:tcBorders>
              <w:top w:val="single" w:sz="6" w:space="0" w:color="auto"/>
              <w:left w:val="nil"/>
              <w:bottom w:val="single" w:sz="6" w:space="0" w:color="auto"/>
              <w:right w:val="nil"/>
            </w:tcBorders>
          </w:tcPr>
          <w:p w:rsidR="00E25CC6" w:rsidRPr="00757908" w:rsidRDefault="00E25CC6" w:rsidP="00CE1EE8">
            <w:pPr>
              <w:autoSpaceDE w:val="0"/>
              <w:autoSpaceDN w:val="0"/>
              <w:adjustRightInd w:val="0"/>
              <w:spacing w:after="0"/>
              <w:jc w:val="center"/>
              <w:rPr>
                <w:rFonts w:ascii="Calibri" w:hAnsi="Calibri" w:cs="Calibri"/>
                <w:sz w:val="19"/>
                <w:szCs w:val="22"/>
                <w:lang w:eastAsia="en-AU"/>
              </w:rPr>
            </w:pPr>
            <w:r w:rsidRPr="00757908">
              <w:rPr>
                <w:rFonts w:ascii="Calibri" w:hAnsi="Calibri" w:cs="Calibri"/>
                <w:sz w:val="19"/>
                <w:szCs w:val="22"/>
                <w:lang w:eastAsia="en-AU"/>
              </w:rPr>
              <w:t>number</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560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560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560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560</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Security and emergency management exercises coordinated or contributed to by the Department</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14</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656F5B">
            <w:pPr>
              <w:pStyle w:val="OGNotes"/>
            </w:pPr>
            <w:r w:rsidRPr="00D06905">
              <w:t>The higher 2016</w:t>
            </w:r>
            <w:r w:rsidRPr="00D06905">
              <w:noBreakHyphen/>
              <w:t xml:space="preserve">17 target reflects activities previously included in the proposed discontinued measures </w:t>
            </w:r>
            <w:r>
              <w:t>‘</w:t>
            </w:r>
            <w:r w:rsidRPr="00D06905">
              <w:t>Victorian marine pollution response exercised conducted by the Department</w:t>
            </w:r>
            <w:r>
              <w:t>’</w:t>
            </w:r>
            <w:r w:rsidRPr="00D06905">
              <w:t xml:space="preserve"> and </w:t>
            </w:r>
            <w:r>
              <w:t>‘</w:t>
            </w:r>
            <w:r w:rsidRPr="00D06905">
              <w:t>Review exercises conducted by the Regional Control Agencies identified under VICPLAN and through direction from the State Marine Pollution Controller</w:t>
            </w:r>
            <w:r>
              <w:t>’</w:t>
            </w:r>
            <w:r w:rsidRPr="00D06905">
              <w:t>.</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Transport and marine safety investigations: proportion of notified accidents with passenger fatalities and/or multiple serious passenger injuries investigated</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right w:val="nil"/>
            </w:tcBorders>
          </w:tcPr>
          <w:p w:rsidR="00E25CC6" w:rsidRPr="00737159" w:rsidRDefault="00E25CC6" w:rsidP="00CE1EE8">
            <w:pPr>
              <w:pStyle w:val="OGTabText"/>
              <w:rPr>
                <w:lang w:eastAsia="en-AU"/>
              </w:rPr>
            </w:pPr>
            <w:r w:rsidRPr="00737159">
              <w:rPr>
                <w:lang w:eastAsia="en-AU"/>
              </w:rPr>
              <w:t>Commercial maritime duty holders other than vessel owners and operators audited in accordance with legislative requirements and timelines</w:t>
            </w:r>
          </w:p>
        </w:tc>
        <w:tc>
          <w:tcPr>
            <w:tcW w:w="907" w:type="dxa"/>
            <w:tcBorders>
              <w:top w:val="nil"/>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nil"/>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656F5B">
            <w:pPr>
              <w:pStyle w:val="OGNotes"/>
            </w:pPr>
            <w:r w:rsidRPr="00737159">
              <w:t>This performance measure renames the 2015</w:t>
            </w:r>
            <w:r w:rsidRPr="00737159">
              <w:noBreakHyphen/>
              <w:t xml:space="preserve">16 performance measure </w:t>
            </w:r>
            <w:r>
              <w:t>‘</w:t>
            </w:r>
            <w:r w:rsidRPr="00737159">
              <w:t>Commercial maritime duty holders other than vessel owners and operators audited in accordance with national legislative requirements and timelines</w:t>
            </w:r>
            <w:r>
              <w:t>’</w:t>
            </w:r>
            <w:r w:rsidRPr="00737159">
              <w:t>. The new measure reports on the same activity as the previous measure however has been amended for increased clarity.</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Commercial vessel compliance and enforcement actions undertaken in accordance with national regulation and timelines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Compliance inspections of vessel operating and zoning rules in designated Victorian waterways conducted in accordance with annual audit plan</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Sector Resilience Plans endorsed by State Crisis and Resilience Council</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number</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4</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737159" w:rsidRDefault="00E25CC6" w:rsidP="00656F5B">
            <w:pPr>
              <w:pStyle w:val="OGNotes"/>
            </w:pPr>
            <w:r w:rsidRPr="00737159">
              <w:t>This performance measure replaces the 2015</w:t>
            </w:r>
            <w:r w:rsidRPr="00737159">
              <w:noBreakHyphen/>
              <w:t xml:space="preserve">16 measure </w:t>
            </w:r>
            <w:r>
              <w:t>‘</w:t>
            </w:r>
            <w:r w:rsidRPr="00737159">
              <w:t>Conduct Sector Resilience Network workshops to identify and support improvements in critical infrastructure resilience, in line with the Sector Resilience Plan</w:t>
            </w:r>
            <w:r>
              <w:t>’</w:t>
            </w:r>
            <w:r w:rsidRPr="00737159">
              <w:t xml:space="preserve">. It has been replaced to more accurately reflect the purpose of the Critical Infrastructure Resilience Strategy. </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safety projects completed within agreed scope and standards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vehicle and driver regulation: currency of vehicle registration and driver licensing records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vehicle and driver regulation: user satisfaction with vehicle registration and driver licensing</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&gt;85</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&gt;85</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&gt;85</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89</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autoSpaceDE w:val="0"/>
              <w:autoSpaceDN w:val="0"/>
              <w:adjustRightInd w:val="0"/>
              <w:spacing w:after="0"/>
              <w:ind w:left="227" w:hanging="227"/>
              <w:rPr>
                <w:rFonts w:ascii="Calibri" w:hAnsi="Calibri" w:cs="Calibri"/>
                <w:i/>
                <w:iCs/>
                <w:color w:val="000000"/>
                <w:sz w:val="19"/>
                <w:szCs w:val="22"/>
                <w:lang w:eastAsia="en-AU"/>
              </w:rPr>
            </w:pPr>
            <w:r w:rsidRPr="00737159">
              <w:rPr>
                <w:rFonts w:ascii="Calibri"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 xml:space="preserve"> </w:t>
            </w:r>
          </w:p>
        </w:tc>
      </w:tr>
      <w:tr w:rsidR="00E25CC6" w:rsidRPr="00737159" w:rsidTr="009F0B90">
        <w:trPr>
          <w:cantSplit/>
        </w:trPr>
        <w:tc>
          <w:tcPr>
            <w:tcW w:w="3144" w:type="dxa"/>
            <w:tcBorders>
              <w:top w:val="nil"/>
              <w:left w:val="nil"/>
              <w:bottom w:val="single" w:sz="6" w:space="0" w:color="auto"/>
              <w:right w:val="nil"/>
            </w:tcBorders>
          </w:tcPr>
          <w:p w:rsidR="00E25CC6" w:rsidRPr="00737159" w:rsidRDefault="00E25CC6" w:rsidP="00CE1EE8">
            <w:pPr>
              <w:pStyle w:val="OGTabText"/>
              <w:rPr>
                <w:lang w:eastAsia="en-AU"/>
              </w:rPr>
            </w:pPr>
            <w:r w:rsidRPr="00737159">
              <w:rPr>
                <w:lang w:eastAsia="en-AU"/>
              </w:rPr>
              <w:t xml:space="preserve">Applications for bus operator registration and safety accreditation processed on time in accordance with </w:t>
            </w:r>
            <w:r w:rsidRPr="00737159">
              <w:rPr>
                <w:i/>
                <w:lang w:eastAsia="en-AU"/>
              </w:rPr>
              <w:t>Bus Safety Act 2009</w:t>
            </w:r>
            <w:r w:rsidRPr="00737159">
              <w:rPr>
                <w:lang w:eastAsia="en-AU"/>
              </w:rPr>
              <w:t xml:space="preserve"> (Vic) requirements</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nil"/>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Applications for rail accreditation and variations to accreditation processed within State and national legislative requirements and timelines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Initiate marine pollution response action within 60 minutes of incident notification</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BF3E01">
            <w:pPr>
              <w:pStyle w:val="OGTabText"/>
              <w:rPr>
                <w:lang w:eastAsia="en-AU"/>
              </w:rPr>
            </w:pPr>
            <w:r w:rsidRPr="00737159">
              <w:rPr>
                <w:lang w:eastAsia="en-AU"/>
              </w:rPr>
              <w:t>Multi</w:t>
            </w:r>
            <w:r>
              <w:rPr>
                <w:lang w:eastAsia="en-AU"/>
              </w:rPr>
              <w:noBreakHyphen/>
            </w:r>
            <w:r w:rsidRPr="00737159">
              <w:rPr>
                <w:lang w:eastAsia="en-AU"/>
              </w:rPr>
              <w:t>Purpose Taxi Program: applications assessed and completed within 14 days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97</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97</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97</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99</w:t>
            </w:r>
          </w:p>
        </w:tc>
      </w:tr>
      <w:tr w:rsidR="00E25CC6" w:rsidRPr="00737159" w:rsidTr="009F0B90">
        <w:trPr>
          <w:cantSplit/>
        </w:trPr>
        <w:tc>
          <w:tcPr>
            <w:tcW w:w="3144" w:type="dxa"/>
            <w:tcBorders>
              <w:top w:val="single" w:sz="6" w:space="0" w:color="auto"/>
              <w:left w:val="nil"/>
              <w:right w:val="nil"/>
            </w:tcBorders>
          </w:tcPr>
          <w:p w:rsidR="00E25CC6" w:rsidRPr="00737159" w:rsidRDefault="00E25CC6" w:rsidP="00CE1EE8">
            <w:pPr>
              <w:pStyle w:val="OGTabText"/>
              <w:rPr>
                <w:lang w:eastAsia="en-AU"/>
              </w:rPr>
            </w:pPr>
            <w:r w:rsidRPr="00737159">
              <w:rPr>
                <w:lang w:eastAsia="en-AU"/>
              </w:rPr>
              <w:t>Taxi, hire vehicle and other commercial passenger vehicle licence applications processed within 14 days</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85</w:t>
            </w: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D06905" w:rsidRDefault="00E25CC6" w:rsidP="00656F5B">
            <w:pPr>
              <w:pStyle w:val="OGNotes"/>
            </w:pPr>
            <w:r w:rsidRPr="00D06905">
              <w:t>This performance measure is proposed to consolidate the 2015</w:t>
            </w:r>
            <w:r w:rsidRPr="00D06905">
              <w:noBreakHyphen/>
              <w:t xml:space="preserve">16 performance measures </w:t>
            </w:r>
            <w:r>
              <w:t>‘</w:t>
            </w:r>
            <w:r w:rsidRPr="00D06905">
              <w:t>New commercial passenger vehicle licence applications other than taxi processed within 21 days</w:t>
            </w:r>
            <w:r>
              <w:t>’</w:t>
            </w:r>
            <w:r w:rsidRPr="00D06905">
              <w:t xml:space="preserve"> and </w:t>
            </w:r>
            <w:r>
              <w:t>‘</w:t>
            </w:r>
            <w:r w:rsidRPr="00D06905">
              <w:t>New taxi vehicle licence applications processed within 14 days</w:t>
            </w:r>
            <w:r>
              <w:t>’</w:t>
            </w:r>
            <w:r w:rsidRPr="00D06905">
              <w:t>. These measures have been consolidated to measure the Taxi Services Commission</w:t>
            </w:r>
            <w:r>
              <w:t>’</w:t>
            </w:r>
            <w:r w:rsidRPr="00D06905">
              <w:t>s responsiveness in processing all vehicle licence applications.</w:t>
            </w:r>
          </w:p>
        </w:tc>
      </w:tr>
      <w:tr w:rsidR="00E25CC6" w:rsidRPr="00737159" w:rsidTr="009F0B90">
        <w:trPr>
          <w:cantSplit/>
        </w:trPr>
        <w:tc>
          <w:tcPr>
            <w:tcW w:w="3144" w:type="dxa"/>
            <w:tcBorders>
              <w:top w:val="single" w:sz="6" w:space="0" w:color="auto"/>
              <w:left w:val="nil"/>
              <w:right w:val="nil"/>
            </w:tcBorders>
          </w:tcPr>
          <w:p w:rsidR="00E25CC6" w:rsidRPr="00D06905" w:rsidRDefault="00E25CC6" w:rsidP="004434A4">
            <w:pPr>
              <w:pStyle w:val="OGTabText"/>
              <w:rPr>
                <w:lang w:eastAsia="en-AU"/>
              </w:rPr>
            </w:pPr>
            <w:r w:rsidRPr="00D06905">
              <w:rPr>
                <w:lang w:eastAsia="en-AU"/>
              </w:rPr>
              <w:t>Taxi, hire vehicle, bus driver, and driving instructor accreditation applications processed within 14 days</w:t>
            </w:r>
          </w:p>
        </w:tc>
        <w:tc>
          <w:tcPr>
            <w:tcW w:w="907" w:type="dxa"/>
            <w:tcBorders>
              <w:top w:val="single" w:sz="6" w:space="0" w:color="auto"/>
              <w:left w:val="nil"/>
              <w:right w:val="nil"/>
            </w:tcBorders>
          </w:tcPr>
          <w:p w:rsidR="00E25CC6" w:rsidRPr="00D06905" w:rsidRDefault="00E25CC6" w:rsidP="00CE1EE8">
            <w:pPr>
              <w:autoSpaceDE w:val="0"/>
              <w:autoSpaceDN w:val="0"/>
              <w:adjustRightInd w:val="0"/>
              <w:spacing w:after="0"/>
              <w:jc w:val="center"/>
              <w:rPr>
                <w:rFonts w:ascii="Calibri" w:hAnsi="Calibri" w:cs="Calibri"/>
                <w:sz w:val="19"/>
                <w:szCs w:val="22"/>
                <w:lang w:eastAsia="en-AU"/>
              </w:rPr>
            </w:pPr>
            <w:r w:rsidRPr="00D06905">
              <w:rPr>
                <w:rFonts w:ascii="Calibri" w:hAnsi="Calibri" w:cs="Calibri"/>
                <w:sz w:val="19"/>
                <w:szCs w:val="22"/>
                <w:lang w:eastAsia="en-AU"/>
              </w:rPr>
              <w:t>per cent</w:t>
            </w:r>
          </w:p>
        </w:tc>
        <w:tc>
          <w:tcPr>
            <w:tcW w:w="909" w:type="dxa"/>
            <w:tcBorders>
              <w:top w:val="single" w:sz="6" w:space="0" w:color="auto"/>
              <w:left w:val="nil"/>
              <w:right w:val="nil"/>
            </w:tcBorders>
            <w:shd w:val="clear" w:color="auto" w:fill="DCDCDC"/>
          </w:tcPr>
          <w:p w:rsidR="00E25CC6" w:rsidRPr="00D06905" w:rsidRDefault="00E25CC6" w:rsidP="00CE1EE8">
            <w:pPr>
              <w:autoSpaceDE w:val="0"/>
              <w:autoSpaceDN w:val="0"/>
              <w:adjustRightInd w:val="0"/>
              <w:spacing w:after="0"/>
              <w:jc w:val="right"/>
              <w:rPr>
                <w:rFonts w:ascii="Calibri" w:hAnsi="Calibri" w:cs="Calibri"/>
                <w:sz w:val="19"/>
                <w:szCs w:val="22"/>
                <w:lang w:eastAsia="en-AU"/>
              </w:rPr>
            </w:pPr>
            <w:r w:rsidRPr="00D06905">
              <w:rPr>
                <w:rFonts w:ascii="Calibri" w:hAnsi="Calibri" w:cs="Calibri"/>
                <w:sz w:val="19"/>
                <w:szCs w:val="22"/>
                <w:lang w:eastAsia="en-AU"/>
              </w:rPr>
              <w:t>85</w:t>
            </w:r>
          </w:p>
        </w:tc>
        <w:tc>
          <w:tcPr>
            <w:tcW w:w="992" w:type="dxa"/>
            <w:tcBorders>
              <w:top w:val="single" w:sz="6" w:space="0" w:color="auto"/>
              <w:left w:val="nil"/>
              <w:right w:val="nil"/>
            </w:tcBorders>
          </w:tcPr>
          <w:p w:rsidR="00E25CC6" w:rsidRPr="00D06905" w:rsidRDefault="00E25CC6" w:rsidP="00CE1EE8">
            <w:pPr>
              <w:autoSpaceDE w:val="0"/>
              <w:autoSpaceDN w:val="0"/>
              <w:adjustRightInd w:val="0"/>
              <w:spacing w:after="0"/>
              <w:jc w:val="right"/>
              <w:rPr>
                <w:rFonts w:ascii="Calibri" w:hAnsi="Calibri" w:cs="Calibri"/>
                <w:sz w:val="19"/>
                <w:szCs w:val="22"/>
                <w:lang w:eastAsia="en-AU"/>
              </w:rPr>
            </w:pPr>
            <w:r w:rsidRPr="00D06905">
              <w:rPr>
                <w:rFonts w:ascii="Calibri" w:hAnsi="Calibri" w:cs="Calibri"/>
                <w:sz w:val="19"/>
                <w:szCs w:val="22"/>
                <w:lang w:eastAsia="en-AU"/>
              </w:rPr>
              <w:t>nm</w:t>
            </w:r>
          </w:p>
        </w:tc>
        <w:tc>
          <w:tcPr>
            <w:tcW w:w="907" w:type="dxa"/>
            <w:tcBorders>
              <w:top w:val="single" w:sz="6" w:space="0" w:color="auto"/>
              <w:left w:val="nil"/>
              <w:right w:val="nil"/>
            </w:tcBorders>
          </w:tcPr>
          <w:p w:rsidR="00E25CC6" w:rsidRPr="00D06905" w:rsidRDefault="00E25CC6" w:rsidP="00CE1EE8">
            <w:pPr>
              <w:autoSpaceDE w:val="0"/>
              <w:autoSpaceDN w:val="0"/>
              <w:adjustRightInd w:val="0"/>
              <w:spacing w:after="0"/>
              <w:jc w:val="right"/>
              <w:rPr>
                <w:rFonts w:ascii="Calibri" w:hAnsi="Calibri" w:cs="Calibri"/>
                <w:sz w:val="19"/>
                <w:szCs w:val="22"/>
                <w:lang w:eastAsia="en-AU"/>
              </w:rPr>
            </w:pPr>
            <w:r w:rsidRPr="00D06905">
              <w:rPr>
                <w:rFonts w:ascii="Calibri" w:hAnsi="Calibri" w:cs="Calibri"/>
                <w:sz w:val="19"/>
                <w:szCs w:val="22"/>
                <w:lang w:eastAsia="en-AU"/>
              </w:rPr>
              <w:t>nm</w:t>
            </w:r>
          </w:p>
        </w:tc>
        <w:tc>
          <w:tcPr>
            <w:tcW w:w="908" w:type="dxa"/>
            <w:tcBorders>
              <w:top w:val="single" w:sz="6" w:space="0" w:color="auto"/>
              <w:left w:val="nil"/>
              <w:right w:val="nil"/>
            </w:tcBorders>
          </w:tcPr>
          <w:p w:rsidR="00E25CC6" w:rsidRPr="00D06905" w:rsidRDefault="00E25CC6" w:rsidP="00CE1EE8">
            <w:pPr>
              <w:autoSpaceDE w:val="0"/>
              <w:autoSpaceDN w:val="0"/>
              <w:adjustRightInd w:val="0"/>
              <w:spacing w:after="0"/>
              <w:jc w:val="right"/>
              <w:rPr>
                <w:rFonts w:ascii="Calibri" w:hAnsi="Calibri" w:cs="Calibri"/>
                <w:sz w:val="19"/>
                <w:szCs w:val="22"/>
                <w:lang w:eastAsia="en-AU"/>
              </w:rPr>
            </w:pPr>
            <w:r w:rsidRPr="00D06905">
              <w:rPr>
                <w:rFonts w:ascii="Calibri" w:hAnsi="Calibri" w:cs="Calibri"/>
                <w:sz w:val="19"/>
                <w:szCs w:val="22"/>
                <w:lang w:eastAsia="en-AU"/>
              </w:rPr>
              <w:t>nm</w:t>
            </w:r>
          </w:p>
        </w:tc>
      </w:tr>
      <w:tr w:rsidR="00E25CC6" w:rsidRPr="00737159" w:rsidTr="00670E32">
        <w:trPr>
          <w:cantSplit/>
        </w:trPr>
        <w:tc>
          <w:tcPr>
            <w:tcW w:w="7767" w:type="dxa"/>
            <w:gridSpan w:val="6"/>
            <w:tcBorders>
              <w:top w:val="nil"/>
              <w:left w:val="nil"/>
              <w:bottom w:val="single" w:sz="6" w:space="0" w:color="auto"/>
              <w:right w:val="nil"/>
            </w:tcBorders>
          </w:tcPr>
          <w:p w:rsidR="00E25CC6" w:rsidRPr="00D06905" w:rsidRDefault="00E25CC6" w:rsidP="00656F5B">
            <w:pPr>
              <w:pStyle w:val="OGNotes"/>
            </w:pPr>
            <w:r w:rsidRPr="00D06905">
              <w:t>This performance measure is proposed to consolidate the 2015</w:t>
            </w:r>
            <w:r w:rsidRPr="00D06905">
              <w:noBreakHyphen/>
              <w:t xml:space="preserve">16 performance measures </w:t>
            </w:r>
            <w:r>
              <w:t>‘</w:t>
            </w:r>
            <w:r w:rsidRPr="00D06905">
              <w:t>New taxi, hire vehicle and bus driver accreditation applications processed within 14 days</w:t>
            </w:r>
            <w:r>
              <w:t>’</w:t>
            </w:r>
            <w:r w:rsidRPr="00D06905">
              <w:t xml:space="preserve"> and </w:t>
            </w:r>
            <w:r>
              <w:t>‘</w:t>
            </w:r>
            <w:r w:rsidRPr="00D06905">
              <w:t>Road vehicle and driver regulation: new and renewed driving instructor authority applications processed within 14 days</w:t>
            </w:r>
            <w:r>
              <w:t>’</w:t>
            </w:r>
            <w:r w:rsidRPr="00D06905">
              <w:t>. These measures have been consolidated to measure the Taxi Services Commission</w:t>
            </w:r>
            <w:r>
              <w:t>’</w:t>
            </w:r>
            <w:r w:rsidRPr="00D06905">
              <w:t>s responsiveness in processing all accreditation applications.</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safety programmed works completed within agreed timeframes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CE1EE8">
            <w:pPr>
              <w:pStyle w:val="OGTabText"/>
              <w:rPr>
                <w:lang w:eastAsia="en-AU"/>
              </w:rPr>
            </w:pPr>
            <w:r w:rsidRPr="00737159">
              <w:rPr>
                <w:lang w:eastAsia="en-AU"/>
              </w:rPr>
              <w:t>Road vehicle and driver regulation: average speed of calls answered in VicRoads</w:t>
            </w:r>
            <w:r>
              <w:rPr>
                <w:lang w:eastAsia="en-AU"/>
              </w:rPr>
              <w:t>’</w:t>
            </w:r>
            <w:r w:rsidRPr="00737159">
              <w:rPr>
                <w:lang w:eastAsia="en-AU"/>
              </w:rPr>
              <w:t xml:space="preserve"> call centres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seconds</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240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240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240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208</w:t>
            </w:r>
          </w:p>
        </w:tc>
      </w:tr>
      <w:tr w:rsidR="00E25CC6" w:rsidRPr="00737159" w:rsidTr="009F0B90">
        <w:trPr>
          <w:cantSplit/>
        </w:trPr>
        <w:tc>
          <w:tcPr>
            <w:tcW w:w="3144" w:type="dxa"/>
            <w:tcBorders>
              <w:top w:val="single" w:sz="6" w:space="0" w:color="auto"/>
              <w:left w:val="nil"/>
              <w:bottom w:val="single" w:sz="6" w:space="0" w:color="auto"/>
              <w:right w:val="nil"/>
            </w:tcBorders>
          </w:tcPr>
          <w:p w:rsidR="00E25CC6" w:rsidRPr="00737159" w:rsidRDefault="00E25CC6" w:rsidP="00BA1E88">
            <w:pPr>
              <w:pStyle w:val="OGTabText"/>
              <w:rPr>
                <w:lang w:eastAsia="en-AU"/>
              </w:rPr>
            </w:pPr>
            <w:r w:rsidRPr="00737159">
              <w:rPr>
                <w:lang w:eastAsia="en-AU"/>
              </w:rPr>
              <w:t>Road vehicle and driver regulation: customers served within 10</w:t>
            </w:r>
            <w:r>
              <w:rPr>
                <w:lang w:eastAsia="en-AU"/>
              </w:rPr>
              <w:t> </w:t>
            </w:r>
            <w:r w:rsidRPr="00737159">
              <w:rPr>
                <w:lang w:eastAsia="en-AU"/>
              </w:rPr>
              <w:t>minutes in VicRoads</w:t>
            </w:r>
            <w:r>
              <w:rPr>
                <w:lang w:eastAsia="en-AU"/>
              </w:rPr>
              <w:t>’</w:t>
            </w:r>
            <w:r w:rsidRPr="00737159">
              <w:rPr>
                <w:lang w:eastAsia="en-AU"/>
              </w:rPr>
              <w:t xml:space="preserve"> Customer Service Centres</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80</w:t>
            </w:r>
          </w:p>
        </w:tc>
        <w:tc>
          <w:tcPr>
            <w:tcW w:w="908" w:type="dxa"/>
            <w:tcBorders>
              <w:top w:val="single" w:sz="6" w:space="0" w:color="auto"/>
              <w:left w:val="nil"/>
              <w:bottom w:val="single" w:sz="6" w:space="0" w:color="auto"/>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81</w:t>
            </w:r>
          </w:p>
        </w:tc>
      </w:tr>
      <w:tr w:rsidR="00E25CC6" w:rsidRPr="00737159" w:rsidTr="00F10503">
        <w:trPr>
          <w:cantSplit/>
        </w:trPr>
        <w:tc>
          <w:tcPr>
            <w:tcW w:w="3144" w:type="dxa"/>
            <w:tcBorders>
              <w:top w:val="single" w:sz="6" w:space="0" w:color="auto"/>
              <w:left w:val="nil"/>
              <w:bottom w:val="single" w:sz="6" w:space="0" w:color="auto"/>
              <w:right w:val="nil"/>
            </w:tcBorders>
          </w:tcPr>
          <w:p w:rsidR="00E25CC6" w:rsidRPr="00737159" w:rsidRDefault="00E25CC6" w:rsidP="00CA26A5">
            <w:pPr>
              <w:pStyle w:val="OGTabText"/>
              <w:rPr>
                <w:lang w:eastAsia="en-AU"/>
              </w:rPr>
            </w:pPr>
            <w:r w:rsidRPr="00737159">
              <w:rPr>
                <w:lang w:eastAsia="en-AU"/>
              </w:rPr>
              <w:t>Transport and marine safety investigations: accidents/incidents assessed within two days of notification to determine need for detailed investigation</w:t>
            </w:r>
          </w:p>
        </w:tc>
        <w:tc>
          <w:tcPr>
            <w:tcW w:w="907" w:type="dxa"/>
            <w:tcBorders>
              <w:top w:val="single" w:sz="6" w:space="0" w:color="auto"/>
              <w:left w:val="nil"/>
              <w:bottom w:val="single" w:sz="6" w:space="0" w:color="auto"/>
              <w:right w:val="nil"/>
            </w:tcBorders>
          </w:tcPr>
          <w:p w:rsidR="00E25CC6" w:rsidRPr="00737159" w:rsidRDefault="00E25CC6" w:rsidP="00CA26A5">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per cent</w:t>
            </w:r>
          </w:p>
        </w:tc>
        <w:tc>
          <w:tcPr>
            <w:tcW w:w="909" w:type="dxa"/>
            <w:tcBorders>
              <w:top w:val="single" w:sz="6" w:space="0" w:color="auto"/>
              <w:left w:val="nil"/>
              <w:bottom w:val="single" w:sz="6" w:space="0" w:color="auto"/>
              <w:right w:val="nil"/>
            </w:tcBorders>
            <w:shd w:val="clear" w:color="auto" w:fill="DCDCDC"/>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100</w:t>
            </w:r>
          </w:p>
        </w:tc>
      </w:tr>
      <w:tr w:rsidR="00E25CC6" w:rsidRPr="00737159" w:rsidTr="00F10503">
        <w:trPr>
          <w:cantSplit/>
        </w:trPr>
        <w:tc>
          <w:tcPr>
            <w:tcW w:w="3144" w:type="dxa"/>
            <w:tcBorders>
              <w:top w:val="single" w:sz="6" w:space="0" w:color="auto"/>
              <w:left w:val="nil"/>
              <w:right w:val="nil"/>
            </w:tcBorders>
          </w:tcPr>
          <w:p w:rsidR="00E25CC6" w:rsidRPr="00737159" w:rsidRDefault="00E25CC6" w:rsidP="00CA26A5">
            <w:pPr>
              <w:pStyle w:val="OGTabText"/>
              <w:rPr>
                <w:lang w:eastAsia="en-AU"/>
              </w:rPr>
            </w:pPr>
            <w:r w:rsidRPr="00737159">
              <w:rPr>
                <w:lang w:eastAsia="en-AU"/>
              </w:rPr>
              <w:t>Transport and marine safety investigations: average time taken to complete investigations</w:t>
            </w:r>
          </w:p>
        </w:tc>
        <w:tc>
          <w:tcPr>
            <w:tcW w:w="907" w:type="dxa"/>
            <w:tcBorders>
              <w:top w:val="single" w:sz="6" w:space="0" w:color="auto"/>
              <w:left w:val="nil"/>
              <w:right w:val="nil"/>
            </w:tcBorders>
          </w:tcPr>
          <w:p w:rsidR="00E25CC6" w:rsidRPr="00737159" w:rsidRDefault="00E25CC6" w:rsidP="00CA26A5">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months</w:t>
            </w:r>
          </w:p>
        </w:tc>
        <w:tc>
          <w:tcPr>
            <w:tcW w:w="909" w:type="dxa"/>
            <w:tcBorders>
              <w:top w:val="single" w:sz="6" w:space="0" w:color="auto"/>
              <w:left w:val="nil"/>
              <w:right w:val="nil"/>
            </w:tcBorders>
            <w:shd w:val="clear" w:color="auto" w:fill="DCDCDC"/>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12</w:t>
            </w:r>
          </w:p>
        </w:tc>
        <w:tc>
          <w:tcPr>
            <w:tcW w:w="992" w:type="dxa"/>
            <w:tcBorders>
              <w:top w:val="single" w:sz="6" w:space="0" w:color="auto"/>
              <w:left w:val="nil"/>
              <w:right w:val="nil"/>
            </w:tcBorders>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13</w:t>
            </w:r>
          </w:p>
        </w:tc>
        <w:tc>
          <w:tcPr>
            <w:tcW w:w="907" w:type="dxa"/>
            <w:tcBorders>
              <w:top w:val="single" w:sz="6" w:space="0" w:color="auto"/>
              <w:left w:val="nil"/>
              <w:right w:val="nil"/>
            </w:tcBorders>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12</w:t>
            </w:r>
          </w:p>
        </w:tc>
        <w:tc>
          <w:tcPr>
            <w:tcW w:w="908" w:type="dxa"/>
            <w:tcBorders>
              <w:top w:val="single" w:sz="6" w:space="0" w:color="auto"/>
              <w:left w:val="nil"/>
              <w:right w:val="nil"/>
            </w:tcBorders>
          </w:tcPr>
          <w:p w:rsidR="00E25CC6" w:rsidRPr="00737159" w:rsidRDefault="00E25CC6" w:rsidP="00CA26A5">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14</w:t>
            </w:r>
          </w:p>
        </w:tc>
      </w:tr>
      <w:tr w:rsidR="00E25CC6" w:rsidRPr="00737159" w:rsidTr="00035C1E">
        <w:trPr>
          <w:cantSplit/>
        </w:trPr>
        <w:tc>
          <w:tcPr>
            <w:tcW w:w="7767" w:type="dxa"/>
            <w:gridSpan w:val="6"/>
            <w:tcBorders>
              <w:left w:val="nil"/>
              <w:bottom w:val="single" w:sz="6" w:space="0" w:color="auto"/>
              <w:right w:val="nil"/>
            </w:tcBorders>
          </w:tcPr>
          <w:p w:rsidR="00E25CC6" w:rsidRPr="00737159" w:rsidRDefault="00E25CC6" w:rsidP="00BA1E88">
            <w:pPr>
              <w:pStyle w:val="OGNotes"/>
            </w:pPr>
            <w:r w:rsidRPr="00737159">
              <w:t>The 2015</w:t>
            </w:r>
            <w:r>
              <w:noBreakHyphen/>
            </w:r>
            <w:r w:rsidRPr="00737159">
              <w:t>16 expected outcome is higher than the 2015</w:t>
            </w:r>
            <w:r>
              <w:noBreakHyphen/>
            </w:r>
            <w:r w:rsidRPr="00737159">
              <w:t>16 target due to additional training requirements and one investigation being the subject of a prosecution.</w:t>
            </w:r>
          </w:p>
        </w:tc>
      </w:tr>
      <w:tr w:rsidR="00E25CC6" w:rsidRPr="00737159" w:rsidTr="00D042F3">
        <w:trPr>
          <w:cantSplit/>
        </w:trPr>
        <w:tc>
          <w:tcPr>
            <w:tcW w:w="3144" w:type="dxa"/>
            <w:tcBorders>
              <w:top w:val="single" w:sz="6" w:space="0" w:color="auto"/>
              <w:left w:val="nil"/>
              <w:right w:val="nil"/>
            </w:tcBorders>
          </w:tcPr>
          <w:p w:rsidR="00E25CC6" w:rsidRPr="00737159" w:rsidRDefault="00E25CC6" w:rsidP="00035C1E">
            <w:pPr>
              <w:pStyle w:val="OGTabText"/>
              <w:ind w:left="0"/>
              <w:rPr>
                <w:rFonts w:cs="Calibri"/>
                <w:i/>
                <w:iCs/>
                <w:color w:val="000000"/>
                <w:sz w:val="19"/>
                <w:szCs w:val="22"/>
                <w:lang w:eastAsia="en-AU"/>
              </w:rPr>
            </w:pPr>
            <w:r w:rsidRPr="00737159">
              <w:rPr>
                <w:rFonts w:cs="Calibri"/>
                <w:i/>
                <w:iCs/>
                <w:color w:val="000000"/>
                <w:sz w:val="19"/>
                <w:szCs w:val="22"/>
                <w:lang w:eastAsia="en-AU"/>
              </w:rPr>
              <w:t>Cost</w:t>
            </w: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p>
        </w:tc>
        <w:tc>
          <w:tcPr>
            <w:tcW w:w="909" w:type="dxa"/>
            <w:tcBorders>
              <w:top w:val="single" w:sz="6" w:space="0" w:color="auto"/>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p>
        </w:tc>
      </w:tr>
      <w:tr w:rsidR="00E25CC6" w:rsidRPr="00737159" w:rsidTr="0028781C">
        <w:trPr>
          <w:cantSplit/>
        </w:trPr>
        <w:tc>
          <w:tcPr>
            <w:tcW w:w="3144" w:type="dxa"/>
            <w:tcBorders>
              <w:left w:val="nil"/>
              <w:right w:val="nil"/>
            </w:tcBorders>
          </w:tcPr>
          <w:p w:rsidR="00E25CC6" w:rsidRPr="00737159" w:rsidRDefault="00E25CC6" w:rsidP="00035C1E">
            <w:pPr>
              <w:pStyle w:val="OGTabText"/>
              <w:rPr>
                <w:rFonts w:cs="Calibri"/>
                <w:i/>
                <w:iCs/>
                <w:color w:val="000000"/>
                <w:sz w:val="19"/>
                <w:szCs w:val="22"/>
                <w:lang w:eastAsia="en-AU"/>
              </w:rPr>
            </w:pPr>
            <w:r w:rsidRPr="00737159">
              <w:rPr>
                <w:lang w:eastAsia="en-AU"/>
              </w:rPr>
              <w:t>Total output cost</w:t>
            </w:r>
          </w:p>
        </w:tc>
        <w:tc>
          <w:tcPr>
            <w:tcW w:w="907" w:type="dxa"/>
            <w:tcBorders>
              <w:left w:val="nil"/>
              <w:right w:val="nil"/>
            </w:tcBorders>
          </w:tcPr>
          <w:p w:rsidR="00E25CC6" w:rsidRPr="00737159" w:rsidRDefault="00E25CC6" w:rsidP="00CE1EE8">
            <w:pPr>
              <w:autoSpaceDE w:val="0"/>
              <w:autoSpaceDN w:val="0"/>
              <w:adjustRightInd w:val="0"/>
              <w:spacing w:after="0"/>
              <w:jc w:val="center"/>
              <w:rPr>
                <w:rFonts w:ascii="Calibri" w:hAnsi="Calibri" w:cs="Calibri"/>
                <w:color w:val="000000"/>
                <w:sz w:val="19"/>
                <w:szCs w:val="22"/>
                <w:lang w:eastAsia="en-AU"/>
              </w:rPr>
            </w:pPr>
            <w:r w:rsidRPr="00737159">
              <w:rPr>
                <w:rFonts w:ascii="Calibri" w:hAnsi="Calibri" w:cs="Calibri"/>
                <w:color w:val="000000"/>
                <w:sz w:val="19"/>
                <w:szCs w:val="22"/>
                <w:lang w:eastAsia="en-AU"/>
              </w:rPr>
              <w:t>millions</w:t>
            </w:r>
          </w:p>
        </w:tc>
        <w:tc>
          <w:tcPr>
            <w:tcW w:w="909" w:type="dxa"/>
            <w:tcBorders>
              <w:left w:val="nil"/>
              <w:right w:val="nil"/>
            </w:tcBorders>
            <w:shd w:val="clear" w:color="auto" w:fill="DCDCDC"/>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354.1</w:t>
            </w:r>
          </w:p>
        </w:tc>
        <w:tc>
          <w:tcPr>
            <w:tcW w:w="992" w:type="dxa"/>
            <w:tcBorders>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310.1</w:t>
            </w:r>
          </w:p>
        </w:tc>
        <w:tc>
          <w:tcPr>
            <w:tcW w:w="907" w:type="dxa"/>
            <w:tcBorders>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326.7</w:t>
            </w:r>
          </w:p>
        </w:tc>
        <w:tc>
          <w:tcPr>
            <w:tcW w:w="908" w:type="dxa"/>
            <w:tcBorders>
              <w:left w:val="nil"/>
              <w:right w:val="nil"/>
            </w:tcBorders>
          </w:tcPr>
          <w:p w:rsidR="00E25CC6" w:rsidRPr="00737159" w:rsidRDefault="00E25CC6" w:rsidP="00CE1EE8">
            <w:pPr>
              <w:autoSpaceDE w:val="0"/>
              <w:autoSpaceDN w:val="0"/>
              <w:adjustRightInd w:val="0"/>
              <w:spacing w:after="0"/>
              <w:jc w:val="right"/>
              <w:rPr>
                <w:rFonts w:ascii="Calibri" w:hAnsi="Calibri" w:cs="Calibri"/>
                <w:color w:val="000000"/>
                <w:sz w:val="19"/>
                <w:szCs w:val="22"/>
                <w:lang w:eastAsia="en-AU"/>
              </w:rPr>
            </w:pPr>
            <w:r w:rsidRPr="00737159">
              <w:rPr>
                <w:rFonts w:ascii="Calibri" w:hAnsi="Calibri" w:cs="Calibri"/>
                <w:color w:val="000000"/>
                <w:sz w:val="19"/>
                <w:szCs w:val="22"/>
                <w:lang w:eastAsia="en-AU"/>
              </w:rPr>
              <w:t>280.3</w:t>
            </w:r>
          </w:p>
        </w:tc>
      </w:tr>
      <w:tr w:rsidR="00E25CC6" w:rsidRPr="00737159" w:rsidTr="0028781C">
        <w:trPr>
          <w:cantSplit/>
        </w:trPr>
        <w:tc>
          <w:tcPr>
            <w:tcW w:w="7767" w:type="dxa"/>
            <w:gridSpan w:val="6"/>
            <w:tcBorders>
              <w:left w:val="nil"/>
              <w:bottom w:val="single" w:sz="12" w:space="0" w:color="auto"/>
              <w:right w:val="nil"/>
            </w:tcBorders>
          </w:tcPr>
          <w:p w:rsidR="00E25CC6" w:rsidRPr="00D06905" w:rsidRDefault="00E25CC6" w:rsidP="00F10503">
            <w:pPr>
              <w:pStyle w:val="OGNotes"/>
            </w:pPr>
            <w:r w:rsidRPr="00D06905">
              <w:t>The 2015</w:t>
            </w:r>
            <w:r w:rsidRPr="00D06905">
              <w:noBreakHyphen/>
              <w:t>16 expected outcome is lower than the 2015</w:t>
            </w:r>
            <w:r w:rsidRPr="00D06905">
              <w:noBreakHyphen/>
              <w:t>16 target primarily due to a rephase of expenditure into future years for the Safer Systems Road Infrastructure Program (SRIP).</w:t>
            </w:r>
          </w:p>
          <w:p w:rsidR="00E25CC6" w:rsidRPr="00D06905" w:rsidRDefault="00E25CC6" w:rsidP="00F10503">
            <w:pPr>
              <w:pStyle w:val="OGNotes"/>
            </w:pPr>
            <w:r w:rsidRPr="00D06905">
              <w:t>The higher 2016</w:t>
            </w:r>
            <w:r>
              <w:noBreakHyphen/>
            </w:r>
            <w:r w:rsidRPr="00D06905">
              <w:t>17 target is primarily due to Safer Road Infrastructure Program (SRIP) operating projects.</w:t>
            </w:r>
          </w:p>
          <w:p w:rsidR="00E25CC6" w:rsidRPr="00737159" w:rsidRDefault="00E25CC6" w:rsidP="0028781C">
            <w:pPr>
              <w:pStyle w:val="OGNotes"/>
            </w:pPr>
            <w:r w:rsidRPr="00781CAC">
              <w:t>The 2014</w:t>
            </w:r>
            <w:r w:rsidRPr="00781CAC">
              <w:noBreakHyphen/>
              <w:t xml:space="preserve">15 actual </w:t>
            </w:r>
            <w:r>
              <w:t>is</w:t>
            </w:r>
            <w:r w:rsidRPr="00781CAC">
              <w:t xml:space="preserve"> based on a re-mapping of historical output costs.</w:t>
            </w:r>
          </w:p>
        </w:tc>
      </w:tr>
    </w:tbl>
    <w:p w:rsidR="00E25CC6" w:rsidRDefault="00E25CC6" w:rsidP="00215C84">
      <w:pPr>
        <w:pStyle w:val="Source"/>
        <w:rPr>
          <w:rFonts w:eastAsiaTheme="minorHAnsi"/>
        </w:rPr>
      </w:pPr>
      <w:r w:rsidRPr="00737159">
        <w:rPr>
          <w:rFonts w:eastAsiaTheme="minorHAnsi"/>
        </w:rPr>
        <w:t>Source: Department of Economic Development, Jobs, Transport and Resources</w:t>
      </w:r>
      <w:bookmarkEnd w:id="58"/>
      <w:r>
        <w:rPr>
          <w:rFonts w:eastAsiaTheme="minorHAnsi"/>
        </w:rPr>
        <w:t xml:space="preserve"> </w:t>
      </w:r>
      <w:r>
        <w:rPr>
          <w:rFonts w:eastAsiaTheme="minorHAnsi"/>
        </w:rPr>
        <w:fldChar w:fldCharType="begin"/>
      </w:r>
      <w:r>
        <w:instrText xml:space="preserve"> XE "</w:instrText>
      </w:r>
      <w:r w:rsidRPr="000E11A4">
        <w:instrText>Department of Economic Development, Jobs, Transport and Resources:Transport Network Safety, Operation and Development</w:instrText>
      </w:r>
      <w:r>
        <w:instrText xml:space="preserve">" \r "DEDJTR_TransNetSafe" </w:instrText>
      </w:r>
      <w:r>
        <w:rPr>
          <w:rFonts w:eastAsiaTheme="minorHAnsi"/>
        </w:rPr>
        <w:fldChar w:fldCharType="end"/>
      </w:r>
      <w:r>
        <w:rPr>
          <w:rFonts w:eastAsiaTheme="minorHAnsi"/>
        </w:rPr>
        <w:t xml:space="preserve"> </w:t>
      </w:r>
      <w:r>
        <w:fldChar w:fldCharType="begin"/>
      </w:r>
      <w:r>
        <w:instrText xml:space="preserve"> XE "</w:instrText>
      </w:r>
      <w:r w:rsidRPr="00BD0804">
        <w:instrText>Transport Network Safety, Operation and Development</w:instrText>
      </w:r>
      <w:r>
        <w:instrText xml:space="preserve">" \r "DEDJTR_TransNetSafe" </w:instrText>
      </w:r>
      <w:r>
        <w:fldChar w:fldCharType="end"/>
      </w:r>
    </w:p>
    <w:p w:rsidR="00E25CC6" w:rsidRDefault="00E25CC6" w:rsidP="00CE1EE8">
      <w:pPr>
        <w:pStyle w:val="OGText"/>
        <w:rPr>
          <w:rFonts w:eastAsiaTheme="minorHAnsi"/>
        </w:rPr>
      </w:pPr>
    </w:p>
    <w:p w:rsidR="00E25CC6" w:rsidRDefault="00E25CC6" w:rsidP="00243370">
      <w:pPr>
        <w:rPr>
          <w:rFonts w:eastAsiaTheme="minorHAnsi"/>
        </w:rPr>
        <w:sectPr w:rsidR="00E25CC6" w:rsidSect="00007537">
          <w:footerReference w:type="even" r:id="rId25"/>
          <w:footerReference w:type="default" r:id="rId26"/>
          <w:pgSz w:w="9979" w:h="14181" w:code="138"/>
          <w:pgMar w:top="1140" w:right="1140" w:bottom="1140" w:left="1140" w:header="720" w:footer="431" w:gutter="0"/>
          <w:cols w:space="708"/>
          <w:docGrid w:linePitch="360"/>
        </w:sectPr>
      </w:pPr>
    </w:p>
    <w:p w:rsidR="00E25CC6" w:rsidRPr="003360B5" w:rsidRDefault="00E25CC6" w:rsidP="005E6CDD">
      <w:pPr>
        <w:pStyle w:val="Heading1"/>
        <w:rPr>
          <w:rFonts w:eastAsiaTheme="minorHAnsi"/>
        </w:rPr>
      </w:pPr>
      <w:bookmarkStart w:id="59" w:name="_Toc449109439"/>
      <w:r w:rsidRPr="003360B5">
        <w:rPr>
          <w:rFonts w:eastAsiaTheme="minorHAnsi"/>
        </w:rPr>
        <w:t xml:space="preserve">Department of </w:t>
      </w:r>
      <w:r w:rsidRPr="003360B5">
        <w:t>Education and Training</w:t>
      </w:r>
      <w:bookmarkEnd w:id="59"/>
    </w:p>
    <w:p w:rsidR="00E25CC6" w:rsidRPr="003360B5" w:rsidRDefault="00E25CC6" w:rsidP="005D10B6">
      <w:pPr>
        <w:pStyle w:val="Heading2"/>
        <w:rPr>
          <w:rFonts w:eastAsiaTheme="minorHAnsi"/>
        </w:rPr>
      </w:pPr>
      <w:r w:rsidRPr="003360B5">
        <w:rPr>
          <w:rFonts w:eastAsiaTheme="minorHAnsi"/>
        </w:rPr>
        <w:t>Ministerial portfolios</w:t>
      </w:r>
    </w:p>
    <w:p w:rsidR="00E25CC6" w:rsidRPr="003360B5" w:rsidRDefault="00E25CC6" w:rsidP="005D10B6">
      <w:pPr>
        <w:rPr>
          <w:rFonts w:eastAsiaTheme="minorHAnsi"/>
        </w:rPr>
      </w:pPr>
      <w:r w:rsidRPr="003360B5">
        <w:rPr>
          <w:rFonts w:eastAsiaTheme="minorHAnsi"/>
        </w:rPr>
        <w:t>The Department supports the ministerial portfolios of families and children, education, and training and skills.</w:t>
      </w:r>
    </w:p>
    <w:p w:rsidR="00E25CC6" w:rsidRPr="003360B5" w:rsidRDefault="00E25CC6" w:rsidP="005D10B6">
      <w:pPr>
        <w:pStyle w:val="Heading2"/>
        <w:rPr>
          <w:rFonts w:eastAsiaTheme="minorHAnsi"/>
        </w:rPr>
      </w:pPr>
      <w:r w:rsidRPr="003360B5">
        <w:rPr>
          <w:rFonts w:eastAsiaTheme="minorHAnsi"/>
        </w:rPr>
        <w:t>Departmental mission statement</w:t>
      </w:r>
    </w:p>
    <w:p w:rsidR="00E25CC6" w:rsidRPr="003360B5" w:rsidRDefault="00E25CC6" w:rsidP="00571875">
      <w:pPr>
        <w:rPr>
          <w:rFonts w:eastAsiaTheme="minorHAnsi"/>
        </w:rPr>
      </w:pPr>
      <w:r w:rsidRPr="003360B5">
        <w:rPr>
          <w:rFonts w:eastAsiaTheme="minorHAnsi"/>
        </w:rPr>
        <w:t>The Department of Education and Training</w:t>
      </w:r>
      <w:r>
        <w:rPr>
          <w:rFonts w:eastAsiaTheme="minorHAnsi"/>
        </w:rPr>
        <w:t>’</w:t>
      </w:r>
      <w:r w:rsidRPr="003360B5">
        <w:rPr>
          <w:rFonts w:eastAsiaTheme="minorHAnsi"/>
        </w:rPr>
        <w:t xml:space="preserve">s mission is captured within its statement of </w:t>
      </w:r>
      <w:r>
        <w:rPr>
          <w:rFonts w:eastAsiaTheme="minorHAnsi"/>
        </w:rPr>
        <w:t>‘</w:t>
      </w:r>
      <w:r w:rsidRPr="003360B5">
        <w:rPr>
          <w:rFonts w:eastAsiaTheme="minorHAnsi"/>
        </w:rPr>
        <w:t>strategic intent</w:t>
      </w:r>
      <w:r>
        <w:rPr>
          <w:rFonts w:eastAsiaTheme="minorHAnsi"/>
        </w:rPr>
        <w:t>’</w:t>
      </w:r>
      <w:r w:rsidRPr="003360B5">
        <w:rPr>
          <w:rFonts w:eastAsiaTheme="minorHAnsi"/>
        </w:rPr>
        <w:t>.</w:t>
      </w:r>
    </w:p>
    <w:p w:rsidR="00E25CC6" w:rsidRPr="003360B5" w:rsidRDefault="00E25CC6" w:rsidP="00571875">
      <w:pPr>
        <w:ind w:left="567" w:right="1182"/>
        <w:jc w:val="center"/>
        <w:rPr>
          <w:rFonts w:eastAsiaTheme="minorHAnsi"/>
          <w:i/>
        </w:rPr>
      </w:pPr>
      <w:r>
        <w:rPr>
          <w:rFonts w:eastAsiaTheme="minorHAnsi"/>
          <w:i/>
        </w:rPr>
        <w:t>‘</w:t>
      </w:r>
      <w:r w:rsidRPr="003360B5">
        <w:rPr>
          <w:rFonts w:eastAsiaTheme="minorHAnsi"/>
          <w:i/>
        </w:rPr>
        <w:t xml:space="preserve">Together we give every Victorian the best learning and development experience, </w:t>
      </w:r>
      <w:r w:rsidRPr="003360B5">
        <w:rPr>
          <w:rFonts w:eastAsiaTheme="minorHAnsi"/>
          <w:i/>
        </w:rPr>
        <w:br/>
        <w:t>making our state a smarter, fairer and more prosperous place.</w:t>
      </w:r>
      <w:r>
        <w:rPr>
          <w:rFonts w:eastAsiaTheme="minorHAnsi"/>
          <w:i/>
        </w:rPr>
        <w:t>’</w:t>
      </w:r>
      <w:r w:rsidRPr="003360B5">
        <w:rPr>
          <w:rFonts w:eastAsiaTheme="minorHAnsi"/>
          <w:i/>
        </w:rPr>
        <w:t xml:space="preserve"> </w:t>
      </w:r>
    </w:p>
    <w:p w:rsidR="00E25CC6" w:rsidRPr="003360B5" w:rsidRDefault="00E25CC6" w:rsidP="00571875">
      <w:pPr>
        <w:rPr>
          <w:rFonts w:eastAsiaTheme="minorHAnsi"/>
        </w:rPr>
      </w:pPr>
      <w:r w:rsidRPr="003360B5">
        <w:rPr>
          <w:rFonts w:eastAsiaTheme="minorHAnsi"/>
        </w:rPr>
        <w:t>As part of this vision, we want Victoria to be a place where:</w:t>
      </w:r>
    </w:p>
    <w:p w:rsidR="00E25CC6" w:rsidRPr="003360B5" w:rsidRDefault="00E25CC6" w:rsidP="00571875">
      <w:pPr>
        <w:pStyle w:val="BulletText"/>
        <w:rPr>
          <w:rFonts w:eastAsiaTheme="minorHAnsi"/>
        </w:rPr>
      </w:pPr>
      <w:r w:rsidRPr="003360B5">
        <w:rPr>
          <w:rFonts w:eastAsiaTheme="minorHAnsi"/>
        </w:rPr>
        <w:t>children and young people are confident, optimistic, healthy and resilient;</w:t>
      </w:r>
    </w:p>
    <w:p w:rsidR="00E25CC6" w:rsidRPr="003360B5" w:rsidRDefault="00E25CC6" w:rsidP="00571875">
      <w:pPr>
        <w:pStyle w:val="BulletText"/>
        <w:rPr>
          <w:rFonts w:eastAsiaTheme="minorHAnsi"/>
        </w:rPr>
      </w:pPr>
      <w:r w:rsidRPr="003360B5">
        <w:rPr>
          <w:rFonts w:eastAsiaTheme="minorHAnsi"/>
        </w:rPr>
        <w:t>students reach their potential, regardless of background, place, circumstance or abilities;</w:t>
      </w:r>
    </w:p>
    <w:p w:rsidR="00E25CC6" w:rsidRPr="003360B5" w:rsidRDefault="00E25CC6" w:rsidP="00571875">
      <w:pPr>
        <w:pStyle w:val="BulletText"/>
        <w:rPr>
          <w:rFonts w:eastAsiaTheme="minorHAnsi"/>
        </w:rPr>
      </w:pPr>
      <w:r w:rsidRPr="003360B5">
        <w:rPr>
          <w:rFonts w:eastAsiaTheme="minorHAnsi"/>
        </w:rPr>
        <w:t>Victorians develop knowledge, skills and attributes needed now and for the jobs of the future; and</w:t>
      </w:r>
    </w:p>
    <w:p w:rsidR="00E25CC6" w:rsidRPr="003360B5" w:rsidRDefault="00E25CC6" w:rsidP="00571875">
      <w:pPr>
        <w:pStyle w:val="BulletText"/>
        <w:rPr>
          <w:rFonts w:eastAsiaTheme="minorHAnsi"/>
        </w:rPr>
      </w:pPr>
      <w:r w:rsidRPr="003360B5">
        <w:rPr>
          <w:rFonts w:eastAsiaTheme="minorHAnsi"/>
        </w:rPr>
        <w:t>the Department</w:t>
      </w:r>
      <w:r>
        <w:rPr>
          <w:rFonts w:eastAsiaTheme="minorHAnsi"/>
        </w:rPr>
        <w:t>’</w:t>
      </w:r>
      <w:r w:rsidRPr="003360B5">
        <w:rPr>
          <w:rFonts w:eastAsiaTheme="minorHAnsi"/>
        </w:rPr>
        <w:t>s workforce is high performing, empowered, valued and supported.</w:t>
      </w:r>
    </w:p>
    <w:p w:rsidR="00E25CC6" w:rsidRDefault="00E25CC6">
      <w:pPr>
        <w:spacing w:after="0"/>
        <w:rPr>
          <w:rFonts w:ascii="Calibri" w:eastAsiaTheme="minorHAnsi" w:hAnsi="Calibri"/>
          <w:b/>
          <w:kern w:val="28"/>
          <w:sz w:val="26"/>
          <w:szCs w:val="22"/>
        </w:rPr>
      </w:pPr>
      <w:r>
        <w:rPr>
          <w:rFonts w:eastAsiaTheme="minorHAnsi"/>
        </w:rPr>
        <w:br w:type="page"/>
      </w:r>
    </w:p>
    <w:p w:rsidR="00E25CC6" w:rsidRPr="003360B5" w:rsidRDefault="00E25CC6" w:rsidP="005D10B6">
      <w:pPr>
        <w:pStyle w:val="Heading2"/>
        <w:rPr>
          <w:rFonts w:eastAsiaTheme="minorHAnsi"/>
        </w:rPr>
      </w:pPr>
      <w:r w:rsidRPr="003360B5">
        <w:rPr>
          <w:rFonts w:eastAsiaTheme="minorHAnsi"/>
        </w:rPr>
        <w:t>Departmental objectives, indicators and outputs</w:t>
      </w:r>
    </w:p>
    <w:p w:rsidR="00E25CC6" w:rsidRPr="003360B5" w:rsidRDefault="00E25CC6" w:rsidP="005D10B6">
      <w:pPr>
        <w:rPr>
          <w:rFonts w:eastAsiaTheme="minorHAnsi"/>
        </w:rPr>
      </w:pPr>
      <w:r w:rsidRPr="003360B5">
        <w:rPr>
          <w:rFonts w:eastAsiaTheme="minorHAnsi"/>
        </w:rPr>
        <w:t>The Department of Education and Training</w:t>
      </w:r>
      <w:r>
        <w:rPr>
          <w:rFonts w:eastAsiaTheme="minorHAnsi"/>
        </w:rPr>
        <w:t>’</w:t>
      </w:r>
      <w:r w:rsidRPr="003360B5">
        <w:rPr>
          <w:rFonts w:eastAsiaTheme="minorHAnsi"/>
        </w:rPr>
        <w:t>s objectives, indicators and linked outputs are:</w:t>
      </w:r>
    </w:p>
    <w:tbl>
      <w:tblPr>
        <w:tblW w:w="5016" w:type="pct"/>
        <w:tblLayout w:type="fixed"/>
        <w:tblCellMar>
          <w:top w:w="45" w:type="dxa"/>
          <w:left w:w="43" w:type="dxa"/>
          <w:right w:w="43" w:type="dxa"/>
        </w:tblCellMar>
        <w:tblLook w:val="01E0" w:firstRow="1" w:lastRow="1" w:firstColumn="1" w:lastColumn="1" w:noHBand="0" w:noVBand="0"/>
      </w:tblPr>
      <w:tblGrid>
        <w:gridCol w:w="22"/>
        <w:gridCol w:w="1518"/>
        <w:gridCol w:w="4253"/>
        <w:gridCol w:w="1994"/>
        <w:gridCol w:w="23"/>
      </w:tblGrid>
      <w:tr w:rsidR="00E25CC6" w:rsidRPr="003360B5" w:rsidTr="00E16970">
        <w:trPr>
          <w:cantSplit/>
          <w:tblHeader/>
        </w:trPr>
        <w:tc>
          <w:tcPr>
            <w:tcW w:w="1541" w:type="dxa"/>
            <w:gridSpan w:val="2"/>
            <w:tcBorders>
              <w:top w:val="single" w:sz="6" w:space="0" w:color="auto"/>
              <w:left w:val="single" w:sz="6" w:space="0" w:color="auto"/>
              <w:bottom w:val="single" w:sz="6" w:space="0" w:color="auto"/>
            </w:tcBorders>
            <w:shd w:val="clear" w:color="auto" w:fill="000000"/>
          </w:tcPr>
          <w:p w:rsidR="00E25CC6" w:rsidRPr="003360B5" w:rsidRDefault="00E25CC6" w:rsidP="00505F6B">
            <w:pPr>
              <w:pStyle w:val="Tabletextheadingleft"/>
            </w:pPr>
            <w:r w:rsidRPr="003360B5">
              <w:t xml:space="preserve">Departmental objectives </w:t>
            </w:r>
          </w:p>
        </w:tc>
        <w:tc>
          <w:tcPr>
            <w:tcW w:w="4255" w:type="dxa"/>
            <w:tcBorders>
              <w:top w:val="single" w:sz="6" w:space="0" w:color="auto"/>
              <w:bottom w:val="single" w:sz="6" w:space="0" w:color="auto"/>
            </w:tcBorders>
            <w:shd w:val="clear" w:color="auto" w:fill="000000"/>
          </w:tcPr>
          <w:p w:rsidR="00E25CC6" w:rsidRPr="003360B5" w:rsidRDefault="00E25CC6" w:rsidP="00505F6B">
            <w:pPr>
              <w:pStyle w:val="Tabletextheadingleft"/>
            </w:pPr>
            <w:r w:rsidRPr="003360B5">
              <w:t>Indicators</w:t>
            </w:r>
          </w:p>
        </w:tc>
        <w:tc>
          <w:tcPr>
            <w:tcW w:w="2018" w:type="dxa"/>
            <w:gridSpan w:val="2"/>
            <w:tcBorders>
              <w:top w:val="single" w:sz="6" w:space="0" w:color="auto"/>
              <w:bottom w:val="single" w:sz="6" w:space="0" w:color="auto"/>
            </w:tcBorders>
            <w:shd w:val="clear" w:color="auto" w:fill="000000"/>
          </w:tcPr>
          <w:p w:rsidR="00E25CC6" w:rsidRPr="003360B5" w:rsidRDefault="00E25CC6" w:rsidP="00505F6B">
            <w:pPr>
              <w:pStyle w:val="Tabletextheadingleft"/>
            </w:pPr>
            <w:r w:rsidRPr="003360B5">
              <w:t>Outputs</w:t>
            </w:r>
          </w:p>
        </w:tc>
      </w:tr>
      <w:tr w:rsidR="00E25CC6" w:rsidRPr="003360B5" w:rsidTr="00E16970">
        <w:trPr>
          <w:gridAfter w:val="1"/>
          <w:wAfter w:w="23" w:type="dxa"/>
          <w:cantSplit/>
        </w:trPr>
        <w:tc>
          <w:tcPr>
            <w:tcW w:w="1541" w:type="dxa"/>
            <w:gridSpan w:val="2"/>
            <w:tcBorders>
              <w:top w:val="single" w:sz="6" w:space="0" w:color="auto"/>
              <w:bottom w:val="single" w:sz="6" w:space="0" w:color="auto"/>
            </w:tcBorders>
            <w:shd w:val="clear" w:color="auto" w:fill="auto"/>
          </w:tcPr>
          <w:p w:rsidR="00E25CC6" w:rsidRPr="003360B5" w:rsidRDefault="00E25CC6" w:rsidP="00571875">
            <w:pPr>
              <w:pStyle w:val="Tabletextcentred"/>
              <w:jc w:val="left"/>
              <w:rPr>
                <w:b/>
                <w:sz w:val="18"/>
                <w:lang w:eastAsia="en-AU"/>
              </w:rPr>
            </w:pPr>
            <w:r w:rsidRPr="003360B5">
              <w:rPr>
                <w:b/>
                <w:sz w:val="18"/>
              </w:rPr>
              <w:t>Achievement</w:t>
            </w:r>
            <w:r w:rsidRPr="003360B5">
              <w:rPr>
                <w:b/>
                <w:sz w:val="18"/>
                <w:lang w:eastAsia="en-AU"/>
              </w:rPr>
              <w:t xml:space="preserve"> </w:t>
            </w:r>
          </w:p>
          <w:p w:rsidR="00E25CC6" w:rsidRPr="003360B5" w:rsidRDefault="00E25CC6" w:rsidP="00571875">
            <w:pPr>
              <w:pStyle w:val="Tabletextcentred"/>
              <w:jc w:val="left"/>
              <w:rPr>
                <w:sz w:val="18"/>
                <w:lang w:eastAsia="en-AU"/>
              </w:rPr>
            </w:pPr>
            <w:r w:rsidRPr="003360B5">
              <w:rPr>
                <w:sz w:val="18"/>
                <w:lang w:eastAsia="en-AU"/>
              </w:rPr>
              <w:t xml:space="preserve">Raise standards of learning and </w:t>
            </w:r>
            <w:r w:rsidRPr="003360B5">
              <w:rPr>
                <w:sz w:val="18"/>
              </w:rPr>
              <w:t>development</w:t>
            </w:r>
            <w:r w:rsidRPr="003360B5">
              <w:rPr>
                <w:sz w:val="18"/>
                <w:lang w:eastAsia="en-AU"/>
              </w:rPr>
              <w:t xml:space="preserve"> achieved by </w:t>
            </w:r>
            <w:r w:rsidRPr="003360B5">
              <w:rPr>
                <w:sz w:val="18"/>
              </w:rPr>
              <w:t>Victorians</w:t>
            </w:r>
            <w:r w:rsidRPr="003360B5">
              <w:rPr>
                <w:sz w:val="18"/>
                <w:lang w:eastAsia="en-AU"/>
              </w:rPr>
              <w:t xml:space="preserve"> using education, training, development and child health services</w:t>
            </w:r>
          </w:p>
        </w:tc>
        <w:tc>
          <w:tcPr>
            <w:tcW w:w="4255" w:type="dxa"/>
            <w:tcBorders>
              <w:top w:val="single" w:sz="6" w:space="0" w:color="auto"/>
              <w:bottom w:val="single" w:sz="6" w:space="0" w:color="auto"/>
            </w:tcBorders>
            <w:shd w:val="clear" w:color="auto" w:fill="auto"/>
          </w:tcPr>
          <w:p w:rsidR="00E25CC6" w:rsidRPr="003360B5" w:rsidRDefault="00E25CC6" w:rsidP="00571875">
            <w:pPr>
              <w:pStyle w:val="Tabletextcentred"/>
              <w:jc w:val="left"/>
              <w:rPr>
                <w:sz w:val="18"/>
                <w:lang w:eastAsia="en-AU"/>
              </w:rPr>
            </w:pPr>
            <w:r w:rsidRPr="003360B5">
              <w:rPr>
                <w:sz w:val="18"/>
                <w:lang w:eastAsia="en-AU"/>
              </w:rPr>
              <w:t xml:space="preserve">Children </w:t>
            </w:r>
            <w:r w:rsidRPr="003360B5">
              <w:rPr>
                <w:sz w:val="18"/>
              </w:rPr>
              <w:t>developmentally</w:t>
            </w:r>
            <w:r w:rsidRPr="003360B5">
              <w:rPr>
                <w:sz w:val="18"/>
                <w:lang w:eastAsia="en-AU"/>
              </w:rPr>
              <w:t xml:space="preserve"> </w:t>
            </w:r>
            <w:r>
              <w:rPr>
                <w:sz w:val="18"/>
                <w:lang w:eastAsia="en-AU"/>
              </w:rPr>
              <w:t>‘</w:t>
            </w:r>
            <w:r w:rsidRPr="003360B5">
              <w:rPr>
                <w:sz w:val="18"/>
                <w:lang w:eastAsia="en-AU"/>
              </w:rPr>
              <w:t>on track</w:t>
            </w:r>
            <w:r>
              <w:rPr>
                <w:sz w:val="18"/>
                <w:lang w:eastAsia="en-AU"/>
              </w:rPr>
              <w:t>’</w:t>
            </w:r>
            <w:r w:rsidRPr="003360B5">
              <w:rPr>
                <w:sz w:val="18"/>
                <w:lang w:eastAsia="en-AU"/>
              </w:rPr>
              <w:t xml:space="preserve"> on the Australian Early Development Census </w:t>
            </w:r>
            <w:r w:rsidRPr="003360B5">
              <w:rPr>
                <w:sz w:val="18"/>
                <w:vertAlign w:val="superscript"/>
                <w:lang w:eastAsia="en-AU"/>
              </w:rPr>
              <w:t>(a)</w:t>
            </w:r>
            <w:r w:rsidRPr="003360B5">
              <w:rPr>
                <w:sz w:val="18"/>
                <w:lang w:eastAsia="en-AU"/>
              </w:rPr>
              <w:t xml:space="preserve"> (AEDC) in the language and cognitive skills domains</w:t>
            </w:r>
          </w:p>
          <w:p w:rsidR="00E25CC6" w:rsidRPr="003360B5" w:rsidRDefault="00E25CC6" w:rsidP="00571875">
            <w:pPr>
              <w:pStyle w:val="Tabletextcentred"/>
              <w:jc w:val="left"/>
              <w:rPr>
                <w:sz w:val="18"/>
                <w:lang w:eastAsia="en-AU"/>
              </w:rPr>
            </w:pPr>
            <w:r w:rsidRPr="003360B5">
              <w:rPr>
                <w:sz w:val="18"/>
                <w:lang w:eastAsia="en-AU"/>
              </w:rPr>
              <w:t>Proportion of early childhood services meeting or exceeding National Quality Standard Area 1 (NQSA1 – Educational program and practice)</w:t>
            </w:r>
          </w:p>
          <w:p w:rsidR="00E25CC6" w:rsidRPr="003360B5" w:rsidRDefault="00E25CC6" w:rsidP="00571875">
            <w:pPr>
              <w:pStyle w:val="Tabletextcentred"/>
              <w:jc w:val="left"/>
              <w:rPr>
                <w:sz w:val="18"/>
                <w:lang w:eastAsia="en-AU"/>
              </w:rPr>
            </w:pPr>
            <w:r w:rsidRPr="003360B5">
              <w:rPr>
                <w:sz w:val="18"/>
                <w:lang w:eastAsia="en-AU"/>
              </w:rPr>
              <w:t>Students meeting the expected standard in national and international literacy and numeracy assessment</w:t>
            </w:r>
            <w:r w:rsidRPr="003360B5">
              <w:rPr>
                <w:sz w:val="18"/>
                <w:vertAlign w:val="superscript"/>
                <w:lang w:eastAsia="en-AU"/>
              </w:rPr>
              <w:t> (b)</w:t>
            </w:r>
          </w:p>
          <w:p w:rsidR="00E25CC6" w:rsidRPr="003360B5" w:rsidRDefault="00E25CC6" w:rsidP="00571875">
            <w:pPr>
              <w:pStyle w:val="Tabletextcentred"/>
              <w:jc w:val="left"/>
              <w:rPr>
                <w:sz w:val="18"/>
                <w:vertAlign w:val="superscript"/>
                <w:lang w:eastAsia="en-AU"/>
              </w:rPr>
            </w:pPr>
            <w:r w:rsidRPr="003360B5">
              <w:rPr>
                <w:sz w:val="18"/>
                <w:lang w:eastAsia="en-AU"/>
              </w:rPr>
              <w:t>Average score in Science (PISA 15</w:t>
            </w:r>
            <w:r>
              <w:rPr>
                <w:sz w:val="18"/>
                <w:lang w:eastAsia="en-AU"/>
              </w:rPr>
              <w:noBreakHyphen/>
            </w:r>
            <w:r w:rsidRPr="003360B5">
              <w:rPr>
                <w:sz w:val="18"/>
                <w:lang w:eastAsia="en-AU"/>
              </w:rPr>
              <w:t>year</w:t>
            </w:r>
            <w:r w:rsidRPr="003360B5">
              <w:rPr>
                <w:sz w:val="18"/>
                <w:lang w:eastAsia="en-AU"/>
              </w:rPr>
              <w:noBreakHyphen/>
              <w:t xml:space="preserve">olds) in Victoria compared to global top performers </w:t>
            </w:r>
            <w:r w:rsidRPr="003360B5">
              <w:rPr>
                <w:sz w:val="18"/>
                <w:vertAlign w:val="superscript"/>
                <w:lang w:eastAsia="en-AU"/>
              </w:rPr>
              <w:t>(b)</w:t>
            </w:r>
          </w:p>
          <w:p w:rsidR="00E25CC6" w:rsidRPr="003360B5" w:rsidRDefault="00E25CC6" w:rsidP="00571875">
            <w:pPr>
              <w:pStyle w:val="Tabletextcentred"/>
              <w:jc w:val="left"/>
              <w:rPr>
                <w:sz w:val="18"/>
                <w:vertAlign w:val="superscript"/>
                <w:lang w:eastAsia="en-AU"/>
              </w:rPr>
            </w:pPr>
            <w:r w:rsidRPr="003360B5">
              <w:rPr>
                <w:sz w:val="18"/>
                <w:lang w:eastAsia="en-AU"/>
              </w:rPr>
              <w:t xml:space="preserve">Percentage of positive responses to teacher collaboration within school </w:t>
            </w:r>
            <w:r w:rsidRPr="003360B5">
              <w:rPr>
                <w:sz w:val="18"/>
                <w:vertAlign w:val="superscript"/>
                <w:lang w:eastAsia="en-AU"/>
              </w:rPr>
              <w:t>(c)</w:t>
            </w:r>
          </w:p>
          <w:p w:rsidR="00E25CC6" w:rsidRPr="003360B5" w:rsidRDefault="00E25CC6" w:rsidP="00571875">
            <w:pPr>
              <w:pStyle w:val="Tabletextcentred"/>
              <w:jc w:val="left"/>
              <w:rPr>
                <w:sz w:val="18"/>
                <w:lang w:eastAsia="en-AU"/>
              </w:rPr>
            </w:pPr>
            <w:r w:rsidRPr="003360B5">
              <w:rPr>
                <w:sz w:val="18"/>
                <w:lang w:eastAsia="en-AU"/>
              </w:rPr>
              <w:t>Year 12 or equivalent completion rates of young people</w:t>
            </w:r>
            <w:r w:rsidRPr="003360B5">
              <w:rPr>
                <w:sz w:val="18"/>
                <w:vertAlign w:val="superscript"/>
                <w:lang w:eastAsia="en-AU"/>
              </w:rPr>
              <w:t> (c)</w:t>
            </w:r>
          </w:p>
          <w:p w:rsidR="00E25CC6" w:rsidRPr="003360B5" w:rsidRDefault="00E25CC6" w:rsidP="00571875">
            <w:pPr>
              <w:pStyle w:val="Tabletextcentred"/>
              <w:jc w:val="left"/>
              <w:rPr>
                <w:sz w:val="18"/>
                <w:lang w:eastAsia="en-AU"/>
              </w:rPr>
            </w:pPr>
            <w:r w:rsidRPr="003360B5">
              <w:rPr>
                <w:sz w:val="18"/>
                <w:lang w:eastAsia="en-AU"/>
              </w:rPr>
              <w:t>VET course completions</w:t>
            </w:r>
          </w:p>
          <w:p w:rsidR="00E25CC6" w:rsidRPr="003360B5" w:rsidRDefault="00E25CC6" w:rsidP="00571875">
            <w:pPr>
              <w:pStyle w:val="Tabletextcentred"/>
              <w:jc w:val="left"/>
              <w:rPr>
                <w:sz w:val="18"/>
                <w:lang w:eastAsia="en-AU"/>
              </w:rPr>
            </w:pPr>
            <w:r w:rsidRPr="003360B5">
              <w:rPr>
                <w:sz w:val="18"/>
                <w:lang w:eastAsia="en-AU"/>
              </w:rPr>
              <w:t>Certificate III or above completions</w:t>
            </w:r>
          </w:p>
          <w:p w:rsidR="00E25CC6" w:rsidRPr="003360B5" w:rsidRDefault="00E25CC6" w:rsidP="00571875">
            <w:pPr>
              <w:pStyle w:val="Tabletextcentred"/>
              <w:jc w:val="left"/>
              <w:rPr>
                <w:sz w:val="18"/>
                <w:lang w:eastAsia="en-AU"/>
              </w:rPr>
            </w:pPr>
            <w:r w:rsidRPr="003360B5">
              <w:rPr>
                <w:sz w:val="18"/>
                <w:lang w:eastAsia="en-AU"/>
              </w:rPr>
              <w:t>Proportion of graduates with improved employment status after training</w:t>
            </w:r>
          </w:p>
        </w:tc>
        <w:tc>
          <w:tcPr>
            <w:tcW w:w="1995" w:type="dxa"/>
            <w:tcBorders>
              <w:top w:val="single" w:sz="6" w:space="0" w:color="auto"/>
              <w:bottom w:val="single" w:sz="6" w:space="0" w:color="auto"/>
            </w:tcBorders>
            <w:shd w:val="clear" w:color="auto" w:fill="auto"/>
          </w:tcPr>
          <w:p w:rsidR="00E25CC6" w:rsidRPr="003360B5" w:rsidRDefault="00E25CC6" w:rsidP="00571875">
            <w:pPr>
              <w:pStyle w:val="Tabletextcentred"/>
              <w:jc w:val="left"/>
              <w:rPr>
                <w:sz w:val="18"/>
                <w:lang w:eastAsia="en-AU"/>
              </w:rPr>
            </w:pPr>
            <w:r w:rsidRPr="003360B5">
              <w:rPr>
                <w:sz w:val="18"/>
                <w:lang w:eastAsia="en-AU"/>
              </w:rPr>
              <w:t xml:space="preserve">Strategy, Review and Regulation </w:t>
            </w:r>
          </w:p>
          <w:p w:rsidR="00E25CC6" w:rsidRPr="003360B5" w:rsidRDefault="00E25CC6" w:rsidP="00571875">
            <w:pPr>
              <w:pStyle w:val="Tabletextcentred"/>
              <w:jc w:val="left"/>
              <w:rPr>
                <w:sz w:val="18"/>
                <w:lang w:eastAsia="en-AU"/>
              </w:rPr>
            </w:pPr>
            <w:r w:rsidRPr="003360B5">
              <w:rPr>
                <w:sz w:val="18"/>
                <w:lang w:eastAsia="en-AU"/>
              </w:rPr>
              <w:t>Early Childhood Development</w:t>
            </w:r>
          </w:p>
          <w:p w:rsidR="00E25CC6" w:rsidRPr="003360B5" w:rsidRDefault="00E25CC6" w:rsidP="00571875">
            <w:pPr>
              <w:pStyle w:val="Tabletextcentred"/>
              <w:jc w:val="left"/>
              <w:rPr>
                <w:sz w:val="18"/>
                <w:lang w:eastAsia="en-AU"/>
              </w:rPr>
            </w:pPr>
            <w:r w:rsidRPr="003360B5">
              <w:rPr>
                <w:sz w:val="18"/>
                <w:lang w:eastAsia="en-AU"/>
              </w:rPr>
              <w:t>School Education – Primary</w:t>
            </w:r>
          </w:p>
          <w:p w:rsidR="00E25CC6" w:rsidRPr="003360B5" w:rsidRDefault="00E25CC6" w:rsidP="00571875">
            <w:pPr>
              <w:pStyle w:val="Tabletextcentred"/>
              <w:jc w:val="left"/>
              <w:rPr>
                <w:sz w:val="18"/>
                <w:lang w:eastAsia="en-AU"/>
              </w:rPr>
            </w:pPr>
            <w:r w:rsidRPr="003360B5">
              <w:rPr>
                <w:sz w:val="18"/>
                <w:lang w:eastAsia="en-AU"/>
              </w:rPr>
              <w:t>School Education – Secondary</w:t>
            </w:r>
          </w:p>
          <w:p w:rsidR="00E25CC6" w:rsidRPr="003360B5" w:rsidRDefault="00E25CC6" w:rsidP="00571875">
            <w:pPr>
              <w:pStyle w:val="Tabletextcentred"/>
              <w:jc w:val="left"/>
              <w:rPr>
                <w:sz w:val="18"/>
                <w:lang w:eastAsia="en-AU"/>
              </w:rPr>
            </w:pPr>
            <w:r w:rsidRPr="003360B5">
              <w:rPr>
                <w:sz w:val="18"/>
                <w:lang w:eastAsia="en-AU"/>
              </w:rPr>
              <w:t xml:space="preserve">Training, Higher Education, Workforce Development and Skills </w:t>
            </w:r>
          </w:p>
          <w:p w:rsidR="00E25CC6" w:rsidRPr="003360B5" w:rsidRDefault="00E25CC6" w:rsidP="00571875">
            <w:pPr>
              <w:pStyle w:val="Tabletextcentred"/>
              <w:jc w:val="left"/>
              <w:rPr>
                <w:sz w:val="18"/>
                <w:lang w:eastAsia="en-AU"/>
              </w:rPr>
            </w:pPr>
            <w:r w:rsidRPr="003360B5">
              <w:rPr>
                <w:sz w:val="18"/>
                <w:lang w:eastAsia="en-AU"/>
              </w:rPr>
              <w:t>Support Services Delivery</w:t>
            </w:r>
          </w:p>
          <w:p w:rsidR="00E25CC6" w:rsidRPr="003360B5" w:rsidRDefault="00E25CC6" w:rsidP="00571875">
            <w:pPr>
              <w:pStyle w:val="Tabletextcentred"/>
              <w:jc w:val="left"/>
              <w:rPr>
                <w:sz w:val="18"/>
                <w:lang w:eastAsia="en-AU"/>
              </w:rPr>
            </w:pPr>
            <w:r w:rsidRPr="003360B5">
              <w:rPr>
                <w:sz w:val="18"/>
                <w:lang w:eastAsia="en-AU"/>
              </w:rPr>
              <w:t>Support for Students with Disabilities</w:t>
            </w:r>
          </w:p>
          <w:p w:rsidR="00E25CC6" w:rsidRPr="003360B5" w:rsidRDefault="00E25CC6" w:rsidP="00571875">
            <w:pPr>
              <w:pStyle w:val="Tabletextcentred"/>
              <w:jc w:val="left"/>
              <w:rPr>
                <w:sz w:val="18"/>
                <w:lang w:eastAsia="en-AU"/>
              </w:rPr>
            </w:pPr>
          </w:p>
        </w:tc>
      </w:tr>
      <w:tr w:rsidR="00E25CC6" w:rsidRPr="003360B5" w:rsidTr="00E16970">
        <w:trPr>
          <w:gridBefore w:val="1"/>
          <w:wBefore w:w="22" w:type="dxa"/>
          <w:cantSplit/>
        </w:trPr>
        <w:tc>
          <w:tcPr>
            <w:tcW w:w="1519" w:type="dxa"/>
            <w:tcBorders>
              <w:top w:val="single" w:sz="6" w:space="0" w:color="auto"/>
              <w:bottom w:val="single" w:sz="6" w:space="0" w:color="auto"/>
            </w:tcBorders>
            <w:shd w:val="clear" w:color="auto" w:fill="auto"/>
          </w:tcPr>
          <w:p w:rsidR="00E25CC6" w:rsidRPr="003360B5" w:rsidRDefault="00E25CC6" w:rsidP="00571875">
            <w:pPr>
              <w:pStyle w:val="Tabletextcentred"/>
              <w:jc w:val="left"/>
              <w:rPr>
                <w:b/>
                <w:sz w:val="18"/>
              </w:rPr>
            </w:pPr>
            <w:r w:rsidRPr="003360B5">
              <w:rPr>
                <w:b/>
                <w:sz w:val="18"/>
              </w:rPr>
              <w:t>Engagement</w:t>
            </w:r>
          </w:p>
          <w:p w:rsidR="00E25CC6" w:rsidRPr="003360B5" w:rsidRDefault="00E25CC6" w:rsidP="00571875">
            <w:pPr>
              <w:pStyle w:val="Tabletextcentred"/>
              <w:jc w:val="left"/>
              <w:rPr>
                <w:sz w:val="18"/>
              </w:rPr>
            </w:pPr>
            <w:r w:rsidRPr="003360B5">
              <w:rPr>
                <w:sz w:val="18"/>
              </w:rPr>
              <w:t>Increase the number of Victorians actively participating in education, training, development and child health services</w:t>
            </w:r>
          </w:p>
        </w:tc>
        <w:tc>
          <w:tcPr>
            <w:tcW w:w="4255" w:type="dxa"/>
            <w:tcBorders>
              <w:top w:val="single" w:sz="6" w:space="0" w:color="auto"/>
              <w:bottom w:val="single" w:sz="6" w:space="0" w:color="auto"/>
            </w:tcBorders>
            <w:shd w:val="clear" w:color="auto" w:fill="auto"/>
          </w:tcPr>
          <w:p w:rsidR="00E25CC6" w:rsidRPr="003360B5" w:rsidRDefault="00E25CC6" w:rsidP="00571875">
            <w:pPr>
              <w:pStyle w:val="Tabletextcentred"/>
              <w:jc w:val="left"/>
              <w:rPr>
                <w:sz w:val="18"/>
              </w:rPr>
            </w:pPr>
            <w:r w:rsidRPr="003360B5">
              <w:rPr>
                <w:sz w:val="18"/>
              </w:rPr>
              <w:t xml:space="preserve">Participation in a kindergarten service in the year before </w:t>
            </w:r>
            <w:r w:rsidRPr="003360B5">
              <w:rPr>
                <w:sz w:val="18"/>
                <w:lang w:eastAsia="en-AU"/>
              </w:rPr>
              <w:t>school</w:t>
            </w:r>
          </w:p>
          <w:p w:rsidR="00E25CC6" w:rsidRPr="003360B5" w:rsidRDefault="00E25CC6" w:rsidP="00571875">
            <w:pPr>
              <w:pStyle w:val="Tabletextcentred"/>
              <w:jc w:val="left"/>
              <w:rPr>
                <w:sz w:val="18"/>
              </w:rPr>
            </w:pPr>
            <w:r w:rsidRPr="003360B5">
              <w:rPr>
                <w:sz w:val="18"/>
              </w:rPr>
              <w:t>Participation in maternal and child health services</w:t>
            </w:r>
          </w:p>
          <w:p w:rsidR="00E25CC6" w:rsidRPr="003360B5" w:rsidRDefault="00E25CC6" w:rsidP="00571875">
            <w:pPr>
              <w:pStyle w:val="Tabletextcentred"/>
              <w:jc w:val="left"/>
              <w:rPr>
                <w:sz w:val="18"/>
              </w:rPr>
            </w:pPr>
            <w:r w:rsidRPr="003360B5">
              <w:rPr>
                <w:sz w:val="18"/>
              </w:rPr>
              <w:t xml:space="preserve">Proportion </w:t>
            </w:r>
            <w:r w:rsidRPr="003360B5">
              <w:rPr>
                <w:sz w:val="18"/>
                <w:lang w:eastAsia="en-AU"/>
              </w:rPr>
              <w:t>of</w:t>
            </w:r>
            <w:r w:rsidRPr="003360B5">
              <w:rPr>
                <w:sz w:val="18"/>
              </w:rPr>
              <w:t xml:space="preserve"> ECEC services meeting or exceeding </w:t>
            </w:r>
            <w:r w:rsidRPr="003360B5">
              <w:rPr>
                <w:sz w:val="18"/>
                <w:lang w:eastAsia="en-AU"/>
              </w:rPr>
              <w:t>National Quality Standard Area 6 (</w:t>
            </w:r>
            <w:r w:rsidRPr="003360B5">
              <w:rPr>
                <w:sz w:val="18"/>
              </w:rPr>
              <w:t>NQSA6 –Collaborative partnerships with families and communities)</w:t>
            </w:r>
          </w:p>
          <w:p w:rsidR="00E25CC6" w:rsidRPr="003360B5" w:rsidRDefault="00E25CC6" w:rsidP="00571875">
            <w:pPr>
              <w:pStyle w:val="Tabletextcentred"/>
              <w:jc w:val="left"/>
              <w:rPr>
                <w:sz w:val="18"/>
                <w:vertAlign w:val="superscript"/>
              </w:rPr>
            </w:pPr>
            <w:r w:rsidRPr="003360B5">
              <w:rPr>
                <w:sz w:val="18"/>
              </w:rPr>
              <w:t xml:space="preserve">Mean number </w:t>
            </w:r>
            <w:r w:rsidRPr="003360B5">
              <w:rPr>
                <w:sz w:val="18"/>
                <w:lang w:eastAsia="en-AU"/>
              </w:rPr>
              <w:t>of</w:t>
            </w:r>
            <w:r w:rsidRPr="003360B5">
              <w:rPr>
                <w:sz w:val="18"/>
              </w:rPr>
              <w:t xml:space="preserve"> student absent days per full</w:t>
            </w:r>
            <w:r>
              <w:rPr>
                <w:sz w:val="18"/>
              </w:rPr>
              <w:noBreakHyphen/>
            </w:r>
            <w:r w:rsidRPr="003360B5">
              <w:rPr>
                <w:sz w:val="18"/>
              </w:rPr>
              <w:t xml:space="preserve">time equivalent (FTE) </w:t>
            </w:r>
            <w:r>
              <w:rPr>
                <w:sz w:val="18"/>
              </w:rPr>
              <w:t>a</w:t>
            </w:r>
            <w:r w:rsidRPr="003360B5">
              <w:rPr>
                <w:sz w:val="18"/>
              </w:rPr>
              <w:t xml:space="preserve"> year </w:t>
            </w:r>
            <w:r w:rsidRPr="003360B5">
              <w:rPr>
                <w:sz w:val="18"/>
                <w:vertAlign w:val="superscript"/>
              </w:rPr>
              <w:t>(c)</w:t>
            </w:r>
          </w:p>
          <w:p w:rsidR="00E25CC6" w:rsidRPr="003360B5" w:rsidRDefault="00E25CC6" w:rsidP="00571875">
            <w:pPr>
              <w:pStyle w:val="Tabletextcentred"/>
              <w:jc w:val="left"/>
              <w:rPr>
                <w:sz w:val="18"/>
                <w:vertAlign w:val="superscript"/>
              </w:rPr>
            </w:pPr>
            <w:r w:rsidRPr="003360B5">
              <w:rPr>
                <w:sz w:val="18"/>
              </w:rPr>
              <w:t>Mean number of unapproved student absence days per full</w:t>
            </w:r>
            <w:r>
              <w:rPr>
                <w:sz w:val="18"/>
              </w:rPr>
              <w:noBreakHyphen/>
            </w:r>
            <w:r w:rsidRPr="003360B5">
              <w:rPr>
                <w:sz w:val="18"/>
                <w:lang w:eastAsia="en-AU"/>
              </w:rPr>
              <w:t>time</w:t>
            </w:r>
            <w:r w:rsidRPr="003360B5">
              <w:rPr>
                <w:sz w:val="18"/>
              </w:rPr>
              <w:t xml:space="preserve"> equivalent (FTE) per year in secondary schools</w:t>
            </w:r>
            <w:r>
              <w:rPr>
                <w:sz w:val="18"/>
              </w:rPr>
              <w:t> </w:t>
            </w:r>
            <w:r w:rsidRPr="003360B5">
              <w:rPr>
                <w:sz w:val="18"/>
                <w:vertAlign w:val="superscript"/>
              </w:rPr>
              <w:t>(c)</w:t>
            </w:r>
          </w:p>
          <w:p w:rsidR="00E25CC6" w:rsidRPr="003360B5" w:rsidRDefault="00E25CC6" w:rsidP="00571875">
            <w:pPr>
              <w:pStyle w:val="Tabletextcentred"/>
              <w:jc w:val="left"/>
              <w:rPr>
                <w:sz w:val="18"/>
                <w:vertAlign w:val="superscript"/>
              </w:rPr>
            </w:pPr>
            <w:r w:rsidRPr="003360B5">
              <w:rPr>
                <w:sz w:val="18"/>
              </w:rPr>
              <w:t xml:space="preserve">Students with a positive opinion about their school providing a stimulating learning environment </w:t>
            </w:r>
            <w:r w:rsidRPr="003360B5">
              <w:rPr>
                <w:sz w:val="18"/>
                <w:vertAlign w:val="superscript"/>
              </w:rPr>
              <w:t>(c)</w:t>
            </w:r>
          </w:p>
          <w:p w:rsidR="00E25CC6" w:rsidRPr="003360B5" w:rsidRDefault="00E25CC6" w:rsidP="00571875">
            <w:pPr>
              <w:pStyle w:val="Tabletextcentred"/>
              <w:jc w:val="left"/>
              <w:rPr>
                <w:sz w:val="18"/>
              </w:rPr>
            </w:pPr>
            <w:r w:rsidRPr="003360B5">
              <w:rPr>
                <w:sz w:val="18"/>
              </w:rPr>
              <w:t>VET enrolments by age and gender</w:t>
            </w:r>
          </w:p>
          <w:p w:rsidR="00E25CC6" w:rsidRPr="003360B5" w:rsidRDefault="00E25CC6" w:rsidP="00571875">
            <w:pPr>
              <w:pStyle w:val="Tabletextcentred"/>
              <w:jc w:val="left"/>
              <w:rPr>
                <w:sz w:val="18"/>
              </w:rPr>
            </w:pPr>
            <w:r w:rsidRPr="003360B5">
              <w:rPr>
                <w:sz w:val="18"/>
              </w:rPr>
              <w:t>VET enrolments by administrative regions</w:t>
            </w:r>
          </w:p>
          <w:p w:rsidR="00E25CC6" w:rsidRPr="003360B5" w:rsidRDefault="00E25CC6" w:rsidP="00571875">
            <w:pPr>
              <w:pStyle w:val="Tabletextcentred"/>
              <w:jc w:val="left"/>
              <w:rPr>
                <w:sz w:val="18"/>
              </w:rPr>
            </w:pPr>
            <w:r w:rsidRPr="003360B5">
              <w:rPr>
                <w:sz w:val="18"/>
              </w:rPr>
              <w:t>VET enrolments by skills shortage category courses</w:t>
            </w:r>
          </w:p>
          <w:p w:rsidR="00E25CC6" w:rsidRPr="003360B5" w:rsidRDefault="00E25CC6" w:rsidP="00571875">
            <w:pPr>
              <w:pStyle w:val="Tabletextcentred"/>
              <w:jc w:val="left"/>
              <w:rPr>
                <w:sz w:val="18"/>
              </w:rPr>
            </w:pPr>
            <w:r w:rsidRPr="003360B5">
              <w:rPr>
                <w:sz w:val="18"/>
              </w:rPr>
              <w:t>VET enrolments by specialised category courses</w:t>
            </w:r>
          </w:p>
          <w:p w:rsidR="00E25CC6" w:rsidRPr="003360B5" w:rsidRDefault="00E25CC6" w:rsidP="00571875">
            <w:pPr>
              <w:pStyle w:val="Tabletextcentred"/>
              <w:jc w:val="left"/>
              <w:rPr>
                <w:sz w:val="18"/>
              </w:rPr>
            </w:pPr>
            <w:r w:rsidRPr="003360B5">
              <w:rPr>
                <w:sz w:val="18"/>
              </w:rPr>
              <w:t>VET participation by learners facing barriers</w:t>
            </w:r>
          </w:p>
          <w:p w:rsidR="00E25CC6" w:rsidRPr="003360B5" w:rsidRDefault="00E25CC6" w:rsidP="00571875">
            <w:pPr>
              <w:pStyle w:val="Tabletextcentred"/>
              <w:jc w:val="left"/>
              <w:rPr>
                <w:sz w:val="18"/>
              </w:rPr>
            </w:pPr>
            <w:r w:rsidRPr="003360B5">
              <w:rPr>
                <w:sz w:val="18"/>
              </w:rPr>
              <w:t>VET participation by unemployed learners</w:t>
            </w:r>
          </w:p>
          <w:p w:rsidR="00E25CC6" w:rsidRPr="003360B5" w:rsidRDefault="00E25CC6" w:rsidP="00571875">
            <w:pPr>
              <w:pStyle w:val="Tabletextcentred"/>
              <w:jc w:val="left"/>
              <w:rPr>
                <w:sz w:val="18"/>
              </w:rPr>
            </w:pPr>
            <w:r w:rsidRPr="003360B5">
              <w:rPr>
                <w:sz w:val="18"/>
              </w:rPr>
              <w:t>Proportion of VET students satisfied with the teaching in their course</w:t>
            </w:r>
          </w:p>
        </w:tc>
        <w:tc>
          <w:tcPr>
            <w:tcW w:w="2018" w:type="dxa"/>
            <w:gridSpan w:val="2"/>
            <w:tcBorders>
              <w:top w:val="single" w:sz="6" w:space="0" w:color="auto"/>
              <w:bottom w:val="single" w:sz="6" w:space="0" w:color="auto"/>
            </w:tcBorders>
            <w:shd w:val="clear" w:color="auto" w:fill="auto"/>
          </w:tcPr>
          <w:p w:rsidR="00E25CC6" w:rsidRPr="003360B5" w:rsidRDefault="00E25CC6" w:rsidP="00571875">
            <w:pPr>
              <w:pStyle w:val="Tabletextcentred"/>
              <w:jc w:val="left"/>
              <w:rPr>
                <w:sz w:val="18"/>
              </w:rPr>
            </w:pPr>
            <w:r w:rsidRPr="003360B5">
              <w:rPr>
                <w:sz w:val="18"/>
              </w:rPr>
              <w:t xml:space="preserve">Strategy, Review and Regulation </w:t>
            </w:r>
          </w:p>
          <w:p w:rsidR="00E25CC6" w:rsidRPr="003360B5" w:rsidRDefault="00E25CC6" w:rsidP="00571875">
            <w:pPr>
              <w:pStyle w:val="Tabletextcentred"/>
              <w:jc w:val="left"/>
              <w:rPr>
                <w:sz w:val="18"/>
              </w:rPr>
            </w:pPr>
            <w:r w:rsidRPr="003360B5">
              <w:rPr>
                <w:sz w:val="18"/>
              </w:rPr>
              <w:t xml:space="preserve">Early </w:t>
            </w:r>
            <w:r w:rsidRPr="003360B5">
              <w:rPr>
                <w:sz w:val="18"/>
                <w:lang w:eastAsia="en-AU"/>
              </w:rPr>
              <w:t>Childhood</w:t>
            </w:r>
            <w:r w:rsidRPr="003360B5">
              <w:rPr>
                <w:sz w:val="18"/>
              </w:rPr>
              <w:t xml:space="preserve"> Development</w:t>
            </w:r>
          </w:p>
          <w:p w:rsidR="00E25CC6" w:rsidRPr="003360B5" w:rsidRDefault="00E25CC6" w:rsidP="00571875">
            <w:pPr>
              <w:pStyle w:val="Tabletextcentred"/>
              <w:jc w:val="left"/>
              <w:rPr>
                <w:sz w:val="18"/>
              </w:rPr>
            </w:pPr>
            <w:r w:rsidRPr="003360B5">
              <w:rPr>
                <w:sz w:val="18"/>
              </w:rPr>
              <w:t>School Education – Primary</w:t>
            </w:r>
          </w:p>
          <w:p w:rsidR="00E25CC6" w:rsidRPr="003360B5" w:rsidRDefault="00E25CC6" w:rsidP="00571875">
            <w:pPr>
              <w:pStyle w:val="Tabletextcentred"/>
              <w:jc w:val="left"/>
              <w:rPr>
                <w:sz w:val="18"/>
              </w:rPr>
            </w:pPr>
            <w:r w:rsidRPr="003360B5">
              <w:rPr>
                <w:sz w:val="18"/>
              </w:rPr>
              <w:t xml:space="preserve">School </w:t>
            </w:r>
            <w:r w:rsidRPr="003360B5">
              <w:rPr>
                <w:sz w:val="18"/>
                <w:lang w:eastAsia="en-AU"/>
              </w:rPr>
              <w:t>Education</w:t>
            </w:r>
            <w:r w:rsidRPr="003360B5">
              <w:rPr>
                <w:sz w:val="18"/>
              </w:rPr>
              <w:t xml:space="preserve"> – Secondary</w:t>
            </w:r>
          </w:p>
          <w:p w:rsidR="00E25CC6" w:rsidRPr="003360B5" w:rsidRDefault="00E25CC6" w:rsidP="00571875">
            <w:pPr>
              <w:pStyle w:val="Tabletextcentred"/>
              <w:jc w:val="left"/>
              <w:rPr>
                <w:sz w:val="18"/>
              </w:rPr>
            </w:pPr>
            <w:r w:rsidRPr="003360B5">
              <w:rPr>
                <w:sz w:val="18"/>
                <w:lang w:eastAsia="en-AU"/>
              </w:rPr>
              <w:t>Training, Higher Education, Workforce Development and Skills</w:t>
            </w:r>
            <w:r w:rsidRPr="003360B5">
              <w:rPr>
                <w:sz w:val="18"/>
              </w:rPr>
              <w:t xml:space="preserve"> </w:t>
            </w:r>
          </w:p>
          <w:p w:rsidR="00E25CC6" w:rsidRPr="003360B5" w:rsidRDefault="00E25CC6" w:rsidP="00571875">
            <w:pPr>
              <w:pStyle w:val="Tabletextcentred"/>
              <w:jc w:val="left"/>
              <w:rPr>
                <w:sz w:val="18"/>
              </w:rPr>
            </w:pPr>
            <w:r w:rsidRPr="003360B5">
              <w:rPr>
                <w:sz w:val="18"/>
              </w:rPr>
              <w:t>Support Services Delivery</w:t>
            </w:r>
          </w:p>
          <w:p w:rsidR="00E25CC6" w:rsidRPr="003360B5" w:rsidRDefault="00E25CC6" w:rsidP="00571875">
            <w:pPr>
              <w:pStyle w:val="Tabletextcentred"/>
              <w:jc w:val="left"/>
              <w:rPr>
                <w:sz w:val="18"/>
              </w:rPr>
            </w:pPr>
            <w:r w:rsidRPr="003360B5">
              <w:rPr>
                <w:sz w:val="18"/>
              </w:rPr>
              <w:t xml:space="preserve">Support for </w:t>
            </w:r>
            <w:r w:rsidRPr="003360B5">
              <w:rPr>
                <w:sz w:val="18"/>
                <w:lang w:eastAsia="en-AU"/>
              </w:rPr>
              <w:t>Students</w:t>
            </w:r>
            <w:r w:rsidRPr="003360B5">
              <w:rPr>
                <w:sz w:val="18"/>
              </w:rPr>
              <w:t xml:space="preserve"> with Disabilities</w:t>
            </w:r>
          </w:p>
          <w:p w:rsidR="00E25CC6" w:rsidRPr="003360B5" w:rsidRDefault="00E25CC6" w:rsidP="00571875">
            <w:pPr>
              <w:pStyle w:val="Tabletextcentred"/>
              <w:jc w:val="left"/>
              <w:rPr>
                <w:sz w:val="18"/>
              </w:rPr>
            </w:pPr>
          </w:p>
        </w:tc>
      </w:tr>
      <w:tr w:rsidR="00E25CC6" w:rsidRPr="003360B5" w:rsidTr="00E16970">
        <w:trPr>
          <w:gridBefore w:val="1"/>
          <w:wBefore w:w="22" w:type="dxa"/>
          <w:cantSplit/>
        </w:trPr>
        <w:tc>
          <w:tcPr>
            <w:tcW w:w="1519" w:type="dxa"/>
            <w:tcBorders>
              <w:top w:val="single" w:sz="6" w:space="0" w:color="auto"/>
              <w:bottom w:val="single" w:sz="6" w:space="0" w:color="auto"/>
            </w:tcBorders>
            <w:shd w:val="clear" w:color="auto" w:fill="auto"/>
          </w:tcPr>
          <w:p w:rsidR="00E25CC6" w:rsidRPr="003360B5" w:rsidRDefault="00E25CC6" w:rsidP="00571875">
            <w:pPr>
              <w:pStyle w:val="Tabletextcentred"/>
              <w:jc w:val="left"/>
              <w:rPr>
                <w:b/>
                <w:sz w:val="18"/>
              </w:rPr>
            </w:pPr>
            <w:r w:rsidRPr="003360B5">
              <w:rPr>
                <w:b/>
                <w:sz w:val="18"/>
              </w:rPr>
              <w:t>Wellbeing</w:t>
            </w:r>
          </w:p>
          <w:p w:rsidR="00E25CC6" w:rsidRPr="003360B5" w:rsidRDefault="00E25CC6" w:rsidP="00571875">
            <w:pPr>
              <w:pStyle w:val="Tabletextcentred"/>
              <w:jc w:val="left"/>
              <w:rPr>
                <w:sz w:val="18"/>
              </w:rPr>
            </w:pPr>
            <w:r w:rsidRPr="003360B5">
              <w:rPr>
                <w:sz w:val="18"/>
              </w:rPr>
              <w:t>Increase the contribution education, training, development and child health services make to good health and quality of life for all Victorians, particularly children and young people</w:t>
            </w:r>
          </w:p>
        </w:tc>
        <w:tc>
          <w:tcPr>
            <w:tcW w:w="4255" w:type="dxa"/>
            <w:tcBorders>
              <w:top w:val="single" w:sz="6" w:space="0" w:color="auto"/>
              <w:bottom w:val="single" w:sz="6" w:space="0" w:color="auto"/>
            </w:tcBorders>
            <w:shd w:val="clear" w:color="auto" w:fill="auto"/>
          </w:tcPr>
          <w:p w:rsidR="00E25CC6" w:rsidRPr="003360B5" w:rsidRDefault="00E25CC6" w:rsidP="00571875">
            <w:pPr>
              <w:pStyle w:val="Tabletextcentred"/>
              <w:jc w:val="left"/>
              <w:rPr>
                <w:sz w:val="18"/>
              </w:rPr>
            </w:pPr>
            <w:r w:rsidRPr="003360B5">
              <w:rPr>
                <w:sz w:val="18"/>
              </w:rPr>
              <w:t>Proportion of infants fully or partially breastfed at three and six months</w:t>
            </w:r>
          </w:p>
          <w:p w:rsidR="00E25CC6" w:rsidRPr="003360B5" w:rsidRDefault="00E25CC6" w:rsidP="00571875">
            <w:pPr>
              <w:pStyle w:val="Tabletextcentred"/>
              <w:jc w:val="left"/>
              <w:rPr>
                <w:sz w:val="18"/>
              </w:rPr>
            </w:pPr>
            <w:r w:rsidRPr="003360B5">
              <w:rPr>
                <w:sz w:val="18"/>
              </w:rPr>
              <w:t>Proportion of children who have no behavioural issues on entry into Prep</w:t>
            </w:r>
          </w:p>
          <w:p w:rsidR="00E25CC6" w:rsidRPr="003360B5" w:rsidRDefault="00E25CC6" w:rsidP="00571875">
            <w:pPr>
              <w:pStyle w:val="Tabletextcentred"/>
              <w:jc w:val="left"/>
              <w:rPr>
                <w:sz w:val="18"/>
              </w:rPr>
            </w:pPr>
            <w:r w:rsidRPr="003360B5">
              <w:rPr>
                <w:sz w:val="18"/>
              </w:rPr>
              <w:t>Proportion of children who have no general development issues on entry into Prep</w:t>
            </w:r>
          </w:p>
          <w:p w:rsidR="00E25CC6" w:rsidRPr="003360B5" w:rsidRDefault="00E25CC6" w:rsidP="00571875">
            <w:pPr>
              <w:pStyle w:val="Tabletextcentred"/>
              <w:jc w:val="left"/>
              <w:rPr>
                <w:sz w:val="18"/>
                <w:vertAlign w:val="superscript"/>
              </w:rPr>
            </w:pPr>
            <w:r w:rsidRPr="003360B5">
              <w:rPr>
                <w:sz w:val="18"/>
              </w:rPr>
              <w:t xml:space="preserve">Children developmentally </w:t>
            </w:r>
            <w:r>
              <w:rPr>
                <w:sz w:val="18"/>
              </w:rPr>
              <w:t>‘</w:t>
            </w:r>
            <w:r w:rsidRPr="003360B5">
              <w:rPr>
                <w:sz w:val="18"/>
              </w:rPr>
              <w:t>on track</w:t>
            </w:r>
            <w:r>
              <w:rPr>
                <w:sz w:val="18"/>
              </w:rPr>
              <w:t>’</w:t>
            </w:r>
            <w:r w:rsidRPr="003360B5">
              <w:rPr>
                <w:sz w:val="18"/>
              </w:rPr>
              <w:t xml:space="preserve"> on the AEDC social competence and emotional maturity domains </w:t>
            </w:r>
            <w:r w:rsidRPr="003360B5">
              <w:rPr>
                <w:sz w:val="18"/>
                <w:vertAlign w:val="superscript"/>
              </w:rPr>
              <w:t>(a)</w:t>
            </w:r>
          </w:p>
          <w:p w:rsidR="00E25CC6" w:rsidRPr="003360B5" w:rsidRDefault="00E25CC6" w:rsidP="00571875">
            <w:pPr>
              <w:pStyle w:val="Tabletextcentred"/>
              <w:jc w:val="left"/>
              <w:rPr>
                <w:sz w:val="18"/>
                <w:vertAlign w:val="superscript"/>
              </w:rPr>
            </w:pPr>
            <w:r w:rsidRPr="003360B5">
              <w:rPr>
                <w:sz w:val="18"/>
              </w:rPr>
              <w:t xml:space="preserve">Students feeling connected to their school </w:t>
            </w:r>
            <w:r w:rsidRPr="003360B5">
              <w:rPr>
                <w:sz w:val="18"/>
                <w:vertAlign w:val="superscript"/>
              </w:rPr>
              <w:t>(c)</w:t>
            </w:r>
          </w:p>
          <w:p w:rsidR="00E25CC6" w:rsidRPr="003360B5" w:rsidRDefault="00E25CC6" w:rsidP="00571875">
            <w:pPr>
              <w:pStyle w:val="Tabletextcentred"/>
              <w:jc w:val="left"/>
              <w:rPr>
                <w:sz w:val="18"/>
                <w:vertAlign w:val="superscript"/>
              </w:rPr>
            </w:pPr>
            <w:r w:rsidRPr="003360B5">
              <w:rPr>
                <w:sz w:val="18"/>
              </w:rPr>
              <w:t>Students with a positive opinion about their school providing a safe and orderly environment for learning </w:t>
            </w:r>
            <w:r w:rsidRPr="003360B5">
              <w:rPr>
                <w:sz w:val="18"/>
                <w:vertAlign w:val="superscript"/>
              </w:rPr>
              <w:t>(c)</w:t>
            </w:r>
          </w:p>
          <w:p w:rsidR="00E25CC6" w:rsidRPr="003360B5" w:rsidRDefault="00E25CC6" w:rsidP="00571875">
            <w:pPr>
              <w:pStyle w:val="Tabletextcentred"/>
              <w:jc w:val="left"/>
              <w:rPr>
                <w:sz w:val="18"/>
              </w:rPr>
            </w:pPr>
            <w:r w:rsidRPr="003360B5">
              <w:rPr>
                <w:sz w:val="18"/>
              </w:rPr>
              <w:t>Level of student satisfaction with VET</w:t>
            </w:r>
          </w:p>
        </w:tc>
        <w:tc>
          <w:tcPr>
            <w:tcW w:w="2018" w:type="dxa"/>
            <w:gridSpan w:val="2"/>
            <w:tcBorders>
              <w:top w:val="single" w:sz="6" w:space="0" w:color="auto"/>
              <w:bottom w:val="single" w:sz="6" w:space="0" w:color="auto"/>
            </w:tcBorders>
            <w:shd w:val="clear" w:color="auto" w:fill="auto"/>
          </w:tcPr>
          <w:p w:rsidR="00E25CC6" w:rsidRPr="003360B5" w:rsidRDefault="00E25CC6" w:rsidP="00571875">
            <w:pPr>
              <w:pStyle w:val="Tabletextcentred"/>
              <w:jc w:val="left"/>
              <w:rPr>
                <w:sz w:val="18"/>
              </w:rPr>
            </w:pPr>
            <w:r w:rsidRPr="003360B5">
              <w:rPr>
                <w:sz w:val="18"/>
              </w:rPr>
              <w:t xml:space="preserve">Strategy, Review and Regulation </w:t>
            </w:r>
          </w:p>
          <w:p w:rsidR="00E25CC6" w:rsidRPr="003360B5" w:rsidRDefault="00E25CC6" w:rsidP="00571875">
            <w:pPr>
              <w:pStyle w:val="Tabletextcentred"/>
              <w:jc w:val="left"/>
              <w:rPr>
                <w:sz w:val="18"/>
              </w:rPr>
            </w:pPr>
            <w:r w:rsidRPr="003360B5">
              <w:rPr>
                <w:sz w:val="18"/>
              </w:rPr>
              <w:t>Early Childhood Development</w:t>
            </w:r>
          </w:p>
          <w:p w:rsidR="00E25CC6" w:rsidRPr="003360B5" w:rsidRDefault="00E25CC6" w:rsidP="00571875">
            <w:pPr>
              <w:pStyle w:val="Tabletextcentred"/>
              <w:jc w:val="left"/>
              <w:rPr>
                <w:sz w:val="18"/>
              </w:rPr>
            </w:pPr>
            <w:r w:rsidRPr="003360B5">
              <w:rPr>
                <w:sz w:val="18"/>
              </w:rPr>
              <w:t>School Education – Primary</w:t>
            </w:r>
          </w:p>
          <w:p w:rsidR="00E25CC6" w:rsidRPr="003360B5" w:rsidRDefault="00E25CC6" w:rsidP="00571875">
            <w:pPr>
              <w:pStyle w:val="Tabletextcentred"/>
              <w:jc w:val="left"/>
              <w:rPr>
                <w:sz w:val="18"/>
              </w:rPr>
            </w:pPr>
            <w:r w:rsidRPr="003360B5">
              <w:rPr>
                <w:sz w:val="18"/>
              </w:rPr>
              <w:t>School Education – Secondary</w:t>
            </w:r>
          </w:p>
          <w:p w:rsidR="00E25CC6" w:rsidRPr="003360B5" w:rsidRDefault="00E25CC6" w:rsidP="00571875">
            <w:pPr>
              <w:pStyle w:val="Tabletextcentred"/>
              <w:jc w:val="left"/>
              <w:rPr>
                <w:sz w:val="18"/>
              </w:rPr>
            </w:pPr>
            <w:r w:rsidRPr="003360B5">
              <w:rPr>
                <w:sz w:val="18"/>
                <w:lang w:eastAsia="en-AU"/>
              </w:rPr>
              <w:t>Training, Higher Education, Workforce Development and Skills</w:t>
            </w:r>
            <w:r w:rsidRPr="003360B5">
              <w:rPr>
                <w:sz w:val="18"/>
              </w:rPr>
              <w:t xml:space="preserve"> </w:t>
            </w:r>
          </w:p>
          <w:p w:rsidR="00E25CC6" w:rsidRPr="003360B5" w:rsidRDefault="00E25CC6" w:rsidP="00571875">
            <w:pPr>
              <w:pStyle w:val="Tabletextcentred"/>
              <w:jc w:val="left"/>
              <w:rPr>
                <w:sz w:val="18"/>
              </w:rPr>
            </w:pPr>
            <w:r w:rsidRPr="003360B5">
              <w:rPr>
                <w:sz w:val="18"/>
              </w:rPr>
              <w:t>Support Services Delivery</w:t>
            </w:r>
          </w:p>
          <w:p w:rsidR="00E25CC6" w:rsidRPr="003360B5" w:rsidRDefault="00E25CC6" w:rsidP="00571875">
            <w:pPr>
              <w:pStyle w:val="Tabletextcentred"/>
              <w:jc w:val="left"/>
              <w:rPr>
                <w:sz w:val="18"/>
              </w:rPr>
            </w:pPr>
            <w:r w:rsidRPr="003360B5">
              <w:rPr>
                <w:sz w:val="18"/>
              </w:rPr>
              <w:t>Support for Students with Disabilities</w:t>
            </w:r>
          </w:p>
        </w:tc>
      </w:tr>
      <w:tr w:rsidR="00E25CC6" w:rsidRPr="003360B5" w:rsidTr="00E16970">
        <w:trPr>
          <w:gridBefore w:val="1"/>
          <w:wBefore w:w="22" w:type="dxa"/>
          <w:cantSplit/>
        </w:trPr>
        <w:tc>
          <w:tcPr>
            <w:tcW w:w="1519" w:type="dxa"/>
            <w:tcBorders>
              <w:top w:val="single" w:sz="6" w:space="0" w:color="auto"/>
              <w:bottom w:val="single" w:sz="12" w:space="0" w:color="auto"/>
            </w:tcBorders>
            <w:shd w:val="clear" w:color="auto" w:fill="auto"/>
          </w:tcPr>
          <w:p w:rsidR="00E25CC6" w:rsidRPr="003360B5" w:rsidRDefault="00E25CC6" w:rsidP="00571875">
            <w:pPr>
              <w:pStyle w:val="Tabletextcentred"/>
              <w:jc w:val="left"/>
              <w:rPr>
                <w:b/>
                <w:sz w:val="18"/>
              </w:rPr>
            </w:pPr>
            <w:r w:rsidRPr="003360B5">
              <w:rPr>
                <w:b/>
                <w:sz w:val="18"/>
              </w:rPr>
              <w:t>Productivity</w:t>
            </w:r>
          </w:p>
          <w:p w:rsidR="00E25CC6" w:rsidRPr="003360B5" w:rsidRDefault="00E25CC6" w:rsidP="00571875">
            <w:pPr>
              <w:pStyle w:val="Tabletextcentred"/>
              <w:jc w:val="left"/>
              <w:rPr>
                <w:b/>
                <w:sz w:val="18"/>
              </w:rPr>
            </w:pPr>
            <w:r w:rsidRPr="003360B5">
              <w:rPr>
                <w:sz w:val="18"/>
              </w:rPr>
              <w:t>Increase the productivity of our services</w:t>
            </w:r>
          </w:p>
        </w:tc>
        <w:tc>
          <w:tcPr>
            <w:tcW w:w="4255" w:type="dxa"/>
            <w:tcBorders>
              <w:top w:val="single" w:sz="6" w:space="0" w:color="auto"/>
              <w:bottom w:val="single" w:sz="12" w:space="0" w:color="auto"/>
            </w:tcBorders>
            <w:shd w:val="clear" w:color="auto" w:fill="auto"/>
          </w:tcPr>
          <w:p w:rsidR="00E25CC6" w:rsidRPr="003360B5" w:rsidRDefault="00E25CC6" w:rsidP="00571875">
            <w:pPr>
              <w:pStyle w:val="Tabletextcentred"/>
              <w:jc w:val="left"/>
              <w:rPr>
                <w:sz w:val="18"/>
              </w:rPr>
            </w:pPr>
            <w:r w:rsidRPr="003360B5">
              <w:rPr>
                <w:sz w:val="18"/>
              </w:rPr>
              <w:t>$ per kindergarten student per year (or ECIS or MCH)</w:t>
            </w:r>
          </w:p>
          <w:p w:rsidR="00E25CC6" w:rsidRPr="003360B5" w:rsidRDefault="00E25CC6" w:rsidP="00571875">
            <w:pPr>
              <w:pStyle w:val="Tabletextcentred"/>
              <w:jc w:val="left"/>
              <w:rPr>
                <w:sz w:val="18"/>
              </w:rPr>
            </w:pPr>
            <w:r w:rsidRPr="003360B5">
              <w:rPr>
                <w:sz w:val="18"/>
              </w:rPr>
              <w:t>$ per primary school student per year </w:t>
            </w:r>
            <w:r w:rsidRPr="003360B5">
              <w:rPr>
                <w:sz w:val="18"/>
                <w:vertAlign w:val="superscript"/>
              </w:rPr>
              <w:t>(a)</w:t>
            </w:r>
          </w:p>
          <w:p w:rsidR="00E25CC6" w:rsidRPr="003360B5" w:rsidRDefault="00E25CC6" w:rsidP="00571875">
            <w:pPr>
              <w:pStyle w:val="Tabletextcentred"/>
              <w:jc w:val="left"/>
              <w:rPr>
                <w:sz w:val="18"/>
              </w:rPr>
            </w:pPr>
            <w:r w:rsidRPr="003360B5">
              <w:rPr>
                <w:sz w:val="18"/>
              </w:rPr>
              <w:t>$ per secondary school student per year </w:t>
            </w:r>
            <w:r w:rsidRPr="003360B5">
              <w:rPr>
                <w:sz w:val="18"/>
                <w:vertAlign w:val="superscript"/>
              </w:rPr>
              <w:t>(a)</w:t>
            </w:r>
          </w:p>
          <w:p w:rsidR="00E25CC6" w:rsidRPr="003360B5" w:rsidRDefault="00E25CC6" w:rsidP="00571875">
            <w:pPr>
              <w:pStyle w:val="Tabletextcentred"/>
              <w:jc w:val="left"/>
              <w:rPr>
                <w:sz w:val="18"/>
              </w:rPr>
            </w:pPr>
            <w:r w:rsidRPr="003360B5">
              <w:rPr>
                <w:sz w:val="18"/>
              </w:rPr>
              <w:t>$ per VET student contact hour</w:t>
            </w:r>
          </w:p>
          <w:p w:rsidR="00E25CC6" w:rsidRPr="003360B5" w:rsidRDefault="00E25CC6" w:rsidP="00571875">
            <w:pPr>
              <w:pStyle w:val="Tabletextcentred"/>
              <w:jc w:val="left"/>
              <w:rPr>
                <w:sz w:val="18"/>
              </w:rPr>
            </w:pPr>
          </w:p>
        </w:tc>
        <w:tc>
          <w:tcPr>
            <w:tcW w:w="2018" w:type="dxa"/>
            <w:gridSpan w:val="2"/>
            <w:tcBorders>
              <w:top w:val="single" w:sz="6" w:space="0" w:color="auto"/>
              <w:bottom w:val="single" w:sz="12" w:space="0" w:color="auto"/>
            </w:tcBorders>
            <w:shd w:val="clear" w:color="auto" w:fill="auto"/>
          </w:tcPr>
          <w:p w:rsidR="00E25CC6" w:rsidRPr="003360B5" w:rsidRDefault="00E25CC6" w:rsidP="00571875">
            <w:pPr>
              <w:pStyle w:val="Tabletextcentred"/>
              <w:jc w:val="left"/>
              <w:rPr>
                <w:sz w:val="18"/>
              </w:rPr>
            </w:pPr>
            <w:r w:rsidRPr="003360B5">
              <w:rPr>
                <w:sz w:val="18"/>
              </w:rPr>
              <w:t xml:space="preserve">Strategy, Review and Regulation </w:t>
            </w:r>
          </w:p>
          <w:p w:rsidR="00E25CC6" w:rsidRPr="003360B5" w:rsidRDefault="00E25CC6" w:rsidP="00571875">
            <w:pPr>
              <w:pStyle w:val="Tabletextcentred"/>
              <w:jc w:val="left"/>
              <w:rPr>
                <w:sz w:val="18"/>
              </w:rPr>
            </w:pPr>
            <w:r w:rsidRPr="003360B5">
              <w:rPr>
                <w:sz w:val="18"/>
              </w:rPr>
              <w:t>Early Childhood Development</w:t>
            </w:r>
          </w:p>
          <w:p w:rsidR="00E25CC6" w:rsidRPr="003360B5" w:rsidRDefault="00E25CC6" w:rsidP="00571875">
            <w:pPr>
              <w:pStyle w:val="Tabletextcentred"/>
              <w:jc w:val="left"/>
              <w:rPr>
                <w:sz w:val="18"/>
              </w:rPr>
            </w:pPr>
            <w:r w:rsidRPr="003360B5">
              <w:rPr>
                <w:sz w:val="18"/>
              </w:rPr>
              <w:t>School Education – Primary</w:t>
            </w:r>
          </w:p>
          <w:p w:rsidR="00E25CC6" w:rsidRPr="003360B5" w:rsidRDefault="00E25CC6" w:rsidP="00571875">
            <w:pPr>
              <w:pStyle w:val="Tabletextcentred"/>
              <w:jc w:val="left"/>
              <w:rPr>
                <w:sz w:val="18"/>
              </w:rPr>
            </w:pPr>
            <w:r w:rsidRPr="003360B5">
              <w:rPr>
                <w:sz w:val="18"/>
              </w:rPr>
              <w:t>School Education – Secondary</w:t>
            </w:r>
          </w:p>
          <w:p w:rsidR="00E25CC6" w:rsidRPr="003360B5" w:rsidRDefault="00E25CC6" w:rsidP="00571875">
            <w:pPr>
              <w:pStyle w:val="Tabletextcentred"/>
              <w:jc w:val="left"/>
              <w:rPr>
                <w:sz w:val="18"/>
              </w:rPr>
            </w:pPr>
            <w:r w:rsidRPr="003360B5">
              <w:rPr>
                <w:sz w:val="18"/>
                <w:lang w:eastAsia="en-AU"/>
              </w:rPr>
              <w:t>Training, Higher Education, Workforce Development and Skills</w:t>
            </w:r>
            <w:r w:rsidRPr="003360B5">
              <w:rPr>
                <w:sz w:val="18"/>
              </w:rPr>
              <w:t xml:space="preserve"> </w:t>
            </w:r>
          </w:p>
          <w:p w:rsidR="00E25CC6" w:rsidRPr="003360B5" w:rsidRDefault="00E25CC6" w:rsidP="00571875">
            <w:pPr>
              <w:pStyle w:val="Tabletextcentred"/>
              <w:jc w:val="left"/>
              <w:rPr>
                <w:sz w:val="18"/>
              </w:rPr>
            </w:pPr>
            <w:r w:rsidRPr="003360B5">
              <w:rPr>
                <w:sz w:val="18"/>
              </w:rPr>
              <w:t>Support Services Delivery</w:t>
            </w:r>
          </w:p>
          <w:p w:rsidR="00E25CC6" w:rsidRPr="003360B5" w:rsidRDefault="00E25CC6" w:rsidP="00571875">
            <w:pPr>
              <w:pStyle w:val="Tabletextcentred"/>
              <w:jc w:val="left"/>
              <w:rPr>
                <w:sz w:val="18"/>
              </w:rPr>
            </w:pPr>
            <w:r w:rsidRPr="003360B5">
              <w:rPr>
                <w:sz w:val="18"/>
              </w:rPr>
              <w:t>Support for Students with Disabilities</w:t>
            </w:r>
          </w:p>
        </w:tc>
      </w:tr>
    </w:tbl>
    <w:p w:rsidR="00E25CC6" w:rsidRPr="00E16970" w:rsidRDefault="00E25CC6" w:rsidP="00E16970">
      <w:pPr>
        <w:pStyle w:val="Source"/>
        <w:rPr>
          <w:rFonts w:eastAsiaTheme="minorHAnsi"/>
        </w:rPr>
      </w:pPr>
      <w:r w:rsidRPr="003360B5">
        <w:rPr>
          <w:rFonts w:eastAsiaTheme="minorHAnsi"/>
        </w:rPr>
        <w:t xml:space="preserve">Source: Department of Education and Training </w:t>
      </w:r>
      <w:r w:rsidRPr="00C76FF8">
        <w:rPr>
          <w:rFonts w:eastAsiaTheme="minorHAnsi"/>
          <w:i w:val="0"/>
        </w:rPr>
        <w:t>Interim 2015</w:t>
      </w:r>
      <w:r w:rsidRPr="00C76FF8">
        <w:rPr>
          <w:rFonts w:eastAsiaTheme="minorHAnsi"/>
          <w:i w:val="0"/>
        </w:rPr>
        <w:noBreakHyphen/>
        <w:t>19 Strategic Plan</w:t>
      </w:r>
      <w:r>
        <w:rPr>
          <w:rFonts w:eastAsiaTheme="minorHAnsi"/>
          <w:i w:val="0"/>
        </w:rPr>
        <w:t xml:space="preserve"> </w:t>
      </w:r>
    </w:p>
    <w:p w:rsidR="00E25CC6" w:rsidRPr="003360B5" w:rsidRDefault="00E25CC6" w:rsidP="00571875">
      <w:pPr>
        <w:pStyle w:val="Notes"/>
        <w:rPr>
          <w:rFonts w:eastAsiaTheme="minorHAnsi"/>
        </w:rPr>
      </w:pPr>
      <w:r w:rsidRPr="003360B5">
        <w:rPr>
          <w:rFonts w:eastAsiaTheme="minorHAnsi"/>
        </w:rPr>
        <w:t xml:space="preserve">Notes: </w:t>
      </w:r>
    </w:p>
    <w:p w:rsidR="00E25CC6" w:rsidRPr="003360B5" w:rsidRDefault="00E25CC6" w:rsidP="00571875">
      <w:pPr>
        <w:pStyle w:val="Notes"/>
        <w:rPr>
          <w:rFonts w:eastAsiaTheme="minorHAnsi"/>
        </w:rPr>
      </w:pPr>
      <w:r w:rsidRPr="003360B5">
        <w:rPr>
          <w:rFonts w:eastAsiaTheme="minorHAnsi"/>
        </w:rPr>
        <w:t>(a)</w:t>
      </w:r>
      <w:r w:rsidRPr="003360B5">
        <w:rPr>
          <w:rFonts w:eastAsiaTheme="minorHAnsi"/>
        </w:rPr>
        <w:tab/>
        <w:t>These indicators refer to government and non</w:t>
      </w:r>
      <w:r w:rsidRPr="003360B5">
        <w:rPr>
          <w:rFonts w:eastAsiaTheme="minorHAnsi"/>
        </w:rPr>
        <w:noBreakHyphen/>
        <w:t>government schools.</w:t>
      </w:r>
    </w:p>
    <w:p w:rsidR="00E25CC6" w:rsidRPr="003360B5" w:rsidRDefault="00E25CC6" w:rsidP="00571875">
      <w:pPr>
        <w:pStyle w:val="Notes"/>
        <w:rPr>
          <w:rFonts w:eastAsiaTheme="minorHAnsi"/>
        </w:rPr>
      </w:pPr>
      <w:r w:rsidRPr="003360B5">
        <w:rPr>
          <w:rFonts w:eastAsiaTheme="minorHAnsi"/>
        </w:rPr>
        <w:t>(b)</w:t>
      </w:r>
      <w:r w:rsidRPr="003360B5">
        <w:rPr>
          <w:rFonts w:eastAsiaTheme="minorHAnsi"/>
        </w:rPr>
        <w:tab/>
        <w:t>This indicator refers to government schools for the national assessments and both government and non</w:t>
      </w:r>
      <w:r w:rsidRPr="003360B5">
        <w:rPr>
          <w:rFonts w:eastAsiaTheme="minorHAnsi"/>
        </w:rPr>
        <w:noBreakHyphen/>
        <w:t>government schools for the international assessments.</w:t>
      </w:r>
    </w:p>
    <w:p w:rsidR="00E25CC6" w:rsidRPr="003360B5" w:rsidRDefault="00E25CC6" w:rsidP="00571875">
      <w:pPr>
        <w:pStyle w:val="Notes"/>
        <w:rPr>
          <w:rFonts w:eastAsiaTheme="minorHAnsi"/>
        </w:rPr>
      </w:pPr>
      <w:r w:rsidRPr="003360B5">
        <w:rPr>
          <w:rFonts w:eastAsiaTheme="minorHAnsi"/>
        </w:rPr>
        <w:t>(c)</w:t>
      </w:r>
      <w:r w:rsidRPr="003360B5">
        <w:rPr>
          <w:rFonts w:eastAsiaTheme="minorHAnsi"/>
        </w:rPr>
        <w:tab/>
        <w:t>These indicators refer to government schools.</w:t>
      </w:r>
    </w:p>
    <w:p w:rsidR="00E25CC6" w:rsidRPr="003360B5" w:rsidRDefault="00E25CC6" w:rsidP="00C209F7">
      <w:pPr>
        <w:rPr>
          <w:rFonts w:eastAsiaTheme="minorHAnsi"/>
        </w:rPr>
      </w:pPr>
    </w:p>
    <w:p w:rsidR="00E25CC6" w:rsidRDefault="00E25CC6">
      <w:pPr>
        <w:spacing w:after="0"/>
        <w:rPr>
          <w:rFonts w:ascii="Calibri" w:eastAsiaTheme="minorHAnsi" w:hAnsi="Calibri"/>
          <w:b/>
          <w:kern w:val="28"/>
          <w:sz w:val="26"/>
          <w:szCs w:val="22"/>
        </w:rPr>
      </w:pPr>
      <w:r>
        <w:rPr>
          <w:rFonts w:eastAsiaTheme="minorHAnsi"/>
        </w:rPr>
        <w:br w:type="page"/>
      </w:r>
    </w:p>
    <w:p w:rsidR="00E25CC6" w:rsidRPr="003360B5" w:rsidRDefault="00E25CC6" w:rsidP="005D10B6">
      <w:pPr>
        <w:pStyle w:val="Heading2"/>
        <w:rPr>
          <w:rFonts w:eastAsiaTheme="minorHAnsi"/>
        </w:rPr>
      </w:pPr>
      <w:r w:rsidRPr="003360B5">
        <w:rPr>
          <w:rFonts w:eastAsiaTheme="minorHAnsi"/>
        </w:rPr>
        <w:t>Changes to the output structure</w:t>
      </w:r>
    </w:p>
    <w:p w:rsidR="00E25CC6" w:rsidRPr="003360B5" w:rsidRDefault="00E25CC6" w:rsidP="00571875">
      <w:pPr>
        <w:rPr>
          <w:rFonts w:eastAsiaTheme="minorHAnsi"/>
        </w:rPr>
      </w:pPr>
      <w:r w:rsidRPr="003360B5">
        <w:rPr>
          <w:rFonts w:eastAsiaTheme="minorHAnsi"/>
        </w:rPr>
        <w:t>The Department of Education and Training reviews its output structure and performance measures regularly to ensure they continue to align with, and support, its objectives.</w:t>
      </w:r>
    </w:p>
    <w:p w:rsidR="00E25CC6" w:rsidRPr="003360B5" w:rsidRDefault="00E25CC6" w:rsidP="00E16970">
      <w:pPr>
        <w:rPr>
          <w:rFonts w:eastAsiaTheme="minorHAnsi"/>
        </w:rPr>
      </w:pPr>
      <w:r w:rsidRPr="003360B5">
        <w:rPr>
          <w:rFonts w:eastAsiaTheme="minorHAnsi"/>
        </w:rPr>
        <w:t>The Higher Education and Skills output has been renamed to Training, Higher Education, Workforce Development and Skills. This recognises the continuum of vocational education and training and higher education in the role of supporting students and communities by working with industry and employers to help deliver skills, to grow jobs, and to meet the needs of the workforce and the economy.</w:t>
      </w:r>
    </w:p>
    <w:p w:rsidR="00E25CC6" w:rsidRPr="003360B5" w:rsidRDefault="00E25CC6" w:rsidP="00571875">
      <w:pPr>
        <w:rPr>
          <w:rFonts w:eastAsiaTheme="minorHAnsi"/>
        </w:rPr>
      </w:pPr>
      <w:r w:rsidRPr="003360B5">
        <w:rPr>
          <w:rFonts w:eastAsiaTheme="minorHAnsi"/>
        </w:rPr>
        <w:t>The following table summarises the Department</w:t>
      </w:r>
      <w:r>
        <w:rPr>
          <w:rFonts w:eastAsiaTheme="minorHAnsi"/>
        </w:rPr>
        <w:t>’</w:t>
      </w:r>
      <w:r w:rsidRPr="003360B5">
        <w:rPr>
          <w:rFonts w:eastAsiaTheme="minorHAnsi"/>
        </w:rPr>
        <w:t>s total output cost.</w:t>
      </w:r>
    </w:p>
    <w:p w:rsidR="00E25CC6" w:rsidRPr="003360B5" w:rsidRDefault="00E25CC6" w:rsidP="005D10B6">
      <w:pPr>
        <w:pStyle w:val="Tableheading"/>
        <w:rPr>
          <w:rFonts w:eastAsiaTheme="minorHAnsi"/>
        </w:rPr>
      </w:pPr>
      <w:r w:rsidRPr="003360B5">
        <w:rPr>
          <w:rFonts w:eastAsiaTheme="minorHAnsi"/>
        </w:rPr>
        <w:t>Table 2.5:</w:t>
      </w:r>
      <w:r w:rsidRPr="003360B5">
        <w:rPr>
          <w:rFonts w:eastAsiaTheme="minorHAnsi"/>
        </w:rPr>
        <w:tab/>
        <w:t>Output summary</w:t>
      </w:r>
    </w:p>
    <w:tbl>
      <w:tblPr>
        <w:tblW w:w="7760" w:type="dxa"/>
        <w:tblInd w:w="28" w:type="dxa"/>
        <w:tblLayout w:type="fixed"/>
        <w:tblCellMar>
          <w:left w:w="45" w:type="dxa"/>
          <w:right w:w="45" w:type="dxa"/>
        </w:tblCellMar>
        <w:tblLook w:val="0000" w:firstRow="0" w:lastRow="0" w:firstColumn="0" w:lastColumn="0" w:noHBand="0" w:noVBand="0"/>
      </w:tblPr>
      <w:tblGrid>
        <w:gridCol w:w="3561"/>
        <w:gridCol w:w="1049"/>
        <w:gridCol w:w="1050"/>
        <w:gridCol w:w="1050"/>
        <w:gridCol w:w="1050"/>
      </w:tblGrid>
      <w:tr w:rsidR="00E25CC6" w:rsidRPr="003360B5" w:rsidTr="008855E2">
        <w:tc>
          <w:tcPr>
            <w:tcW w:w="3561" w:type="dxa"/>
            <w:tcBorders>
              <w:bottom w:val="nil"/>
              <w:right w:val="nil"/>
            </w:tcBorders>
            <w:shd w:val="clear" w:color="auto" w:fill="auto"/>
          </w:tcPr>
          <w:p w:rsidR="00E25CC6" w:rsidRPr="003360B5" w:rsidRDefault="00E25CC6" w:rsidP="00B06FBA">
            <w:pPr>
              <w:pStyle w:val="Tabletext"/>
              <w:rPr>
                <w:rFonts w:eastAsiaTheme="minorEastAsia"/>
                <w:i/>
                <w:lang w:eastAsia="en-AU"/>
              </w:rPr>
            </w:pPr>
          </w:p>
        </w:tc>
        <w:tc>
          <w:tcPr>
            <w:tcW w:w="1049" w:type="dxa"/>
            <w:tcBorders>
              <w:left w:val="nil"/>
              <w:bottom w:val="nil"/>
              <w:right w:val="nil"/>
            </w:tcBorders>
            <w:shd w:val="clear" w:color="auto" w:fill="auto"/>
          </w:tcPr>
          <w:p w:rsidR="00E25CC6" w:rsidRPr="003360B5" w:rsidRDefault="00E25CC6" w:rsidP="002252DC">
            <w:pPr>
              <w:pStyle w:val="million"/>
              <w:rPr>
                <w:rFonts w:eastAsiaTheme="minorEastAsia"/>
                <w:lang w:eastAsia="en-AU"/>
              </w:rPr>
            </w:pPr>
            <w:r w:rsidRPr="003360B5">
              <w:t>($ million)</w:t>
            </w:r>
          </w:p>
        </w:tc>
        <w:tc>
          <w:tcPr>
            <w:tcW w:w="1050" w:type="dxa"/>
            <w:tcBorders>
              <w:left w:val="nil"/>
              <w:bottom w:val="nil"/>
              <w:right w:val="nil"/>
            </w:tcBorders>
            <w:shd w:val="clear" w:color="auto" w:fill="auto"/>
          </w:tcPr>
          <w:p w:rsidR="00E25CC6" w:rsidRPr="003360B5" w:rsidRDefault="00E25CC6" w:rsidP="00B06FBA">
            <w:pPr>
              <w:pStyle w:val="Tabletextheading"/>
              <w:rPr>
                <w:rFonts w:eastAsiaTheme="minorEastAsia"/>
                <w:lang w:eastAsia="en-AU"/>
              </w:rPr>
            </w:pPr>
          </w:p>
        </w:tc>
        <w:tc>
          <w:tcPr>
            <w:tcW w:w="1050" w:type="dxa"/>
            <w:tcBorders>
              <w:left w:val="nil"/>
              <w:bottom w:val="nil"/>
              <w:right w:val="nil"/>
            </w:tcBorders>
            <w:shd w:val="clear" w:color="auto" w:fill="auto"/>
          </w:tcPr>
          <w:p w:rsidR="00E25CC6" w:rsidRPr="003360B5" w:rsidRDefault="00E25CC6" w:rsidP="00B06FBA">
            <w:pPr>
              <w:pStyle w:val="Tabletextheading"/>
              <w:rPr>
                <w:rFonts w:eastAsiaTheme="minorEastAsia"/>
                <w:lang w:eastAsia="en-AU"/>
              </w:rPr>
            </w:pPr>
          </w:p>
        </w:tc>
        <w:tc>
          <w:tcPr>
            <w:tcW w:w="1050" w:type="dxa"/>
            <w:tcBorders>
              <w:left w:val="nil"/>
              <w:bottom w:val="nil"/>
            </w:tcBorders>
            <w:shd w:val="clear" w:color="auto" w:fill="auto"/>
          </w:tcPr>
          <w:p w:rsidR="00E25CC6" w:rsidRPr="003360B5" w:rsidRDefault="00E25CC6" w:rsidP="00B06FBA">
            <w:pPr>
              <w:pStyle w:val="Tabletextheading"/>
              <w:rPr>
                <w:rFonts w:eastAsiaTheme="minorEastAsia"/>
                <w:lang w:eastAsia="en-AU"/>
              </w:rPr>
            </w:pPr>
          </w:p>
        </w:tc>
      </w:tr>
      <w:tr w:rsidR="00E25CC6" w:rsidRPr="003360B5" w:rsidTr="008855E2">
        <w:tc>
          <w:tcPr>
            <w:tcW w:w="3561" w:type="dxa"/>
            <w:tcBorders>
              <w:top w:val="single" w:sz="6" w:space="0" w:color="000000"/>
              <w:left w:val="single" w:sz="6" w:space="0" w:color="000000"/>
              <w:bottom w:val="nil"/>
              <w:right w:val="nil"/>
            </w:tcBorders>
            <w:shd w:val="clear" w:color="000000" w:fill="000000"/>
          </w:tcPr>
          <w:p w:rsidR="00E25CC6" w:rsidRPr="003360B5" w:rsidRDefault="00E25CC6" w:rsidP="00B06FBA">
            <w:pPr>
              <w:pStyle w:val="Tabletext"/>
              <w:rPr>
                <w:rFonts w:eastAsiaTheme="minorEastAsia"/>
                <w:i/>
                <w:lang w:eastAsia="en-AU"/>
              </w:rPr>
            </w:pPr>
          </w:p>
        </w:tc>
        <w:tc>
          <w:tcPr>
            <w:tcW w:w="1049" w:type="dxa"/>
            <w:tcBorders>
              <w:top w:val="single" w:sz="6" w:space="0" w:color="000000"/>
              <w:left w:val="nil"/>
              <w:bottom w:val="nil"/>
              <w:right w:val="nil"/>
            </w:tcBorders>
            <w:shd w:val="clear" w:color="000000" w:fill="000000"/>
          </w:tcPr>
          <w:p w:rsidR="00E25CC6" w:rsidRPr="003360B5" w:rsidRDefault="00E25CC6" w:rsidP="008855E2">
            <w:pPr>
              <w:pStyle w:val="Tabletextheading"/>
              <w:rPr>
                <w:rFonts w:eastAsiaTheme="minorEastAsia"/>
                <w:lang w:eastAsia="en-AU"/>
              </w:rPr>
            </w:pPr>
            <w:r w:rsidRPr="003360B5">
              <w:rPr>
                <w:rFonts w:eastAsiaTheme="minorEastAsia"/>
                <w:lang w:eastAsia="en-AU"/>
              </w:rPr>
              <w:t>2015</w:t>
            </w:r>
            <w:r w:rsidRPr="003360B5">
              <w:rPr>
                <w:rFonts w:eastAsiaTheme="minorEastAsia"/>
                <w:lang w:eastAsia="en-AU"/>
              </w:rPr>
              <w:noBreakHyphen/>
              <w:t>16</w:t>
            </w:r>
          </w:p>
        </w:tc>
        <w:tc>
          <w:tcPr>
            <w:tcW w:w="1050" w:type="dxa"/>
            <w:tcBorders>
              <w:top w:val="single" w:sz="6" w:space="0" w:color="000000"/>
              <w:left w:val="nil"/>
              <w:bottom w:val="nil"/>
              <w:right w:val="nil"/>
            </w:tcBorders>
            <w:shd w:val="clear" w:color="000000" w:fill="000000"/>
          </w:tcPr>
          <w:p w:rsidR="00E25CC6" w:rsidRPr="003360B5" w:rsidRDefault="00E25CC6" w:rsidP="008855E2">
            <w:pPr>
              <w:pStyle w:val="Tabletextheading"/>
              <w:rPr>
                <w:rFonts w:eastAsiaTheme="minorEastAsia"/>
                <w:lang w:eastAsia="en-AU"/>
              </w:rPr>
            </w:pPr>
            <w:r w:rsidRPr="003360B5">
              <w:rPr>
                <w:rFonts w:eastAsiaTheme="minorEastAsia"/>
                <w:lang w:eastAsia="en-AU"/>
              </w:rPr>
              <w:t>2015</w:t>
            </w:r>
            <w:r w:rsidRPr="003360B5">
              <w:rPr>
                <w:rFonts w:eastAsiaTheme="minorEastAsia"/>
                <w:lang w:eastAsia="en-AU"/>
              </w:rPr>
              <w:noBreakHyphen/>
              <w:t>16</w:t>
            </w:r>
          </w:p>
        </w:tc>
        <w:tc>
          <w:tcPr>
            <w:tcW w:w="1050" w:type="dxa"/>
            <w:tcBorders>
              <w:top w:val="single" w:sz="6" w:space="0" w:color="000000"/>
              <w:left w:val="nil"/>
              <w:bottom w:val="nil"/>
              <w:right w:val="nil"/>
            </w:tcBorders>
            <w:shd w:val="clear" w:color="000000" w:fill="000000"/>
          </w:tcPr>
          <w:p w:rsidR="00E25CC6" w:rsidRPr="003360B5" w:rsidRDefault="00E25CC6" w:rsidP="008855E2">
            <w:pPr>
              <w:pStyle w:val="Tabletextheading"/>
              <w:rPr>
                <w:rFonts w:eastAsiaTheme="minorEastAsia"/>
                <w:lang w:eastAsia="en-AU"/>
              </w:rPr>
            </w:pPr>
            <w:r w:rsidRPr="003360B5">
              <w:rPr>
                <w:rFonts w:eastAsiaTheme="minorEastAsia"/>
                <w:lang w:eastAsia="en-AU"/>
              </w:rPr>
              <w:t>2016</w:t>
            </w:r>
            <w:r w:rsidRPr="003360B5">
              <w:rPr>
                <w:rFonts w:eastAsiaTheme="minorEastAsia"/>
                <w:lang w:eastAsia="en-AU"/>
              </w:rPr>
              <w:noBreakHyphen/>
              <w:t>17</w:t>
            </w:r>
          </w:p>
        </w:tc>
        <w:tc>
          <w:tcPr>
            <w:tcW w:w="1050" w:type="dxa"/>
            <w:tcBorders>
              <w:top w:val="single" w:sz="6" w:space="0" w:color="000000"/>
              <w:left w:val="nil"/>
              <w:bottom w:val="nil"/>
              <w:right w:val="single" w:sz="6" w:space="0" w:color="000000"/>
            </w:tcBorders>
            <w:shd w:val="clear" w:color="000000" w:fill="000000"/>
          </w:tcPr>
          <w:p w:rsidR="00E25CC6" w:rsidRPr="003360B5" w:rsidRDefault="00E25CC6" w:rsidP="00B06FBA">
            <w:pPr>
              <w:pStyle w:val="Tabletextheading"/>
              <w:rPr>
                <w:rFonts w:eastAsiaTheme="minorEastAsia"/>
                <w:vertAlign w:val="superscript"/>
                <w:lang w:eastAsia="en-AU"/>
              </w:rPr>
            </w:pPr>
            <w:r w:rsidRPr="003360B5">
              <w:rPr>
                <w:rFonts w:eastAsiaTheme="minorEastAsia"/>
                <w:lang w:eastAsia="en-AU"/>
              </w:rPr>
              <w:t xml:space="preserve">Variation </w:t>
            </w:r>
            <w:r w:rsidRPr="003360B5">
              <w:rPr>
                <w:rFonts w:eastAsiaTheme="minorEastAsia"/>
                <w:vertAlign w:val="superscript"/>
                <w:lang w:eastAsia="en-AU"/>
              </w:rPr>
              <w:t>(a)</w:t>
            </w:r>
          </w:p>
        </w:tc>
      </w:tr>
      <w:tr w:rsidR="00E25CC6" w:rsidRPr="003360B5" w:rsidTr="008855E2">
        <w:tc>
          <w:tcPr>
            <w:tcW w:w="3561" w:type="dxa"/>
            <w:tcBorders>
              <w:top w:val="nil"/>
              <w:left w:val="single" w:sz="6" w:space="0" w:color="000000"/>
              <w:bottom w:val="single" w:sz="6" w:space="0" w:color="000000"/>
              <w:right w:val="nil"/>
            </w:tcBorders>
            <w:shd w:val="clear" w:color="000000" w:fill="000000"/>
          </w:tcPr>
          <w:p w:rsidR="00E25CC6" w:rsidRPr="003360B5" w:rsidRDefault="00E25CC6" w:rsidP="00B06FBA">
            <w:pPr>
              <w:pStyle w:val="Tabletext"/>
              <w:rPr>
                <w:rFonts w:eastAsiaTheme="minorEastAsia"/>
                <w:i/>
                <w:lang w:eastAsia="en-AU"/>
              </w:rPr>
            </w:pPr>
          </w:p>
        </w:tc>
        <w:tc>
          <w:tcPr>
            <w:tcW w:w="1049" w:type="dxa"/>
            <w:tcBorders>
              <w:top w:val="nil"/>
              <w:left w:val="nil"/>
              <w:bottom w:val="single" w:sz="6" w:space="0" w:color="000000"/>
              <w:right w:val="nil"/>
            </w:tcBorders>
            <w:shd w:val="clear" w:color="000000" w:fill="000000"/>
          </w:tcPr>
          <w:p w:rsidR="00E25CC6" w:rsidRPr="003360B5" w:rsidRDefault="00E25CC6" w:rsidP="00B06FBA">
            <w:pPr>
              <w:pStyle w:val="Tabletextheading"/>
              <w:rPr>
                <w:rFonts w:eastAsiaTheme="minorEastAsia"/>
                <w:lang w:eastAsia="en-AU"/>
              </w:rPr>
            </w:pPr>
            <w:r w:rsidRPr="003360B5">
              <w:rPr>
                <w:rFonts w:eastAsiaTheme="minorEastAsia"/>
                <w:lang w:eastAsia="en-AU"/>
              </w:rPr>
              <w:t>budget</w:t>
            </w:r>
          </w:p>
        </w:tc>
        <w:tc>
          <w:tcPr>
            <w:tcW w:w="1050" w:type="dxa"/>
            <w:tcBorders>
              <w:top w:val="nil"/>
              <w:left w:val="nil"/>
              <w:bottom w:val="single" w:sz="6" w:space="0" w:color="000000"/>
              <w:right w:val="nil"/>
            </w:tcBorders>
            <w:shd w:val="clear" w:color="000000" w:fill="000000"/>
          </w:tcPr>
          <w:p w:rsidR="00E25CC6" w:rsidRPr="003360B5" w:rsidRDefault="00E25CC6" w:rsidP="00B06FBA">
            <w:pPr>
              <w:pStyle w:val="Tabletextheading"/>
              <w:rPr>
                <w:rFonts w:eastAsiaTheme="minorEastAsia"/>
                <w:lang w:eastAsia="en-AU"/>
              </w:rPr>
            </w:pPr>
            <w:r w:rsidRPr="003360B5">
              <w:rPr>
                <w:rFonts w:eastAsiaTheme="minorEastAsia"/>
                <w:lang w:eastAsia="en-AU"/>
              </w:rPr>
              <w:t>revised</w:t>
            </w:r>
          </w:p>
        </w:tc>
        <w:tc>
          <w:tcPr>
            <w:tcW w:w="1050" w:type="dxa"/>
            <w:tcBorders>
              <w:top w:val="nil"/>
              <w:left w:val="nil"/>
              <w:bottom w:val="single" w:sz="6" w:space="0" w:color="000000"/>
              <w:right w:val="nil"/>
            </w:tcBorders>
            <w:shd w:val="clear" w:color="000000" w:fill="000000"/>
          </w:tcPr>
          <w:p w:rsidR="00E25CC6" w:rsidRPr="003360B5" w:rsidRDefault="00E25CC6" w:rsidP="00B06FBA">
            <w:pPr>
              <w:pStyle w:val="Tabletextheading"/>
              <w:rPr>
                <w:rFonts w:eastAsiaTheme="minorEastAsia"/>
                <w:lang w:eastAsia="en-AU"/>
              </w:rPr>
            </w:pPr>
            <w:r w:rsidRPr="003360B5">
              <w:rPr>
                <w:rFonts w:eastAsiaTheme="minorEastAsia"/>
                <w:lang w:eastAsia="en-AU"/>
              </w:rPr>
              <w:t>budget</w:t>
            </w:r>
          </w:p>
        </w:tc>
        <w:tc>
          <w:tcPr>
            <w:tcW w:w="1050" w:type="dxa"/>
            <w:tcBorders>
              <w:top w:val="nil"/>
              <w:left w:val="nil"/>
              <w:bottom w:val="single" w:sz="6" w:space="0" w:color="000000"/>
              <w:right w:val="single" w:sz="6" w:space="0" w:color="000000"/>
            </w:tcBorders>
            <w:shd w:val="clear" w:color="000000" w:fill="000000"/>
          </w:tcPr>
          <w:p w:rsidR="00E25CC6" w:rsidRPr="003360B5" w:rsidRDefault="00E25CC6" w:rsidP="00B06FBA">
            <w:pPr>
              <w:pStyle w:val="Tabletextheading"/>
              <w:rPr>
                <w:rFonts w:eastAsiaTheme="minorEastAsia"/>
                <w:lang w:eastAsia="en-AU"/>
              </w:rPr>
            </w:pPr>
            <w:r w:rsidRPr="003360B5">
              <w:rPr>
                <w:rFonts w:eastAsiaTheme="minorEastAsia"/>
                <w:lang w:eastAsia="en-AU"/>
              </w:rPr>
              <w:t>%</w:t>
            </w:r>
          </w:p>
        </w:tc>
      </w:tr>
      <w:tr w:rsidR="00E25CC6" w:rsidRPr="003360B5" w:rsidTr="008855E2">
        <w:tc>
          <w:tcPr>
            <w:tcW w:w="3561" w:type="dxa"/>
            <w:tcBorders>
              <w:top w:val="single" w:sz="6" w:space="0" w:color="000000"/>
              <w:left w:val="nil"/>
              <w:bottom w:val="nil"/>
              <w:right w:val="nil"/>
            </w:tcBorders>
          </w:tcPr>
          <w:p w:rsidR="00E25CC6" w:rsidRPr="003360B5" w:rsidRDefault="00E25CC6" w:rsidP="00B06FBA">
            <w:pPr>
              <w:pStyle w:val="Tabletext"/>
              <w:rPr>
                <w:rFonts w:eastAsiaTheme="minorEastAsia" w:cs="Calibri"/>
                <w:vertAlign w:val="superscript"/>
                <w:lang w:eastAsia="en-AU"/>
              </w:rPr>
            </w:pPr>
            <w:r w:rsidRPr="003360B5">
              <w:rPr>
                <w:rFonts w:eastAsiaTheme="minorEastAsia"/>
                <w:lang w:eastAsia="en-AU"/>
              </w:rPr>
              <w:t xml:space="preserve">Strategy, Review and Regulation </w:t>
            </w:r>
            <w:r w:rsidRPr="003360B5">
              <w:rPr>
                <w:rFonts w:eastAsiaTheme="minorEastAsia"/>
                <w:vertAlign w:val="superscript"/>
                <w:lang w:eastAsia="en-AU"/>
              </w:rPr>
              <w:t>(b)</w:t>
            </w:r>
          </w:p>
        </w:tc>
        <w:tc>
          <w:tcPr>
            <w:tcW w:w="1049" w:type="dxa"/>
            <w:tcBorders>
              <w:top w:val="single" w:sz="6" w:space="0" w:color="000000"/>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101.9</w:t>
            </w:r>
          </w:p>
        </w:tc>
        <w:tc>
          <w:tcPr>
            <w:tcW w:w="1050" w:type="dxa"/>
            <w:tcBorders>
              <w:top w:val="single" w:sz="6" w:space="0" w:color="000000"/>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112.7</w:t>
            </w:r>
          </w:p>
        </w:tc>
        <w:tc>
          <w:tcPr>
            <w:tcW w:w="1050" w:type="dxa"/>
            <w:tcBorders>
              <w:top w:val="single" w:sz="6" w:space="0" w:color="000000"/>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95.7</w:t>
            </w:r>
          </w:p>
        </w:tc>
        <w:tc>
          <w:tcPr>
            <w:tcW w:w="1050" w:type="dxa"/>
            <w:tcBorders>
              <w:top w:val="single" w:sz="6" w:space="0" w:color="000000"/>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noBreakHyphen/>
              <w:t>6.1</w:t>
            </w:r>
          </w:p>
        </w:tc>
      </w:tr>
      <w:tr w:rsidR="00E25CC6" w:rsidRPr="003360B5" w:rsidTr="008855E2">
        <w:tc>
          <w:tcPr>
            <w:tcW w:w="3561" w:type="dxa"/>
            <w:tcBorders>
              <w:top w:val="nil"/>
              <w:left w:val="nil"/>
              <w:bottom w:val="nil"/>
              <w:right w:val="nil"/>
            </w:tcBorders>
          </w:tcPr>
          <w:p w:rsidR="00E25CC6" w:rsidRPr="003360B5" w:rsidRDefault="00E25CC6" w:rsidP="00B06FBA">
            <w:pPr>
              <w:pStyle w:val="Tabletext"/>
              <w:rPr>
                <w:rFonts w:eastAsiaTheme="minorEastAsia" w:cs="Calibri"/>
                <w:vertAlign w:val="superscript"/>
                <w:lang w:eastAsia="en-AU"/>
              </w:rPr>
            </w:pPr>
            <w:r w:rsidRPr="003360B5">
              <w:rPr>
                <w:rFonts w:eastAsiaTheme="minorEastAsia"/>
                <w:lang w:eastAsia="en-AU"/>
              </w:rPr>
              <w:t xml:space="preserve">Early Childhood Development </w:t>
            </w:r>
            <w:r w:rsidRPr="003360B5">
              <w:rPr>
                <w:rFonts w:eastAsiaTheme="minorEastAsia"/>
                <w:vertAlign w:val="superscript"/>
                <w:lang w:eastAsia="en-AU"/>
              </w:rPr>
              <w:t>(c)</w:t>
            </w:r>
          </w:p>
        </w:tc>
        <w:tc>
          <w:tcPr>
            <w:tcW w:w="1049"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491.1</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536.7</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582.4</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18.6</w:t>
            </w:r>
          </w:p>
        </w:tc>
      </w:tr>
      <w:tr w:rsidR="00E25CC6" w:rsidRPr="003360B5" w:rsidTr="008855E2">
        <w:tc>
          <w:tcPr>
            <w:tcW w:w="3561" w:type="dxa"/>
            <w:tcBorders>
              <w:top w:val="nil"/>
              <w:left w:val="nil"/>
              <w:bottom w:val="nil"/>
              <w:right w:val="nil"/>
            </w:tcBorders>
          </w:tcPr>
          <w:p w:rsidR="00E25CC6" w:rsidRPr="003360B5" w:rsidRDefault="00E25CC6" w:rsidP="00B06FBA">
            <w:pPr>
              <w:pStyle w:val="Tabletext"/>
              <w:rPr>
                <w:rFonts w:eastAsiaTheme="minorEastAsia"/>
                <w:lang w:eastAsia="en-AU"/>
              </w:rPr>
            </w:pPr>
            <w:r w:rsidRPr="003360B5">
              <w:rPr>
                <w:rFonts w:eastAsiaTheme="minorEastAsia"/>
                <w:lang w:eastAsia="en-AU"/>
              </w:rPr>
              <w:t>School Education</w:t>
            </w:r>
          </w:p>
        </w:tc>
        <w:tc>
          <w:tcPr>
            <w:tcW w:w="1049"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p>
        </w:tc>
        <w:tc>
          <w:tcPr>
            <w:tcW w:w="1050" w:type="dxa"/>
            <w:tcBorders>
              <w:top w:val="nil"/>
              <w:left w:val="nil"/>
              <w:right w:val="nil"/>
            </w:tcBorders>
            <w:shd w:val="clear" w:color="auto" w:fill="auto"/>
          </w:tcPr>
          <w:p w:rsidR="00E25CC6" w:rsidRPr="003360B5" w:rsidRDefault="00E25CC6" w:rsidP="00B06FBA">
            <w:pPr>
              <w:pStyle w:val="TableofFigures"/>
              <w:rPr>
                <w:rFonts w:eastAsiaTheme="minorEastAsia"/>
              </w:rPr>
            </w:pPr>
          </w:p>
        </w:tc>
        <w:tc>
          <w:tcPr>
            <w:tcW w:w="1050" w:type="dxa"/>
            <w:tcBorders>
              <w:top w:val="nil"/>
              <w:left w:val="nil"/>
              <w:right w:val="nil"/>
            </w:tcBorders>
            <w:shd w:val="clear" w:color="auto" w:fill="auto"/>
          </w:tcPr>
          <w:p w:rsidR="00E25CC6" w:rsidRPr="003360B5" w:rsidRDefault="00E25CC6" w:rsidP="00B06FBA">
            <w:pPr>
              <w:pStyle w:val="TableofFigures"/>
              <w:rPr>
                <w:rFonts w:eastAsiaTheme="minorEastAsia"/>
              </w:rPr>
            </w:pPr>
          </w:p>
        </w:tc>
        <w:tc>
          <w:tcPr>
            <w:tcW w:w="1050" w:type="dxa"/>
            <w:tcBorders>
              <w:top w:val="nil"/>
              <w:left w:val="nil"/>
              <w:right w:val="nil"/>
            </w:tcBorders>
            <w:shd w:val="clear" w:color="auto" w:fill="auto"/>
          </w:tcPr>
          <w:p w:rsidR="00E25CC6" w:rsidRPr="003360B5" w:rsidRDefault="00E25CC6" w:rsidP="00B06FBA">
            <w:pPr>
              <w:pStyle w:val="TableofFigures"/>
              <w:rPr>
                <w:rFonts w:eastAsiaTheme="minorEastAsia"/>
              </w:rPr>
            </w:pPr>
          </w:p>
        </w:tc>
      </w:tr>
      <w:tr w:rsidR="00E25CC6" w:rsidRPr="003360B5" w:rsidTr="008855E2">
        <w:tc>
          <w:tcPr>
            <w:tcW w:w="3561" w:type="dxa"/>
            <w:tcBorders>
              <w:top w:val="nil"/>
              <w:left w:val="nil"/>
              <w:bottom w:val="nil"/>
              <w:right w:val="nil"/>
            </w:tcBorders>
          </w:tcPr>
          <w:p w:rsidR="00E25CC6" w:rsidRPr="003360B5" w:rsidRDefault="00E25CC6" w:rsidP="00B06FBA">
            <w:pPr>
              <w:pStyle w:val="Tabletext"/>
              <w:rPr>
                <w:rFonts w:eastAsiaTheme="minorEastAsia" w:cs="Calibri"/>
                <w:vertAlign w:val="superscript"/>
                <w:lang w:eastAsia="en-AU"/>
              </w:rPr>
            </w:pPr>
            <w:r w:rsidRPr="003360B5">
              <w:rPr>
                <w:rFonts w:eastAsiaTheme="minorEastAsia"/>
                <w:lang w:eastAsia="en-AU"/>
              </w:rPr>
              <w:t xml:space="preserve">School Education – Primary </w:t>
            </w:r>
            <w:r w:rsidRPr="003360B5">
              <w:rPr>
                <w:rFonts w:eastAsiaTheme="minorEastAsia"/>
                <w:vertAlign w:val="superscript"/>
                <w:lang w:eastAsia="en-AU"/>
              </w:rPr>
              <w:t>(d)</w:t>
            </w:r>
          </w:p>
        </w:tc>
        <w:tc>
          <w:tcPr>
            <w:tcW w:w="1049"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4598.1</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4624.1</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4930.9</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7.2</w:t>
            </w:r>
          </w:p>
        </w:tc>
      </w:tr>
      <w:tr w:rsidR="00E25CC6" w:rsidRPr="003360B5" w:rsidTr="008855E2">
        <w:tc>
          <w:tcPr>
            <w:tcW w:w="3561" w:type="dxa"/>
            <w:tcBorders>
              <w:top w:val="nil"/>
              <w:left w:val="nil"/>
              <w:bottom w:val="nil"/>
              <w:right w:val="nil"/>
            </w:tcBorders>
          </w:tcPr>
          <w:p w:rsidR="00E25CC6" w:rsidRPr="003360B5" w:rsidRDefault="00E25CC6" w:rsidP="005D16DE">
            <w:pPr>
              <w:pStyle w:val="Tabletext"/>
              <w:rPr>
                <w:rFonts w:eastAsiaTheme="minorEastAsia" w:cs="Calibri"/>
                <w:vertAlign w:val="superscript"/>
                <w:lang w:eastAsia="en-AU"/>
              </w:rPr>
            </w:pPr>
            <w:r w:rsidRPr="003360B5">
              <w:rPr>
                <w:rFonts w:eastAsiaTheme="minorEastAsia"/>
                <w:lang w:eastAsia="en-AU"/>
              </w:rPr>
              <w:t xml:space="preserve">School Education – Secondary </w:t>
            </w:r>
            <w:r w:rsidRPr="003360B5">
              <w:rPr>
                <w:rFonts w:eastAsiaTheme="minorEastAsia"/>
                <w:vertAlign w:val="superscript"/>
                <w:lang w:eastAsia="en-AU"/>
              </w:rPr>
              <w:t>(d)</w:t>
            </w:r>
          </w:p>
        </w:tc>
        <w:tc>
          <w:tcPr>
            <w:tcW w:w="1049"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3866.2</w:t>
            </w:r>
          </w:p>
        </w:tc>
        <w:tc>
          <w:tcPr>
            <w:tcW w:w="1050" w:type="dxa"/>
            <w:tcBorders>
              <w:top w:val="nil"/>
              <w:left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3911.3</w:t>
            </w:r>
          </w:p>
        </w:tc>
        <w:tc>
          <w:tcPr>
            <w:tcW w:w="1050" w:type="dxa"/>
            <w:tcBorders>
              <w:top w:val="nil"/>
              <w:left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4156.8</w:t>
            </w:r>
          </w:p>
        </w:tc>
        <w:tc>
          <w:tcPr>
            <w:tcW w:w="1050" w:type="dxa"/>
            <w:tcBorders>
              <w:top w:val="nil"/>
              <w:left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7.5</w:t>
            </w:r>
          </w:p>
        </w:tc>
      </w:tr>
      <w:tr w:rsidR="00E25CC6" w:rsidRPr="003360B5" w:rsidTr="008855E2">
        <w:tc>
          <w:tcPr>
            <w:tcW w:w="3561" w:type="dxa"/>
            <w:tcBorders>
              <w:top w:val="nil"/>
              <w:left w:val="nil"/>
              <w:bottom w:val="nil"/>
              <w:right w:val="nil"/>
            </w:tcBorders>
          </w:tcPr>
          <w:p w:rsidR="00E25CC6" w:rsidRPr="003360B5" w:rsidRDefault="00E25CC6" w:rsidP="00B06FBA">
            <w:pPr>
              <w:pStyle w:val="Tabletext"/>
              <w:rPr>
                <w:rFonts w:eastAsiaTheme="minorEastAsia" w:cs="Calibri"/>
                <w:vertAlign w:val="superscript"/>
                <w:lang w:eastAsia="en-AU"/>
              </w:rPr>
            </w:pPr>
            <w:r w:rsidRPr="003360B5">
              <w:rPr>
                <w:rFonts w:eastAsiaTheme="minorEastAsia"/>
                <w:lang w:eastAsia="en-AU"/>
              </w:rPr>
              <w:t>Training, Higher Education, Workforce Development and Skills</w:t>
            </w:r>
          </w:p>
        </w:tc>
        <w:tc>
          <w:tcPr>
            <w:tcW w:w="1049"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2476.3</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2 449.7</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2 477.5</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w:t>
            </w:r>
          </w:p>
        </w:tc>
      </w:tr>
      <w:tr w:rsidR="00E25CC6" w:rsidRPr="003360B5" w:rsidTr="008855E2">
        <w:tc>
          <w:tcPr>
            <w:tcW w:w="3561" w:type="dxa"/>
            <w:tcBorders>
              <w:top w:val="nil"/>
              <w:left w:val="nil"/>
              <w:bottom w:val="nil"/>
              <w:right w:val="nil"/>
            </w:tcBorders>
          </w:tcPr>
          <w:p w:rsidR="00E25CC6" w:rsidRPr="003360B5" w:rsidRDefault="00E25CC6" w:rsidP="00B06FBA">
            <w:pPr>
              <w:pStyle w:val="Tabletext"/>
              <w:rPr>
                <w:rFonts w:eastAsiaTheme="minorEastAsia" w:cs="Calibri"/>
                <w:vertAlign w:val="superscript"/>
                <w:lang w:eastAsia="en-AU"/>
              </w:rPr>
            </w:pPr>
            <w:r w:rsidRPr="003360B5">
              <w:rPr>
                <w:rFonts w:eastAsiaTheme="minorEastAsia"/>
                <w:lang w:eastAsia="en-AU"/>
              </w:rPr>
              <w:t xml:space="preserve">Support Services Delivery </w:t>
            </w:r>
          </w:p>
        </w:tc>
        <w:tc>
          <w:tcPr>
            <w:tcW w:w="1049"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305.8</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349.2</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313.9</w:t>
            </w:r>
          </w:p>
        </w:tc>
        <w:tc>
          <w:tcPr>
            <w:tcW w:w="1050" w:type="dxa"/>
            <w:tcBorders>
              <w:top w:val="nil"/>
              <w:left w:val="nil"/>
              <w:bottom w:val="nil"/>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2.6</w:t>
            </w:r>
          </w:p>
        </w:tc>
      </w:tr>
      <w:tr w:rsidR="00E25CC6" w:rsidRPr="003360B5" w:rsidTr="008855E2">
        <w:tc>
          <w:tcPr>
            <w:tcW w:w="3561" w:type="dxa"/>
            <w:tcBorders>
              <w:top w:val="nil"/>
              <w:left w:val="nil"/>
              <w:bottom w:val="single" w:sz="6" w:space="0" w:color="auto"/>
              <w:right w:val="nil"/>
            </w:tcBorders>
          </w:tcPr>
          <w:p w:rsidR="00E25CC6" w:rsidRPr="003360B5" w:rsidRDefault="00E25CC6" w:rsidP="005D16DE">
            <w:pPr>
              <w:pStyle w:val="Tabletext"/>
              <w:rPr>
                <w:rFonts w:eastAsiaTheme="minorEastAsia" w:cs="Calibri"/>
                <w:vertAlign w:val="superscript"/>
                <w:lang w:eastAsia="en-AU"/>
              </w:rPr>
            </w:pPr>
            <w:r w:rsidRPr="003360B5">
              <w:rPr>
                <w:rFonts w:eastAsiaTheme="minorEastAsia"/>
                <w:lang w:eastAsia="en-AU"/>
              </w:rPr>
              <w:t xml:space="preserve">Support for Students with Disabilities </w:t>
            </w:r>
            <w:r w:rsidRPr="003360B5">
              <w:rPr>
                <w:rFonts w:eastAsiaTheme="minorEastAsia"/>
                <w:vertAlign w:val="superscript"/>
                <w:lang w:eastAsia="en-AU"/>
              </w:rPr>
              <w:t>(e)</w:t>
            </w:r>
          </w:p>
        </w:tc>
        <w:tc>
          <w:tcPr>
            <w:tcW w:w="1049" w:type="dxa"/>
            <w:tcBorders>
              <w:top w:val="nil"/>
              <w:left w:val="nil"/>
              <w:bottom w:val="single" w:sz="6" w:space="0" w:color="auto"/>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860.4</w:t>
            </w:r>
          </w:p>
        </w:tc>
        <w:tc>
          <w:tcPr>
            <w:tcW w:w="1050" w:type="dxa"/>
            <w:tcBorders>
              <w:top w:val="nil"/>
              <w:left w:val="nil"/>
              <w:bottom w:val="single" w:sz="6" w:space="0" w:color="auto"/>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867.4</w:t>
            </w:r>
          </w:p>
        </w:tc>
        <w:tc>
          <w:tcPr>
            <w:tcW w:w="1050" w:type="dxa"/>
            <w:tcBorders>
              <w:top w:val="nil"/>
              <w:left w:val="nil"/>
              <w:bottom w:val="single" w:sz="6" w:space="0" w:color="auto"/>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932.4</w:t>
            </w:r>
          </w:p>
        </w:tc>
        <w:tc>
          <w:tcPr>
            <w:tcW w:w="1050" w:type="dxa"/>
            <w:tcBorders>
              <w:top w:val="nil"/>
              <w:left w:val="nil"/>
              <w:bottom w:val="single" w:sz="6" w:space="0" w:color="auto"/>
              <w:right w:val="nil"/>
            </w:tcBorders>
            <w:shd w:val="clear" w:color="auto" w:fill="auto"/>
          </w:tcPr>
          <w:p w:rsidR="00E25CC6" w:rsidRPr="003360B5" w:rsidRDefault="00E25CC6" w:rsidP="00B06FBA">
            <w:pPr>
              <w:pStyle w:val="TableofFigures"/>
              <w:rPr>
                <w:rFonts w:eastAsiaTheme="minorEastAsia"/>
              </w:rPr>
            </w:pPr>
            <w:r w:rsidRPr="003360B5">
              <w:rPr>
                <w:rFonts w:eastAsiaTheme="minorEastAsia"/>
              </w:rPr>
              <w:t>8.4</w:t>
            </w:r>
          </w:p>
        </w:tc>
      </w:tr>
      <w:tr w:rsidR="00E25CC6" w:rsidRPr="003360B5" w:rsidTr="008855E2">
        <w:tc>
          <w:tcPr>
            <w:tcW w:w="3561" w:type="dxa"/>
            <w:tcBorders>
              <w:top w:val="single" w:sz="6" w:space="0" w:color="auto"/>
              <w:left w:val="nil"/>
              <w:bottom w:val="single" w:sz="12" w:space="0" w:color="000000"/>
              <w:right w:val="nil"/>
            </w:tcBorders>
            <w:shd w:val="clear" w:color="auto" w:fill="auto"/>
          </w:tcPr>
          <w:p w:rsidR="00E25CC6" w:rsidRPr="003360B5" w:rsidRDefault="00E25CC6" w:rsidP="00B06FBA">
            <w:pPr>
              <w:pStyle w:val="Tabletext"/>
              <w:rPr>
                <w:rFonts w:eastAsiaTheme="minorEastAsia"/>
                <w:b/>
                <w:bCs/>
                <w:lang w:eastAsia="en-AU"/>
              </w:rPr>
            </w:pPr>
            <w:r w:rsidRPr="003360B5">
              <w:rPr>
                <w:rFonts w:eastAsiaTheme="minorEastAsia"/>
                <w:b/>
                <w:bCs/>
                <w:lang w:eastAsia="en-AU"/>
              </w:rPr>
              <w:t>Total</w:t>
            </w:r>
          </w:p>
        </w:tc>
        <w:tc>
          <w:tcPr>
            <w:tcW w:w="1049" w:type="dxa"/>
            <w:tcBorders>
              <w:top w:val="single" w:sz="6" w:space="0" w:color="auto"/>
              <w:left w:val="nil"/>
              <w:bottom w:val="single" w:sz="12" w:space="0" w:color="000000"/>
              <w:right w:val="nil"/>
            </w:tcBorders>
            <w:shd w:val="clear" w:color="auto" w:fill="auto"/>
          </w:tcPr>
          <w:p w:rsidR="00E25CC6" w:rsidRPr="003360B5" w:rsidRDefault="00E25CC6" w:rsidP="00B06FBA">
            <w:pPr>
              <w:pStyle w:val="TableofFigures"/>
              <w:rPr>
                <w:rFonts w:eastAsiaTheme="minorEastAsia"/>
                <w:b/>
                <w:bCs/>
                <w:lang w:eastAsia="en-AU"/>
              </w:rPr>
            </w:pPr>
            <w:r w:rsidRPr="003360B5">
              <w:rPr>
                <w:rFonts w:eastAsiaTheme="minorEastAsia"/>
                <w:b/>
                <w:bCs/>
                <w:lang w:eastAsia="en-AU"/>
              </w:rPr>
              <w:t>12 699.8</w:t>
            </w:r>
          </w:p>
        </w:tc>
        <w:tc>
          <w:tcPr>
            <w:tcW w:w="1050" w:type="dxa"/>
            <w:tcBorders>
              <w:top w:val="single" w:sz="6" w:space="0" w:color="auto"/>
              <w:left w:val="nil"/>
              <w:bottom w:val="single" w:sz="12" w:space="0" w:color="000000"/>
              <w:right w:val="nil"/>
            </w:tcBorders>
            <w:shd w:val="clear" w:color="auto" w:fill="auto"/>
          </w:tcPr>
          <w:p w:rsidR="00E25CC6" w:rsidRPr="003360B5" w:rsidRDefault="00E25CC6" w:rsidP="00B06FBA">
            <w:pPr>
              <w:pStyle w:val="TableofFigures"/>
              <w:rPr>
                <w:rFonts w:eastAsiaTheme="minorEastAsia"/>
                <w:b/>
                <w:bCs/>
                <w:lang w:eastAsia="en-AU"/>
              </w:rPr>
            </w:pPr>
            <w:r w:rsidRPr="003360B5">
              <w:rPr>
                <w:rFonts w:eastAsiaTheme="minorEastAsia"/>
                <w:b/>
                <w:bCs/>
                <w:lang w:eastAsia="en-AU"/>
              </w:rPr>
              <w:t>12 851.1</w:t>
            </w:r>
          </w:p>
        </w:tc>
        <w:tc>
          <w:tcPr>
            <w:tcW w:w="1050" w:type="dxa"/>
            <w:tcBorders>
              <w:top w:val="single" w:sz="6" w:space="0" w:color="auto"/>
              <w:left w:val="nil"/>
              <w:bottom w:val="single" w:sz="12" w:space="0" w:color="000000"/>
              <w:right w:val="nil"/>
            </w:tcBorders>
            <w:shd w:val="clear" w:color="auto" w:fill="auto"/>
          </w:tcPr>
          <w:p w:rsidR="00E25CC6" w:rsidRPr="003360B5" w:rsidRDefault="00E25CC6" w:rsidP="00B06FBA">
            <w:pPr>
              <w:pStyle w:val="TableofFigures"/>
              <w:rPr>
                <w:rFonts w:eastAsiaTheme="minorEastAsia"/>
                <w:b/>
                <w:bCs/>
                <w:lang w:eastAsia="en-AU"/>
              </w:rPr>
            </w:pPr>
            <w:r w:rsidRPr="003360B5">
              <w:rPr>
                <w:rFonts w:eastAsiaTheme="minorEastAsia"/>
                <w:b/>
                <w:bCs/>
                <w:lang w:eastAsia="en-AU"/>
              </w:rPr>
              <w:t>13 489.6</w:t>
            </w:r>
          </w:p>
        </w:tc>
        <w:tc>
          <w:tcPr>
            <w:tcW w:w="1050" w:type="dxa"/>
            <w:tcBorders>
              <w:top w:val="single" w:sz="6" w:space="0" w:color="auto"/>
              <w:left w:val="nil"/>
              <w:bottom w:val="single" w:sz="12" w:space="0" w:color="000000"/>
              <w:right w:val="nil"/>
            </w:tcBorders>
            <w:shd w:val="clear" w:color="auto" w:fill="auto"/>
          </w:tcPr>
          <w:p w:rsidR="00E25CC6" w:rsidRPr="003360B5" w:rsidRDefault="00E25CC6" w:rsidP="00B06FBA">
            <w:pPr>
              <w:pStyle w:val="TableofFigures"/>
              <w:rPr>
                <w:rFonts w:eastAsiaTheme="minorEastAsia"/>
                <w:b/>
                <w:bCs/>
                <w:lang w:eastAsia="en-AU"/>
              </w:rPr>
            </w:pPr>
            <w:r w:rsidRPr="003360B5">
              <w:rPr>
                <w:rFonts w:eastAsiaTheme="minorEastAsia"/>
                <w:b/>
                <w:bCs/>
                <w:lang w:eastAsia="en-AU"/>
              </w:rPr>
              <w:t>6.2</w:t>
            </w:r>
          </w:p>
        </w:tc>
      </w:tr>
    </w:tbl>
    <w:p w:rsidR="00E25CC6" w:rsidRPr="003360B5" w:rsidRDefault="00E25CC6" w:rsidP="00562AB7">
      <w:pPr>
        <w:pStyle w:val="Source"/>
        <w:rPr>
          <w:rFonts w:eastAsiaTheme="minorHAnsi"/>
          <w:i w:val="0"/>
        </w:rPr>
      </w:pPr>
      <w:r w:rsidRPr="003360B5">
        <w:rPr>
          <w:rFonts w:eastAsiaTheme="minorHAnsi"/>
        </w:rPr>
        <w:t xml:space="preserve">Source: Department of Education and Training </w:t>
      </w:r>
      <w:r w:rsidRPr="003360B5">
        <w:rPr>
          <w:rFonts w:eastAsiaTheme="minorHAnsi"/>
        </w:rPr>
        <w:fldChar w:fldCharType="begin"/>
      </w:r>
      <w:r w:rsidRPr="003360B5">
        <w:instrText xml:space="preserve"> XE "Department of Education and Training:Output summary" </w:instrText>
      </w:r>
      <w:r w:rsidRPr="003360B5">
        <w:rPr>
          <w:rFonts w:eastAsiaTheme="minorHAnsi"/>
        </w:rPr>
        <w:fldChar w:fldCharType="end"/>
      </w:r>
    </w:p>
    <w:p w:rsidR="00E25CC6" w:rsidRPr="003360B5" w:rsidRDefault="00E25CC6" w:rsidP="004134DE">
      <w:pPr>
        <w:pStyle w:val="Notes"/>
        <w:rPr>
          <w:rFonts w:eastAsiaTheme="minorHAnsi"/>
        </w:rPr>
      </w:pPr>
      <w:r w:rsidRPr="003360B5">
        <w:rPr>
          <w:rFonts w:eastAsiaTheme="minorHAnsi"/>
        </w:rPr>
        <w:t>Notes:</w:t>
      </w:r>
    </w:p>
    <w:p w:rsidR="00E25CC6" w:rsidRPr="003360B5" w:rsidRDefault="00E25CC6" w:rsidP="004134DE">
      <w:pPr>
        <w:pStyle w:val="Notes"/>
        <w:rPr>
          <w:rFonts w:eastAsiaTheme="minorHAnsi"/>
        </w:rPr>
      </w:pPr>
      <w:r w:rsidRPr="003360B5">
        <w:rPr>
          <w:rFonts w:eastAsiaTheme="minorHAnsi"/>
        </w:rPr>
        <w:t>(a)</w:t>
      </w:r>
      <w:r w:rsidRPr="003360B5">
        <w:rPr>
          <w:rFonts w:eastAsiaTheme="minorHAnsi"/>
        </w:rPr>
        <w:tab/>
        <w:t>Variation between 2015</w:t>
      </w:r>
      <w:r w:rsidRPr="003360B5">
        <w:rPr>
          <w:rFonts w:eastAsiaTheme="minorHAnsi"/>
        </w:rPr>
        <w:noBreakHyphen/>
        <w:t>16 budget and 2016</w:t>
      </w:r>
      <w:r w:rsidRPr="003360B5">
        <w:rPr>
          <w:rFonts w:eastAsiaTheme="minorHAnsi"/>
        </w:rPr>
        <w:noBreakHyphen/>
        <w:t>17 budget.</w:t>
      </w:r>
    </w:p>
    <w:p w:rsidR="00E25CC6" w:rsidRPr="003360B5" w:rsidRDefault="00E25CC6" w:rsidP="00AF1232">
      <w:pPr>
        <w:pStyle w:val="Notes"/>
        <w:rPr>
          <w:rFonts w:eastAsiaTheme="minorHAnsi"/>
        </w:rPr>
      </w:pPr>
      <w:r w:rsidRPr="003360B5">
        <w:rPr>
          <w:rFonts w:eastAsiaTheme="minorHAnsi"/>
        </w:rPr>
        <w:t>(b)</w:t>
      </w:r>
      <w:r w:rsidRPr="003360B5">
        <w:rPr>
          <w:rFonts w:eastAsiaTheme="minorHAnsi"/>
        </w:rPr>
        <w:tab/>
        <w:t>The lower 2016</w:t>
      </w:r>
      <w:r w:rsidRPr="003360B5">
        <w:rPr>
          <w:rFonts w:eastAsiaTheme="minorHAnsi"/>
        </w:rPr>
        <w:noBreakHyphen/>
        <w:t>17 budget compared with the 2015</w:t>
      </w:r>
      <w:r w:rsidRPr="003360B5">
        <w:rPr>
          <w:rFonts w:eastAsiaTheme="minorHAnsi"/>
        </w:rPr>
        <w:noBreakHyphen/>
        <w:t>16 budget primarily reflects lower estimated carry forward from 2015</w:t>
      </w:r>
      <w:r w:rsidRPr="003360B5">
        <w:rPr>
          <w:rFonts w:eastAsiaTheme="minorHAnsi"/>
        </w:rPr>
        <w:noBreakHyphen/>
        <w:t>16 in comparison with the estimated carry forward from 2014</w:t>
      </w:r>
      <w:r w:rsidRPr="003360B5">
        <w:rPr>
          <w:rFonts w:eastAsiaTheme="minorHAnsi"/>
        </w:rPr>
        <w:noBreakHyphen/>
        <w:t>15 to 2015</w:t>
      </w:r>
      <w:r w:rsidRPr="003360B5">
        <w:rPr>
          <w:rFonts w:eastAsiaTheme="minorHAnsi"/>
        </w:rPr>
        <w:noBreakHyphen/>
        <w:t>16.</w:t>
      </w:r>
    </w:p>
    <w:p w:rsidR="00E25CC6" w:rsidRPr="003360B5" w:rsidRDefault="00E25CC6" w:rsidP="00AF1232">
      <w:pPr>
        <w:pStyle w:val="Notes"/>
        <w:rPr>
          <w:rFonts w:eastAsiaTheme="minorHAnsi"/>
        </w:rPr>
      </w:pPr>
      <w:r w:rsidRPr="003360B5">
        <w:rPr>
          <w:rFonts w:eastAsiaTheme="minorHAnsi"/>
        </w:rPr>
        <w:t>(c)</w:t>
      </w:r>
      <w:r w:rsidRPr="003360B5">
        <w:rPr>
          <w:rFonts w:eastAsiaTheme="minorHAnsi"/>
        </w:rPr>
        <w:tab/>
        <w:t>The higher 2016</w:t>
      </w:r>
      <w:r w:rsidRPr="003360B5">
        <w:rPr>
          <w:rFonts w:eastAsiaTheme="minorHAnsi"/>
        </w:rPr>
        <w:noBreakHyphen/>
        <w:t>17 budget compared with the 2015</w:t>
      </w:r>
      <w:r w:rsidRPr="003360B5">
        <w:rPr>
          <w:rFonts w:eastAsiaTheme="minorHAnsi"/>
        </w:rPr>
        <w:noBreakHyphen/>
        <w:t xml:space="preserve">16 budget primarily reflects an increase in Commonwealth funding for the National Partnership on universal access for early childhood education and new funding announced as part of the </w:t>
      </w:r>
      <w:r w:rsidRPr="003360B5">
        <w:rPr>
          <w:rFonts w:eastAsiaTheme="minorHAnsi"/>
          <w:i w:val="0"/>
        </w:rPr>
        <w:t>2016</w:t>
      </w:r>
      <w:r w:rsidRPr="003360B5">
        <w:rPr>
          <w:rFonts w:eastAsiaTheme="minorHAnsi"/>
          <w:i w:val="0"/>
        </w:rPr>
        <w:noBreakHyphen/>
        <w:t>17 Budget</w:t>
      </w:r>
      <w:r w:rsidRPr="003360B5">
        <w:rPr>
          <w:rFonts w:eastAsiaTheme="minorHAnsi"/>
        </w:rPr>
        <w:t xml:space="preserve">. </w:t>
      </w:r>
    </w:p>
    <w:p w:rsidR="00E25CC6" w:rsidRPr="003360B5" w:rsidRDefault="00E25CC6" w:rsidP="004B652A">
      <w:pPr>
        <w:pStyle w:val="Notes"/>
        <w:rPr>
          <w:rFonts w:eastAsiaTheme="minorHAnsi"/>
        </w:rPr>
      </w:pPr>
      <w:r w:rsidRPr="003360B5">
        <w:rPr>
          <w:rFonts w:eastAsiaTheme="minorHAnsi"/>
        </w:rPr>
        <w:t>(d)</w:t>
      </w:r>
      <w:r w:rsidRPr="003360B5">
        <w:rPr>
          <w:rFonts w:eastAsiaTheme="minorHAnsi"/>
        </w:rPr>
        <w:tab/>
        <w:t>The higher 2016</w:t>
      </w:r>
      <w:r w:rsidRPr="003360B5">
        <w:rPr>
          <w:rFonts w:eastAsiaTheme="minorHAnsi"/>
        </w:rPr>
        <w:noBreakHyphen/>
        <w:t>17 budget primarily reflects indexation and release of Education State funding.</w:t>
      </w:r>
    </w:p>
    <w:p w:rsidR="00E25CC6" w:rsidRPr="003360B5" w:rsidRDefault="00E25CC6" w:rsidP="004134DE">
      <w:pPr>
        <w:pStyle w:val="Notes"/>
        <w:rPr>
          <w:rFonts w:eastAsiaTheme="minorHAnsi"/>
        </w:rPr>
      </w:pPr>
      <w:r w:rsidRPr="003360B5">
        <w:rPr>
          <w:rFonts w:eastAsiaTheme="minorHAnsi"/>
        </w:rPr>
        <w:t>(e)</w:t>
      </w:r>
      <w:r w:rsidRPr="003360B5">
        <w:rPr>
          <w:rFonts w:eastAsiaTheme="minorHAnsi"/>
        </w:rPr>
        <w:tab/>
        <w:t>The higher 2016</w:t>
      </w:r>
      <w:r w:rsidRPr="003360B5">
        <w:rPr>
          <w:rFonts w:eastAsiaTheme="minorHAnsi"/>
        </w:rPr>
        <w:noBreakHyphen/>
        <w:t>17 target compared with the 2015</w:t>
      </w:r>
      <w:r w:rsidRPr="003360B5">
        <w:rPr>
          <w:rFonts w:eastAsiaTheme="minorHAnsi"/>
        </w:rPr>
        <w:noBreakHyphen/>
        <w:t xml:space="preserve">16 target primarily reflects increase in existing base funding, indexation and new funding announced as part of the </w:t>
      </w:r>
      <w:r w:rsidRPr="003360B5">
        <w:rPr>
          <w:rFonts w:eastAsiaTheme="minorHAnsi"/>
          <w:i w:val="0"/>
        </w:rPr>
        <w:t>2016</w:t>
      </w:r>
      <w:r w:rsidRPr="003360B5">
        <w:rPr>
          <w:rFonts w:eastAsiaTheme="minorHAnsi"/>
          <w:i w:val="0"/>
        </w:rPr>
        <w:noBreakHyphen/>
        <w:t>17 Budget</w:t>
      </w:r>
      <w:r w:rsidRPr="003360B5">
        <w:rPr>
          <w:rFonts w:eastAsiaTheme="minorHAnsi"/>
        </w:rPr>
        <w:t>.</w:t>
      </w:r>
    </w:p>
    <w:p w:rsidR="00E25CC6" w:rsidRDefault="00E25CC6">
      <w:pPr>
        <w:spacing w:after="0"/>
        <w:rPr>
          <w:rFonts w:ascii="Calibri" w:eastAsiaTheme="minorHAnsi" w:hAnsi="Calibri"/>
          <w:b/>
          <w:kern w:val="28"/>
          <w:sz w:val="26"/>
          <w:szCs w:val="22"/>
        </w:rPr>
      </w:pPr>
    </w:p>
    <w:p w:rsidR="00E25CC6" w:rsidRPr="003360B5" w:rsidRDefault="00E25CC6" w:rsidP="005D10B6">
      <w:pPr>
        <w:pStyle w:val="Heading2"/>
        <w:rPr>
          <w:rFonts w:eastAsiaTheme="minorHAnsi"/>
        </w:rPr>
      </w:pPr>
      <w:r w:rsidRPr="003360B5">
        <w:rPr>
          <w:rFonts w:eastAsiaTheme="minorHAnsi"/>
        </w:rPr>
        <w:t>Amounts available</w:t>
      </w:r>
    </w:p>
    <w:p w:rsidR="00E25CC6" w:rsidRPr="003360B5" w:rsidRDefault="00E25CC6" w:rsidP="00492EC1">
      <w:pPr>
        <w:rPr>
          <w:rFonts w:eastAsiaTheme="minorHAnsi"/>
        </w:rPr>
      </w:pPr>
      <w:r w:rsidRPr="003360B5">
        <w:rPr>
          <w:rFonts w:eastAsiaTheme="minorHAnsi"/>
        </w:rPr>
        <w:t>The following tables detail the amounts available to the Department from Parliamentary authority and income generated through transactions.</w:t>
      </w:r>
    </w:p>
    <w:p w:rsidR="00E25CC6" w:rsidRDefault="00E25CC6" w:rsidP="00E16970">
      <w:pPr>
        <w:rPr>
          <w:rFonts w:eastAsiaTheme="minorHAnsi"/>
        </w:rPr>
      </w:pPr>
      <w:r w:rsidRPr="003360B5">
        <w:rPr>
          <w:rFonts w:eastAsiaTheme="minorHAnsi"/>
        </w:rPr>
        <w:t>Table 2.6 outlines the Department</w:t>
      </w:r>
      <w:r>
        <w:rPr>
          <w:rFonts w:eastAsiaTheme="minorHAnsi"/>
        </w:rPr>
        <w:t>’</w:t>
      </w:r>
      <w:r w:rsidRPr="003360B5">
        <w:rPr>
          <w:rFonts w:eastAsiaTheme="minorHAnsi"/>
        </w:rPr>
        <w:t>s income from transactions and Table 2.7 summarises the sources of Parliamentary authority available to the Department to fund the provision of outputs, additions to the net asset base and payments made on behalf of the State.</w:t>
      </w:r>
    </w:p>
    <w:p w:rsidR="00E25CC6" w:rsidRPr="00E16970" w:rsidRDefault="00E25CC6" w:rsidP="005E60BC">
      <w:pPr>
        <w:pStyle w:val="Source"/>
        <w:rPr>
          <w:rFonts w:eastAsiaTheme="minorHAnsi"/>
        </w:rPr>
      </w:pPr>
    </w:p>
    <w:p w:rsidR="00E25CC6" w:rsidRPr="003360B5" w:rsidRDefault="00E25CC6" w:rsidP="005D10B6">
      <w:pPr>
        <w:pStyle w:val="Tableheading"/>
        <w:rPr>
          <w:rFonts w:eastAsiaTheme="minorHAnsi"/>
        </w:rPr>
      </w:pPr>
      <w:r w:rsidRPr="003360B5">
        <w:rPr>
          <w:rFonts w:eastAsiaTheme="minorHAnsi"/>
        </w:rPr>
        <w:t>Table 2.6:</w:t>
      </w:r>
      <w:r w:rsidRPr="003360B5">
        <w:rPr>
          <w:rFonts w:eastAsiaTheme="minorHAnsi"/>
        </w:rPr>
        <w:tab/>
        <w:t>Income from transactions</w:t>
      </w:r>
    </w:p>
    <w:p w:rsidR="00E25CC6" w:rsidRPr="000F20A9" w:rsidRDefault="00E25CC6" w:rsidP="000F20A9">
      <w:pPr>
        <w:pStyle w:val="million"/>
        <w:rPr>
          <w:rFonts w:eastAsiaTheme="minorHAnsi"/>
        </w:rPr>
      </w:pPr>
      <w:r w:rsidRPr="003360B5">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0F20A9" w:rsidTr="000F20A9">
        <w:tc>
          <w:tcPr>
            <w:tcW w:w="4365" w:type="dxa"/>
            <w:tcBorders>
              <w:top w:val="nil"/>
              <w:left w:val="nil"/>
              <w:bottom w:val="nil"/>
              <w:right w:val="nil"/>
            </w:tcBorders>
            <w:shd w:val="solid" w:color="000000" w:fill="auto"/>
          </w:tcPr>
          <w:p w:rsidR="00E25CC6" w:rsidRPr="000F20A9" w:rsidRDefault="00E25CC6" w:rsidP="000F20A9">
            <w:pPr>
              <w:autoSpaceDE w:val="0"/>
              <w:autoSpaceDN w:val="0"/>
              <w:adjustRightInd w:val="0"/>
              <w:spacing w:after="0"/>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2016-17</w:t>
            </w:r>
          </w:p>
        </w:tc>
      </w:tr>
      <w:tr w:rsidR="00E25CC6" w:rsidRPr="000F20A9" w:rsidTr="000F20A9">
        <w:tc>
          <w:tcPr>
            <w:tcW w:w="4365" w:type="dxa"/>
            <w:tcBorders>
              <w:top w:val="nil"/>
              <w:left w:val="nil"/>
              <w:right w:val="nil"/>
            </w:tcBorders>
            <w:shd w:val="solid" w:color="000000" w:fill="auto"/>
          </w:tcPr>
          <w:p w:rsidR="00E25CC6" w:rsidRPr="000F20A9" w:rsidRDefault="00E25CC6" w:rsidP="000F20A9">
            <w:pPr>
              <w:autoSpaceDE w:val="0"/>
              <w:autoSpaceDN w:val="0"/>
              <w:adjustRightInd w:val="0"/>
              <w:spacing w:after="0"/>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color w:val="FFFFFF"/>
                <w:sz w:val="19"/>
                <w:szCs w:val="19"/>
                <w:lang w:eastAsia="en-AU"/>
              </w:rPr>
            </w:pPr>
            <w:r w:rsidRPr="000F20A9">
              <w:rPr>
                <w:rFonts w:ascii="Calibri" w:eastAsiaTheme="minorEastAsia" w:hAnsi="Calibri" w:cs="Calibri"/>
                <w:i/>
                <w:iCs/>
                <w:color w:val="FFFFFF"/>
                <w:sz w:val="19"/>
                <w:szCs w:val="19"/>
                <w:lang w:eastAsia="en-AU"/>
              </w:rPr>
              <w:t>budget</w:t>
            </w:r>
          </w:p>
        </w:tc>
      </w:tr>
      <w:tr w:rsidR="00E25CC6" w:rsidRPr="000F20A9" w:rsidTr="000F20A9">
        <w:tc>
          <w:tcPr>
            <w:tcW w:w="4365" w:type="dxa"/>
            <w:tcBorders>
              <w:top w:val="nil"/>
              <w:left w:val="nil"/>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10 683.3</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11 407.8</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11 563.4</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12 149.1</w:t>
            </w:r>
          </w:p>
        </w:tc>
      </w:tr>
      <w:tr w:rsidR="00E25CC6" w:rsidRPr="000F20A9" w:rsidTr="000F20A9">
        <w:tc>
          <w:tcPr>
            <w:tcW w:w="4365" w:type="dxa"/>
            <w:tcBorders>
              <w:top w:val="nil"/>
              <w:left w:val="nil"/>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0.2</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13.0</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22.0</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12.0</w:t>
            </w:r>
          </w:p>
        </w:tc>
      </w:tr>
      <w:tr w:rsidR="00E25CC6" w:rsidRPr="000F20A9" w:rsidTr="000F20A9">
        <w:tc>
          <w:tcPr>
            <w:tcW w:w="4365" w:type="dxa"/>
            <w:tcBorders>
              <w:top w:val="nil"/>
              <w:left w:val="nil"/>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Interest</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29.4</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29.1</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29.1</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30.1</w:t>
            </w:r>
          </w:p>
        </w:tc>
      </w:tr>
      <w:tr w:rsidR="00E25CC6" w:rsidRPr="000F20A9" w:rsidTr="000F20A9">
        <w:tc>
          <w:tcPr>
            <w:tcW w:w="4365" w:type="dxa"/>
            <w:tcBorders>
              <w:top w:val="nil"/>
              <w:left w:val="nil"/>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684.4</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764.5</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764.5</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774.4</w:t>
            </w:r>
          </w:p>
        </w:tc>
      </w:tr>
      <w:tr w:rsidR="00E25CC6" w:rsidRPr="000F20A9" w:rsidTr="000F20A9">
        <w:tc>
          <w:tcPr>
            <w:tcW w:w="4365" w:type="dxa"/>
            <w:tcBorders>
              <w:top w:val="nil"/>
              <w:left w:val="nil"/>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Grants</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43.0</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8.4</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8.4</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6.1</w:t>
            </w:r>
          </w:p>
        </w:tc>
      </w:tr>
      <w:tr w:rsidR="00E25CC6" w:rsidRPr="000F20A9" w:rsidTr="000F20A9">
        <w:tc>
          <w:tcPr>
            <w:tcW w:w="4365" w:type="dxa"/>
            <w:tcBorders>
              <w:top w:val="nil"/>
              <w:left w:val="nil"/>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Fair value of assets and services received free of charge or for nominal consideration</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w:t>
            </w:r>
          </w:p>
        </w:tc>
      </w:tr>
      <w:tr w:rsidR="00E25CC6" w:rsidRPr="000F20A9" w:rsidTr="000F20A9">
        <w:tc>
          <w:tcPr>
            <w:tcW w:w="4365" w:type="dxa"/>
            <w:tcBorders>
              <w:top w:val="nil"/>
              <w:left w:val="nil"/>
              <w:bottom w:val="single" w:sz="6" w:space="0" w:color="auto"/>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Other income</w:t>
            </w:r>
          </w:p>
        </w:tc>
        <w:tc>
          <w:tcPr>
            <w:tcW w:w="850" w:type="dxa"/>
            <w:tcBorders>
              <w:top w:val="nil"/>
              <w:left w:val="nil"/>
              <w:bottom w:val="single" w:sz="6"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560.7</w:t>
            </w:r>
          </w:p>
        </w:tc>
        <w:tc>
          <w:tcPr>
            <w:tcW w:w="850" w:type="dxa"/>
            <w:tcBorders>
              <w:top w:val="nil"/>
              <w:left w:val="nil"/>
              <w:bottom w:val="single" w:sz="6"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593.5</w:t>
            </w:r>
          </w:p>
        </w:tc>
        <w:tc>
          <w:tcPr>
            <w:tcW w:w="850" w:type="dxa"/>
            <w:tcBorders>
              <w:top w:val="nil"/>
              <w:left w:val="nil"/>
              <w:bottom w:val="single" w:sz="6"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593.5</w:t>
            </w:r>
          </w:p>
        </w:tc>
        <w:tc>
          <w:tcPr>
            <w:tcW w:w="850" w:type="dxa"/>
            <w:tcBorders>
              <w:top w:val="nil"/>
              <w:left w:val="nil"/>
              <w:bottom w:val="single" w:sz="6"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color w:val="000000"/>
                <w:sz w:val="19"/>
                <w:szCs w:val="19"/>
                <w:lang w:eastAsia="en-AU"/>
              </w:rPr>
            </w:pPr>
            <w:r w:rsidRPr="000F20A9">
              <w:rPr>
                <w:rFonts w:ascii="Calibri" w:eastAsiaTheme="minorEastAsia" w:hAnsi="Calibri" w:cs="Calibri"/>
                <w:color w:val="000000"/>
                <w:sz w:val="19"/>
                <w:szCs w:val="19"/>
                <w:lang w:eastAsia="en-AU"/>
              </w:rPr>
              <w:t xml:space="preserve"> 606.8</w:t>
            </w:r>
          </w:p>
        </w:tc>
      </w:tr>
      <w:tr w:rsidR="00E25CC6" w:rsidRPr="000F20A9" w:rsidTr="000F20A9">
        <w:tc>
          <w:tcPr>
            <w:tcW w:w="4365" w:type="dxa"/>
            <w:tcBorders>
              <w:top w:val="single" w:sz="6" w:space="0" w:color="auto"/>
              <w:left w:val="nil"/>
              <w:bottom w:val="single" w:sz="12" w:space="0" w:color="auto"/>
              <w:right w:val="nil"/>
            </w:tcBorders>
            <w:shd w:val="clear" w:color="auto"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0F20A9">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b/>
                <w:bCs/>
                <w:color w:val="000000"/>
                <w:sz w:val="19"/>
                <w:szCs w:val="19"/>
                <w:lang w:eastAsia="en-AU"/>
              </w:rPr>
            </w:pPr>
            <w:r w:rsidRPr="000F20A9">
              <w:rPr>
                <w:rFonts w:ascii="Calibri" w:eastAsiaTheme="minorEastAsia" w:hAnsi="Calibri" w:cs="Calibri"/>
                <w:b/>
                <w:bCs/>
                <w:color w:val="000000"/>
                <w:sz w:val="19"/>
                <w:szCs w:val="19"/>
                <w:lang w:eastAsia="en-AU"/>
              </w:rPr>
              <w:t>12 001.0</w:t>
            </w:r>
          </w:p>
        </w:tc>
        <w:tc>
          <w:tcPr>
            <w:tcW w:w="850" w:type="dxa"/>
            <w:tcBorders>
              <w:top w:val="single" w:sz="6" w:space="0" w:color="auto"/>
              <w:left w:val="nil"/>
              <w:bottom w:val="single" w:sz="12"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b/>
                <w:bCs/>
                <w:color w:val="000000"/>
                <w:sz w:val="19"/>
                <w:szCs w:val="19"/>
                <w:lang w:eastAsia="en-AU"/>
              </w:rPr>
            </w:pPr>
            <w:r w:rsidRPr="000F20A9">
              <w:rPr>
                <w:rFonts w:ascii="Calibri" w:eastAsiaTheme="minorEastAsia" w:hAnsi="Calibri" w:cs="Calibri"/>
                <w:b/>
                <w:bCs/>
                <w:color w:val="000000"/>
                <w:sz w:val="19"/>
                <w:szCs w:val="19"/>
                <w:lang w:eastAsia="en-AU"/>
              </w:rPr>
              <w:t>12 816.2</w:t>
            </w:r>
          </w:p>
        </w:tc>
        <w:tc>
          <w:tcPr>
            <w:tcW w:w="850" w:type="dxa"/>
            <w:tcBorders>
              <w:top w:val="single" w:sz="6" w:space="0" w:color="auto"/>
              <w:left w:val="nil"/>
              <w:bottom w:val="single" w:sz="12"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b/>
                <w:bCs/>
                <w:color w:val="000000"/>
                <w:sz w:val="19"/>
                <w:szCs w:val="19"/>
                <w:lang w:eastAsia="en-AU"/>
              </w:rPr>
            </w:pPr>
            <w:r w:rsidRPr="000F20A9">
              <w:rPr>
                <w:rFonts w:ascii="Calibri" w:eastAsiaTheme="minorEastAsia" w:hAnsi="Calibri" w:cs="Calibri"/>
                <w:b/>
                <w:bCs/>
                <w:color w:val="000000"/>
                <w:sz w:val="19"/>
                <w:szCs w:val="19"/>
                <w:lang w:eastAsia="en-AU"/>
              </w:rPr>
              <w:t>12 980.9</w:t>
            </w:r>
          </w:p>
        </w:tc>
        <w:tc>
          <w:tcPr>
            <w:tcW w:w="850" w:type="dxa"/>
            <w:tcBorders>
              <w:top w:val="single" w:sz="6" w:space="0" w:color="auto"/>
              <w:left w:val="nil"/>
              <w:bottom w:val="single" w:sz="12" w:space="0" w:color="auto"/>
              <w:right w:val="nil"/>
            </w:tcBorders>
            <w:shd w:val="clear" w:color="auto" w:fill="FFFFFF"/>
          </w:tcPr>
          <w:p w:rsidR="00E25CC6" w:rsidRPr="000F20A9" w:rsidRDefault="00E25CC6" w:rsidP="000F20A9">
            <w:pPr>
              <w:autoSpaceDE w:val="0"/>
              <w:autoSpaceDN w:val="0"/>
              <w:adjustRightInd w:val="0"/>
              <w:spacing w:after="0"/>
              <w:jc w:val="right"/>
              <w:rPr>
                <w:rFonts w:ascii="Calibri" w:eastAsiaTheme="minorEastAsia" w:hAnsi="Calibri" w:cs="Calibri"/>
                <w:b/>
                <w:bCs/>
                <w:color w:val="000000"/>
                <w:sz w:val="19"/>
                <w:szCs w:val="19"/>
                <w:lang w:eastAsia="en-AU"/>
              </w:rPr>
            </w:pPr>
            <w:r w:rsidRPr="000F20A9">
              <w:rPr>
                <w:rFonts w:ascii="Calibri" w:eastAsiaTheme="minorEastAsia" w:hAnsi="Calibri" w:cs="Calibri"/>
                <w:b/>
                <w:bCs/>
                <w:color w:val="000000"/>
                <w:sz w:val="19"/>
                <w:szCs w:val="19"/>
                <w:lang w:eastAsia="en-AU"/>
              </w:rPr>
              <w:t>13 578.5</w:t>
            </w:r>
          </w:p>
        </w:tc>
      </w:tr>
    </w:tbl>
    <w:p w:rsidR="00E25CC6" w:rsidRPr="00474FFA" w:rsidRDefault="00E25CC6" w:rsidP="00474FFA">
      <w:pPr>
        <w:pStyle w:val="Source"/>
        <w:rPr>
          <w:rFonts w:eastAsiaTheme="minorHAnsi"/>
        </w:rPr>
      </w:pPr>
      <w:r w:rsidRPr="00474FFA">
        <w:rPr>
          <w:rStyle w:val="SourceChar"/>
          <w:rFonts w:eastAsiaTheme="minorHAnsi"/>
          <w:i/>
        </w:rPr>
        <w:t>Source: Department of Education and Training</w:t>
      </w:r>
      <w:r w:rsidRPr="00474FFA">
        <w:rPr>
          <w:rFonts w:eastAsiaTheme="minorHAnsi"/>
          <w:i w:val="0"/>
        </w:rPr>
        <w:t xml:space="preserve"> </w:t>
      </w:r>
      <w:r w:rsidRPr="003360B5">
        <w:rPr>
          <w:rFonts w:eastAsiaTheme="minorHAnsi"/>
        </w:rPr>
        <w:fldChar w:fldCharType="begin"/>
      </w:r>
      <w:r w:rsidRPr="003360B5">
        <w:instrText xml:space="preserve"> XE "Department of Education and Training:Income from transactions" </w:instrText>
      </w:r>
      <w:r w:rsidRPr="003360B5">
        <w:rPr>
          <w:rFonts w:eastAsiaTheme="minorHAnsi"/>
        </w:rPr>
        <w:fldChar w:fldCharType="end"/>
      </w:r>
    </w:p>
    <w:p w:rsidR="00E25CC6" w:rsidRDefault="00E25CC6" w:rsidP="005D10B6">
      <w:pPr>
        <w:pStyle w:val="Tableheading"/>
        <w:rPr>
          <w:rFonts w:eastAsiaTheme="minorHAnsi"/>
        </w:rPr>
      </w:pPr>
    </w:p>
    <w:p w:rsidR="00E25CC6" w:rsidRPr="003360B5" w:rsidRDefault="00E25CC6" w:rsidP="005D10B6">
      <w:pPr>
        <w:pStyle w:val="Tableheading"/>
        <w:rPr>
          <w:rFonts w:eastAsiaTheme="minorHAnsi"/>
        </w:rPr>
      </w:pPr>
      <w:r w:rsidRPr="003360B5">
        <w:rPr>
          <w:rFonts w:eastAsiaTheme="minorHAnsi"/>
        </w:rPr>
        <w:t>Table 2.7:</w:t>
      </w:r>
      <w:r w:rsidRPr="003360B5">
        <w:rPr>
          <w:rFonts w:eastAsiaTheme="minorHAnsi"/>
        </w:rPr>
        <w:tab/>
        <w:t>Parliamentary authority for resources</w:t>
      </w:r>
    </w:p>
    <w:p w:rsidR="00E25CC6" w:rsidRPr="000F20A9" w:rsidRDefault="00E25CC6" w:rsidP="000F20A9">
      <w:pPr>
        <w:pStyle w:val="million"/>
        <w:rPr>
          <w:rFonts w:ascii="Times New Roman" w:hAnsi="Times New Roman"/>
          <w:sz w:val="20"/>
          <w:lang w:eastAsia="en-AU"/>
        </w:rPr>
      </w:pPr>
      <w:r w:rsidRPr="003360B5">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0F20A9" w:rsidTr="000F20A9">
        <w:tc>
          <w:tcPr>
            <w:tcW w:w="5216" w:type="dxa"/>
            <w:tcBorders>
              <w:left w:val="nil"/>
              <w:bottom w:val="nil"/>
              <w:right w:val="nil"/>
            </w:tcBorders>
            <w:shd w:val="solid" w:color="000000" w:fill="auto"/>
          </w:tcPr>
          <w:p w:rsidR="00E25CC6" w:rsidRPr="000F20A9" w:rsidRDefault="00E25CC6" w:rsidP="000F20A9">
            <w:pPr>
              <w:autoSpaceDE w:val="0"/>
              <w:autoSpaceDN w:val="0"/>
              <w:adjustRightInd w:val="0"/>
              <w:spacing w:after="0"/>
              <w:rPr>
                <w:rFonts w:ascii="Calibri" w:eastAsiaTheme="minorEastAsia" w:hAnsi="Calibri" w:cs="Calibri"/>
                <w:sz w:val="19"/>
                <w:lang w:eastAsia="en-AU"/>
              </w:rPr>
            </w:pPr>
            <w:r w:rsidRPr="000F20A9">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sz w:val="19"/>
                <w:lang w:eastAsia="en-AU"/>
              </w:rPr>
            </w:pPr>
            <w:r w:rsidRPr="000F20A9">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sz w:val="19"/>
                <w:lang w:eastAsia="en-AU"/>
              </w:rPr>
            </w:pPr>
            <w:r w:rsidRPr="000F20A9">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sz w:val="19"/>
                <w:lang w:eastAsia="en-AU"/>
              </w:rPr>
            </w:pPr>
            <w:r w:rsidRPr="000F20A9">
              <w:rPr>
                <w:rFonts w:ascii="Calibri" w:eastAsiaTheme="minorEastAsia" w:hAnsi="Calibri" w:cs="Calibri"/>
                <w:i/>
                <w:iCs/>
                <w:sz w:val="19"/>
                <w:lang w:eastAsia="en-AU"/>
              </w:rPr>
              <w:t>2016-17</w:t>
            </w:r>
          </w:p>
        </w:tc>
      </w:tr>
      <w:tr w:rsidR="00E25CC6" w:rsidRPr="000F20A9" w:rsidTr="000F20A9">
        <w:tc>
          <w:tcPr>
            <w:tcW w:w="5216" w:type="dxa"/>
            <w:tcBorders>
              <w:top w:val="nil"/>
              <w:left w:val="nil"/>
              <w:bottom w:val="single" w:sz="6" w:space="0" w:color="auto"/>
              <w:right w:val="nil"/>
            </w:tcBorders>
            <w:shd w:val="solid" w:color="000000" w:fill="auto"/>
          </w:tcPr>
          <w:p w:rsidR="00E25CC6" w:rsidRPr="000F20A9" w:rsidRDefault="00E25CC6" w:rsidP="000F20A9">
            <w:pPr>
              <w:autoSpaceDE w:val="0"/>
              <w:autoSpaceDN w:val="0"/>
              <w:adjustRightInd w:val="0"/>
              <w:spacing w:after="0"/>
              <w:rPr>
                <w:rFonts w:ascii="Calibri" w:eastAsiaTheme="minorEastAsia" w:hAnsi="Calibri" w:cs="Calibri"/>
                <w:sz w:val="19"/>
                <w:lang w:eastAsia="en-AU"/>
              </w:rPr>
            </w:pPr>
            <w:r w:rsidRPr="000F20A9">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sz w:val="19"/>
                <w:lang w:eastAsia="en-AU"/>
              </w:rPr>
            </w:pPr>
            <w:r w:rsidRPr="000F20A9">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sz w:val="19"/>
                <w:lang w:eastAsia="en-AU"/>
              </w:rPr>
            </w:pPr>
            <w:r w:rsidRPr="000F20A9">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0F20A9" w:rsidRDefault="00E25CC6" w:rsidP="000F20A9">
            <w:pPr>
              <w:autoSpaceDE w:val="0"/>
              <w:autoSpaceDN w:val="0"/>
              <w:adjustRightInd w:val="0"/>
              <w:spacing w:after="0"/>
              <w:jc w:val="right"/>
              <w:rPr>
                <w:rFonts w:ascii="Calibri" w:eastAsiaTheme="minorEastAsia" w:hAnsi="Calibri" w:cs="Calibri"/>
                <w:i/>
                <w:iCs/>
                <w:sz w:val="19"/>
                <w:lang w:eastAsia="en-AU"/>
              </w:rPr>
            </w:pPr>
            <w:r w:rsidRPr="000F20A9">
              <w:rPr>
                <w:rFonts w:ascii="Calibri" w:eastAsiaTheme="minorEastAsia" w:hAnsi="Calibri" w:cs="Calibri"/>
                <w:i/>
                <w:iCs/>
                <w:sz w:val="19"/>
                <w:lang w:eastAsia="en-AU"/>
              </w:rPr>
              <w:t>budget</w:t>
            </w:r>
          </w:p>
        </w:tc>
      </w:tr>
      <w:tr w:rsidR="00E25CC6" w:rsidRPr="000F20A9" w:rsidTr="000F20A9">
        <w:tc>
          <w:tcPr>
            <w:tcW w:w="5216"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b/>
                <w:bCs/>
                <w:sz w:val="19"/>
                <w:lang w:eastAsia="en-AU"/>
              </w:rPr>
            </w:pPr>
            <w:r w:rsidRPr="000F20A9">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10 840.3</w:t>
            </w:r>
          </w:p>
        </w:tc>
        <w:tc>
          <w:tcPr>
            <w:tcW w:w="850"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10 751.2</w:t>
            </w:r>
          </w:p>
        </w:tc>
        <w:tc>
          <w:tcPr>
            <w:tcW w:w="850"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11 666.0</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10 840.3</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10 751.2</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11 456.6</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209.3</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507.7</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552.8</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525.5</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b/>
                <w:bCs/>
                <w:sz w:val="19"/>
                <w:lang w:eastAsia="en-AU"/>
              </w:rPr>
            </w:pPr>
            <w:r w:rsidRPr="000F20A9">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117.0</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325.1</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200.0</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117.0</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325.1</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200.0</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r>
      <w:tr w:rsidR="00E25CC6" w:rsidRPr="000F20A9" w:rsidTr="000F20A9">
        <w:tc>
          <w:tcPr>
            <w:tcW w:w="5216"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c>
          <w:tcPr>
            <w:tcW w:w="850"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37.7</w:t>
            </w:r>
          </w:p>
        </w:tc>
        <w:tc>
          <w:tcPr>
            <w:tcW w:w="850"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w:t>
            </w:r>
          </w:p>
        </w:tc>
      </w:tr>
      <w:tr w:rsidR="00E25CC6" w:rsidRPr="000F20A9" w:rsidTr="000F20A9">
        <w:tc>
          <w:tcPr>
            <w:tcW w:w="5216"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b/>
                <w:bCs/>
                <w:sz w:val="19"/>
                <w:lang w:eastAsia="en-AU"/>
              </w:rPr>
            </w:pPr>
            <w:r w:rsidRPr="000F20A9">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11 465.0</w:t>
            </w:r>
          </w:p>
        </w:tc>
        <w:tc>
          <w:tcPr>
            <w:tcW w:w="850"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11 666.8</w:t>
            </w:r>
          </w:p>
        </w:tc>
        <w:tc>
          <w:tcPr>
            <w:tcW w:w="850" w:type="dxa"/>
            <w:tcBorders>
              <w:top w:val="single" w:sz="6" w:space="0" w:color="auto"/>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12 391.5</w:t>
            </w:r>
          </w:p>
        </w:tc>
      </w:tr>
      <w:tr w:rsidR="00E25CC6" w:rsidRPr="000F20A9" w:rsidTr="000F20A9">
        <w:tc>
          <w:tcPr>
            <w:tcW w:w="5216" w:type="dxa"/>
            <w:tcBorders>
              <w:top w:val="nil"/>
              <w:left w:val="nil"/>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13.0</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22.0</w:t>
            </w:r>
          </w:p>
        </w:tc>
        <w:tc>
          <w:tcPr>
            <w:tcW w:w="850" w:type="dxa"/>
            <w:tcBorders>
              <w:top w:val="nil"/>
              <w:left w:val="nil"/>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20"/>
                <w:lang w:eastAsia="en-AU"/>
              </w:rPr>
            </w:pPr>
            <w:r w:rsidRPr="000F20A9">
              <w:rPr>
                <w:rFonts w:ascii="Calibri" w:eastAsiaTheme="minorEastAsia" w:hAnsi="Calibri" w:cs="Calibri"/>
                <w:sz w:val="19"/>
                <w:lang w:eastAsia="en-AU"/>
              </w:rPr>
              <w:t xml:space="preserve"> 12.0</w:t>
            </w:r>
          </w:p>
        </w:tc>
      </w:tr>
      <w:tr w:rsidR="00E25CC6" w:rsidRPr="000F20A9" w:rsidTr="000F20A9">
        <w:tc>
          <w:tcPr>
            <w:tcW w:w="5216"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sz w:val="19"/>
                <w:lang w:eastAsia="en-AU"/>
              </w:rPr>
            </w:pPr>
            <w:r w:rsidRPr="000F20A9">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2 928.0</w:t>
            </w:r>
          </w:p>
        </w:tc>
        <w:tc>
          <w:tcPr>
            <w:tcW w:w="850"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2 903.5</w:t>
            </w:r>
          </w:p>
        </w:tc>
        <w:tc>
          <w:tcPr>
            <w:tcW w:w="850" w:type="dxa"/>
            <w:tcBorders>
              <w:top w:val="nil"/>
              <w:left w:val="nil"/>
              <w:bottom w:val="single" w:sz="6"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sz w:val="19"/>
                <w:lang w:eastAsia="en-AU"/>
              </w:rPr>
            </w:pPr>
            <w:r w:rsidRPr="000F20A9">
              <w:rPr>
                <w:rFonts w:ascii="Calibri" w:eastAsiaTheme="minorEastAsia" w:hAnsi="Calibri" w:cs="Calibri"/>
                <w:sz w:val="19"/>
                <w:lang w:eastAsia="en-AU"/>
              </w:rPr>
              <w:t>3 116.1</w:t>
            </w:r>
          </w:p>
        </w:tc>
      </w:tr>
      <w:tr w:rsidR="00E25CC6" w:rsidRPr="000F20A9" w:rsidTr="000F20A9">
        <w:tc>
          <w:tcPr>
            <w:tcW w:w="5216" w:type="dxa"/>
            <w:tcBorders>
              <w:top w:val="single" w:sz="6" w:space="0" w:color="auto"/>
              <w:left w:val="nil"/>
              <w:bottom w:val="single" w:sz="12" w:space="0" w:color="auto"/>
              <w:right w:val="nil"/>
            </w:tcBorders>
            <w:shd w:val="solid" w:color="FFFFFF" w:fill="FFFFFF"/>
          </w:tcPr>
          <w:p w:rsidR="00E25CC6" w:rsidRPr="000F20A9" w:rsidRDefault="00E25CC6" w:rsidP="000F20A9">
            <w:pPr>
              <w:autoSpaceDE w:val="0"/>
              <w:autoSpaceDN w:val="0"/>
              <w:adjustRightInd w:val="0"/>
              <w:spacing w:after="0"/>
              <w:ind w:left="227" w:hanging="227"/>
              <w:rPr>
                <w:rFonts w:ascii="Calibri" w:eastAsiaTheme="minorEastAsia" w:hAnsi="Calibri" w:cs="Calibri"/>
                <w:b/>
                <w:bCs/>
                <w:sz w:val="19"/>
                <w:lang w:eastAsia="en-AU"/>
              </w:rPr>
            </w:pPr>
            <w:r w:rsidRPr="000F20A9">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14 406.0</w:t>
            </w:r>
          </w:p>
        </w:tc>
        <w:tc>
          <w:tcPr>
            <w:tcW w:w="850" w:type="dxa"/>
            <w:tcBorders>
              <w:top w:val="single" w:sz="6" w:space="0" w:color="auto"/>
              <w:left w:val="nil"/>
              <w:bottom w:val="single" w:sz="12"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14 592.2</w:t>
            </w:r>
          </w:p>
        </w:tc>
        <w:tc>
          <w:tcPr>
            <w:tcW w:w="850" w:type="dxa"/>
            <w:tcBorders>
              <w:top w:val="single" w:sz="6" w:space="0" w:color="auto"/>
              <w:left w:val="nil"/>
              <w:bottom w:val="single" w:sz="12" w:space="0" w:color="auto"/>
              <w:right w:val="nil"/>
            </w:tcBorders>
            <w:shd w:val="solid" w:color="FFFFFF" w:fill="FFFFFF"/>
          </w:tcPr>
          <w:p w:rsidR="00E25CC6" w:rsidRPr="000F20A9" w:rsidRDefault="00E25CC6" w:rsidP="000F20A9">
            <w:pPr>
              <w:autoSpaceDE w:val="0"/>
              <w:autoSpaceDN w:val="0"/>
              <w:adjustRightInd w:val="0"/>
              <w:spacing w:after="0"/>
              <w:jc w:val="right"/>
              <w:rPr>
                <w:rFonts w:ascii="Calibri" w:eastAsiaTheme="minorEastAsia" w:hAnsi="Calibri" w:cs="Calibri"/>
                <w:b/>
                <w:bCs/>
                <w:sz w:val="19"/>
                <w:lang w:eastAsia="en-AU"/>
              </w:rPr>
            </w:pPr>
            <w:r w:rsidRPr="000F20A9">
              <w:rPr>
                <w:rFonts w:ascii="Calibri" w:eastAsiaTheme="minorEastAsia" w:hAnsi="Calibri" w:cs="Calibri"/>
                <w:b/>
                <w:bCs/>
                <w:sz w:val="19"/>
                <w:lang w:eastAsia="en-AU"/>
              </w:rPr>
              <w:t>15 519.6</w:t>
            </w:r>
          </w:p>
        </w:tc>
      </w:tr>
    </w:tbl>
    <w:p w:rsidR="00E25CC6" w:rsidRPr="003360B5" w:rsidRDefault="00E25CC6" w:rsidP="00A368C0">
      <w:pPr>
        <w:pStyle w:val="Source"/>
        <w:rPr>
          <w:rFonts w:eastAsiaTheme="minorHAnsi"/>
          <w:i w:val="0"/>
        </w:rPr>
      </w:pPr>
      <w:r w:rsidRPr="00474FFA">
        <w:rPr>
          <w:rFonts w:eastAsiaTheme="minorHAnsi"/>
        </w:rPr>
        <w:t>Source: Department of Education and Training</w:t>
      </w:r>
      <w:r w:rsidRPr="003360B5">
        <w:rPr>
          <w:rFonts w:eastAsiaTheme="minorHAnsi"/>
        </w:rPr>
        <w:t xml:space="preserve"> </w:t>
      </w:r>
      <w:r w:rsidRPr="003360B5">
        <w:rPr>
          <w:rFonts w:eastAsiaTheme="minorHAnsi"/>
        </w:rPr>
        <w:fldChar w:fldCharType="begin"/>
      </w:r>
      <w:r w:rsidRPr="003360B5">
        <w:instrText xml:space="preserve"> XE "Department of Education and Training:Parliamentary authority for resources" </w:instrText>
      </w:r>
      <w:r w:rsidRPr="003360B5">
        <w:rPr>
          <w:rFonts w:eastAsiaTheme="minorHAnsi"/>
        </w:rPr>
        <w:fldChar w:fldCharType="end"/>
      </w:r>
    </w:p>
    <w:p w:rsidR="00E25CC6" w:rsidRPr="003360B5" w:rsidRDefault="00E25CC6" w:rsidP="00E729CB">
      <w:pPr>
        <w:pStyle w:val="Notes"/>
        <w:rPr>
          <w:rFonts w:eastAsiaTheme="minorHAnsi"/>
        </w:rPr>
      </w:pPr>
    </w:p>
    <w:p w:rsidR="00E25CC6" w:rsidRPr="003360B5" w:rsidRDefault="00E25CC6" w:rsidP="00562AB7">
      <w:pPr>
        <w:rPr>
          <w:rFonts w:eastAsiaTheme="minorHAnsi"/>
        </w:rPr>
      </w:pPr>
      <w:r w:rsidRPr="003360B5">
        <w:rPr>
          <w:rFonts w:eastAsiaTheme="minorHAnsi"/>
        </w:rPr>
        <w:t>The following section provides details of the outputs provided to government, including performance measures and costs for each output. There is reference to the calendar year for the delivery of services, and the 2016</w:t>
      </w:r>
      <w:r w:rsidRPr="003360B5">
        <w:rPr>
          <w:rFonts w:eastAsiaTheme="minorHAnsi"/>
        </w:rPr>
        <w:noBreakHyphen/>
        <w:t>17 targets refer to the 2016 calendar year. The 2015</w:t>
      </w:r>
      <w:r w:rsidRPr="003360B5">
        <w:rPr>
          <w:rFonts w:eastAsiaTheme="minorHAnsi"/>
        </w:rPr>
        <w:noBreakHyphen/>
        <w:t>16 expected outcomes and targets refer to the 2015 calendar year. The 2014</w:t>
      </w:r>
      <w:r w:rsidRPr="003360B5">
        <w:rPr>
          <w:rFonts w:eastAsiaTheme="minorHAnsi"/>
        </w:rPr>
        <w:noBreakHyphen/>
        <w:t>15 actuals refer to the 2014 calendar year.</w:t>
      </w:r>
    </w:p>
    <w:p w:rsidR="00E25CC6" w:rsidRPr="003360B5" w:rsidRDefault="00E25CC6" w:rsidP="00562AB7">
      <w:pPr>
        <w:rPr>
          <w:rFonts w:eastAsiaTheme="minorHAnsi"/>
        </w:rPr>
      </w:pPr>
      <w:r w:rsidRPr="003360B5">
        <w:rPr>
          <w:rFonts w:eastAsiaTheme="minorHAnsi"/>
        </w:rPr>
        <w:t>Final results are provided for the 2015</w:t>
      </w:r>
      <w:r w:rsidRPr="003360B5">
        <w:rPr>
          <w:rFonts w:eastAsiaTheme="minorHAnsi"/>
        </w:rPr>
        <w:noBreakHyphen/>
        <w:t>16 expected outcomes where available. The 2014</w:t>
      </w:r>
      <w:r w:rsidRPr="003360B5">
        <w:rPr>
          <w:rFonts w:eastAsiaTheme="minorHAnsi"/>
        </w:rPr>
        <w:noBreakHyphen/>
        <w:t>15 actuals reflect those published in the Department of Education and Training</w:t>
      </w:r>
      <w:r>
        <w:rPr>
          <w:rFonts w:eastAsiaTheme="minorHAnsi"/>
        </w:rPr>
        <w:t>’</w:t>
      </w:r>
      <w:r w:rsidRPr="003360B5">
        <w:rPr>
          <w:rFonts w:eastAsiaTheme="minorHAnsi"/>
        </w:rPr>
        <w:t xml:space="preserve">s </w:t>
      </w:r>
      <w:r w:rsidRPr="003360B5">
        <w:rPr>
          <w:rFonts w:eastAsiaTheme="minorHAnsi"/>
          <w:i/>
        </w:rPr>
        <w:t>2014</w:t>
      </w:r>
      <w:r w:rsidRPr="003360B5">
        <w:rPr>
          <w:rFonts w:eastAsiaTheme="minorHAnsi"/>
          <w:i/>
        </w:rPr>
        <w:noBreakHyphen/>
        <w:t>15 Annual Report</w:t>
      </w:r>
      <w:r w:rsidRPr="003360B5">
        <w:rPr>
          <w:rFonts w:eastAsiaTheme="minorHAnsi"/>
        </w:rPr>
        <w:t>. Explanations for significant variances from the 2014</w:t>
      </w:r>
      <w:r w:rsidRPr="003360B5">
        <w:rPr>
          <w:rFonts w:eastAsiaTheme="minorHAnsi"/>
        </w:rPr>
        <w:noBreakHyphen/>
        <w:t xml:space="preserve">15 targets can be found in that report. Total expenditure for the Department can be found in Budget Paper No. 5, Chapter 3 </w:t>
      </w:r>
      <w:r w:rsidRPr="003360B5">
        <w:rPr>
          <w:rFonts w:eastAsiaTheme="minorHAnsi"/>
          <w:i/>
        </w:rPr>
        <w:t>Departmental financial statements</w:t>
      </w:r>
      <w:r w:rsidRPr="003360B5">
        <w:rPr>
          <w:rFonts w:eastAsiaTheme="minorHAnsi"/>
        </w:rPr>
        <w:t>.</w:t>
      </w:r>
    </w:p>
    <w:p w:rsidR="00E25CC6" w:rsidRPr="003360B5" w:rsidRDefault="00E25CC6" w:rsidP="00BB3B7A">
      <w:pPr>
        <w:pStyle w:val="OGHeading1"/>
        <w:pageBreakBefore/>
        <w:rPr>
          <w:rFonts w:eastAsiaTheme="minorHAnsi"/>
        </w:rPr>
      </w:pPr>
      <w:r w:rsidRPr="003360B5">
        <w:rPr>
          <w:rFonts w:eastAsiaTheme="minorHAnsi"/>
        </w:rPr>
        <w:t>Strategy Review and Regulation</w:t>
      </w:r>
    </w:p>
    <w:p w:rsidR="00E25CC6" w:rsidRPr="003360B5" w:rsidRDefault="00E25CC6" w:rsidP="00562AB7">
      <w:pPr>
        <w:pStyle w:val="OGText"/>
        <w:rPr>
          <w:rFonts w:eastAsiaTheme="minorHAnsi"/>
        </w:rPr>
      </w:pPr>
      <w:bookmarkStart w:id="60" w:name="DET_StrategyReviewRegulation"/>
      <w:r w:rsidRPr="003360B5">
        <w:rPr>
          <w:rFonts w:eastAsiaTheme="minorHAnsi"/>
        </w:rPr>
        <w:t>This output group develops, plans and monitors strategic policy settings across all stages of learning. It also includes inter</w:t>
      </w:r>
      <w:r w:rsidRPr="003360B5">
        <w:rPr>
          <w:rFonts w:eastAsiaTheme="minorHAnsi"/>
        </w:rPr>
        <w:noBreakHyphen/>
        <w:t>governmental negotiations as well as research, data and performance evaluations. This output group also supports regulation that ensures quality education and training is delivered and contributes to all the Department</w:t>
      </w:r>
      <w:r>
        <w:rPr>
          <w:rFonts w:eastAsiaTheme="minorHAnsi"/>
        </w:rPr>
        <w:t>’</w:t>
      </w:r>
      <w:r w:rsidRPr="003360B5">
        <w:rPr>
          <w:rFonts w:eastAsiaTheme="minorHAnsi"/>
        </w:rPr>
        <w:t>s objectives of achievement, engagement, wellbeing and productivity.</w:t>
      </w:r>
    </w:p>
    <w:tbl>
      <w:tblPr>
        <w:tblW w:w="7767" w:type="dxa"/>
        <w:tblInd w:w="45" w:type="dxa"/>
        <w:tblLayout w:type="fixed"/>
        <w:tblCellMar>
          <w:left w:w="45" w:type="dxa"/>
          <w:right w:w="45" w:type="dxa"/>
        </w:tblCellMar>
        <w:tblLook w:val="0000" w:firstRow="0" w:lastRow="0" w:firstColumn="0" w:lastColumn="0" w:noHBand="0" w:noVBand="0"/>
      </w:tblPr>
      <w:tblGrid>
        <w:gridCol w:w="3145"/>
        <w:gridCol w:w="907"/>
        <w:gridCol w:w="907"/>
        <w:gridCol w:w="993"/>
        <w:gridCol w:w="907"/>
        <w:gridCol w:w="908"/>
      </w:tblGrid>
      <w:tr w:rsidR="00E25CC6" w:rsidRPr="003360B5" w:rsidTr="00E447C6">
        <w:trPr>
          <w:cantSplit/>
          <w:tblHeader/>
        </w:trPr>
        <w:tc>
          <w:tcPr>
            <w:tcW w:w="3145" w:type="dxa"/>
            <w:tcBorders>
              <w:top w:val="nil"/>
              <w:left w:val="nil"/>
              <w:bottom w:val="single" w:sz="4" w:space="0" w:color="auto"/>
              <w:right w:val="nil"/>
            </w:tcBorders>
            <w:shd w:val="solid" w:color="000000" w:fill="auto"/>
            <w:vAlign w:val="bottom"/>
          </w:tcPr>
          <w:p w:rsidR="00E25CC6" w:rsidRPr="003360B5" w:rsidRDefault="00E25CC6" w:rsidP="00E447C6">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b/>
                <w:bCs/>
                <w:sz w:val="19"/>
                <w:szCs w:val="22"/>
                <w:lang w:eastAsia="en-AU"/>
              </w:rPr>
              <w:t>Major outputs/deliverables</w:t>
            </w:r>
          </w:p>
          <w:p w:rsidR="00E25CC6" w:rsidRPr="003360B5" w:rsidRDefault="00E25CC6" w:rsidP="00E447C6">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3360B5" w:rsidRDefault="00E25CC6" w:rsidP="00E447C6">
            <w:pPr>
              <w:autoSpaceDE w:val="0"/>
              <w:autoSpaceDN w:val="0"/>
              <w:adjustRightInd w:val="0"/>
              <w:spacing w:after="0"/>
              <w:jc w:val="center"/>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360B5" w:rsidRDefault="00E25CC6" w:rsidP="00E447C6">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2016</w:t>
            </w:r>
            <w:r w:rsidRPr="003360B5">
              <w:rPr>
                <w:rFonts w:ascii="Calibri" w:eastAsiaTheme="minorEastAsia" w:hAnsi="Calibri" w:cs="Calibri"/>
                <w:i/>
                <w:iCs/>
                <w:sz w:val="19"/>
                <w:szCs w:val="22"/>
                <w:lang w:eastAsia="en-AU"/>
              </w:rPr>
              <w:noBreakHyphen/>
              <w:t>17 target</w:t>
            </w:r>
          </w:p>
        </w:tc>
        <w:tc>
          <w:tcPr>
            <w:tcW w:w="993" w:type="dxa"/>
            <w:tcBorders>
              <w:top w:val="nil"/>
              <w:left w:val="nil"/>
              <w:bottom w:val="single" w:sz="4" w:space="0" w:color="auto"/>
              <w:right w:val="nil"/>
            </w:tcBorders>
            <w:shd w:val="solid" w:color="000000" w:fill="auto"/>
            <w:vAlign w:val="bottom"/>
          </w:tcPr>
          <w:p w:rsidR="00E25CC6" w:rsidRPr="003360B5" w:rsidRDefault="00E25CC6" w:rsidP="00E447C6">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3360B5" w:rsidRDefault="00E25CC6" w:rsidP="00E447C6">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3360B5" w:rsidRDefault="00E25CC6" w:rsidP="00E447C6">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2014</w:t>
            </w:r>
            <w:r w:rsidRPr="003360B5">
              <w:rPr>
                <w:rFonts w:ascii="Calibri" w:eastAsiaTheme="minorEastAsia" w:hAnsi="Calibri" w:cs="Calibri"/>
                <w:i/>
                <w:iCs/>
                <w:sz w:val="19"/>
                <w:szCs w:val="22"/>
                <w:lang w:eastAsia="en-AU"/>
              </w:rPr>
              <w:noBreakHyphen/>
              <w:t>15 actual</w:t>
            </w:r>
          </w:p>
        </w:tc>
      </w:tr>
      <w:tr w:rsidR="00E25CC6" w:rsidRPr="003360B5" w:rsidTr="00E447C6">
        <w:trPr>
          <w:cantSplit/>
        </w:trPr>
        <w:tc>
          <w:tcPr>
            <w:tcW w:w="7767" w:type="dxa"/>
            <w:gridSpan w:val="6"/>
            <w:tcBorders>
              <w:top w:val="single" w:sz="4" w:space="0" w:color="auto"/>
              <w:left w:val="nil"/>
              <w:bottom w:val="nil"/>
              <w:right w:val="nil"/>
            </w:tcBorders>
          </w:tcPr>
          <w:p w:rsidR="00E25CC6" w:rsidRPr="003360B5" w:rsidRDefault="00E25CC6" w:rsidP="00E447C6">
            <w:pPr>
              <w:pStyle w:val="OGHeading2"/>
              <w:rPr>
                <w:rFonts w:eastAsiaTheme="minorEastAsia"/>
                <w:lang w:eastAsia="en-AU"/>
              </w:rPr>
            </w:pPr>
            <w:r w:rsidRPr="003360B5">
              <w:rPr>
                <w:rFonts w:eastAsiaTheme="minorEastAsia"/>
                <w:lang w:eastAsia="en-AU"/>
              </w:rPr>
              <w:t>Strategy Review and Regulation</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340032">
            <w:pPr>
              <w:pStyle w:val="OGText"/>
              <w:rPr>
                <w:rFonts w:eastAsiaTheme="minorEastAsia"/>
                <w:lang w:eastAsia="en-AU"/>
              </w:rPr>
            </w:pPr>
            <w:r w:rsidRPr="003360B5">
              <w:rPr>
                <w:rFonts w:eastAsiaTheme="minorEastAsia"/>
                <w:lang w:eastAsia="en-AU"/>
              </w:rPr>
              <w:t>This output provides department</w:t>
            </w:r>
            <w:r w:rsidRPr="003360B5">
              <w:rPr>
                <w:rFonts w:eastAsiaTheme="minorEastAsia"/>
                <w:lang w:eastAsia="en-AU"/>
              </w:rPr>
              <w:noBreakHyphen/>
              <w:t>wide policy, administrative and strategic advice as well as research and economic analysis, planning, monitoring, reporting and evaluations. It also covers administrative functions and the responsibilities of the Victorian Registration and Qualifications Authority.</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Quantity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Number of registered training organisation quality audits and school reviews undertaken annually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182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B06FBA">
        <w:trPr>
          <w:cantSplit/>
        </w:trPr>
        <w:tc>
          <w:tcPr>
            <w:tcW w:w="7767" w:type="dxa"/>
            <w:gridSpan w:val="6"/>
            <w:tcBorders>
              <w:top w:val="nil"/>
              <w:left w:val="nil"/>
              <w:bottom w:val="single" w:sz="6" w:space="0" w:color="auto"/>
              <w:right w:val="nil"/>
            </w:tcBorders>
          </w:tcPr>
          <w:p w:rsidR="00E25CC6" w:rsidRPr="003360B5" w:rsidRDefault="00E25CC6" w:rsidP="00562AB7">
            <w:pPr>
              <w:pStyle w:val="OGNotes"/>
              <w:rPr>
                <w:rFonts w:eastAsiaTheme="minorEastAsia"/>
              </w:rPr>
            </w:pPr>
            <w:r w:rsidRPr="003360B5">
              <w:rPr>
                <w:rFonts w:eastAsiaTheme="minorEastAsia"/>
              </w:rPr>
              <w:t>This performance measure relates to the calendar year. The lower 2016</w:t>
            </w:r>
            <w:r w:rsidRPr="003360B5">
              <w:rPr>
                <w:rFonts w:eastAsiaTheme="minorHAnsi"/>
              </w:rPr>
              <w:noBreakHyphen/>
            </w:r>
            <w:r w:rsidRPr="003360B5">
              <w:rPr>
                <w:rFonts w:eastAsiaTheme="minorEastAsia"/>
              </w:rPr>
              <w:t>17 target reflects a lower number of providers eligible for review by the Victorian Registration and Qualification Authority (VRQA) in 2016. Provider audit and review cycles are scheduled on the anniversary of a provider</w:t>
            </w:r>
            <w:r>
              <w:rPr>
                <w:rFonts w:eastAsiaTheme="minorEastAsia"/>
              </w:rPr>
              <w:t>’</w:t>
            </w:r>
            <w:r w:rsidRPr="003360B5">
              <w:rPr>
                <w:rFonts w:eastAsiaTheme="minorEastAsia"/>
              </w:rPr>
              <w:t>s registration and therefore vary from year to year. Also, the number of registered training organisations (RTO) registered by the VRQA has declined. The lower 2016</w:t>
            </w:r>
            <w:r w:rsidRPr="003360B5">
              <w:rPr>
                <w:rFonts w:eastAsiaTheme="minorHAnsi"/>
              </w:rPr>
              <w:noBreakHyphen/>
            </w:r>
            <w:r w:rsidRPr="003360B5">
              <w:rPr>
                <w:rFonts w:eastAsiaTheme="minorEastAsia"/>
              </w:rPr>
              <w:t xml:space="preserve">17 target reflects this. </w:t>
            </w:r>
          </w:p>
          <w:p w:rsidR="00E25CC6" w:rsidRPr="003360B5" w:rsidRDefault="00E25CC6" w:rsidP="005E60BC">
            <w:pPr>
              <w:pStyle w:val="OGNotes"/>
              <w:rPr>
                <w:rFonts w:eastAsiaTheme="minorEastAsia"/>
              </w:rPr>
            </w:pPr>
            <w:r w:rsidRPr="003360B5">
              <w:rPr>
                <w:rFonts w:eastAsiaTheme="minorEastAsia"/>
              </w:rPr>
              <w:t>The 2015</w:t>
            </w:r>
            <w:r w:rsidRPr="003360B5">
              <w:rPr>
                <w:rFonts w:eastAsiaTheme="minorHAnsi"/>
              </w:rPr>
              <w:noBreakHyphen/>
            </w:r>
            <w:r w:rsidRPr="003360B5">
              <w:rPr>
                <w:rFonts w:eastAsiaTheme="minorEastAsia"/>
              </w:rPr>
              <w:t>16 expected outcome is lower than 2015</w:t>
            </w:r>
            <w:r>
              <w:rPr>
                <w:rFonts w:eastAsiaTheme="minorEastAsia"/>
              </w:rPr>
              <w:noBreakHyphen/>
            </w:r>
            <w:r w:rsidRPr="003360B5">
              <w:rPr>
                <w:rFonts w:eastAsiaTheme="minorEastAsia"/>
              </w:rPr>
              <w:t>16 target as a result of cancellation of a number of scheduled audits/reviews because some RTOs did not seek to retain registration and several school reviews were fast</w:t>
            </w:r>
            <w:r>
              <w:rPr>
                <w:rFonts w:eastAsiaTheme="minorEastAsia"/>
              </w:rPr>
              <w:noBreakHyphen/>
            </w:r>
            <w:r w:rsidRPr="003360B5">
              <w:rPr>
                <w:rFonts w:eastAsiaTheme="minorEastAsia"/>
              </w:rPr>
              <w:t>tracked for opening in 2014.</w:t>
            </w:r>
          </w:p>
        </w:tc>
      </w:tr>
      <w:tr w:rsidR="00E25CC6" w:rsidRPr="003360B5" w:rsidTr="00B06FBA">
        <w:trPr>
          <w:cantSplit/>
        </w:trPr>
        <w:tc>
          <w:tcPr>
            <w:tcW w:w="3145" w:type="dxa"/>
            <w:tcBorders>
              <w:top w:val="nil"/>
              <w:left w:val="nil"/>
              <w:bottom w:val="nil"/>
              <w:right w:val="nil"/>
            </w:tcBorders>
          </w:tcPr>
          <w:p w:rsidR="00E25CC6" w:rsidRPr="003360B5" w:rsidRDefault="00E25CC6" w:rsidP="00562AB7">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360B5" w:rsidRDefault="00E25CC6" w:rsidP="00B06FBA">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B06FBA">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B06FBA">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B06FBA">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B06FBA">
            <w:pPr>
              <w:autoSpaceDE w:val="0"/>
              <w:autoSpaceDN w:val="0"/>
              <w:adjustRightInd w:val="0"/>
              <w:spacing w:after="0"/>
              <w:rPr>
                <w:rFonts w:ascii="Calibri" w:eastAsiaTheme="minorEastAsia" w:hAnsi="Calibri" w:cs="Calibri"/>
                <w:sz w:val="19"/>
                <w:szCs w:val="22"/>
                <w:lang w:eastAsia="en-AU"/>
              </w:rPr>
            </w:pPr>
          </w:p>
        </w:tc>
      </w:tr>
      <w:tr w:rsidR="00E25CC6" w:rsidRPr="003360B5" w:rsidTr="00B06FBA">
        <w:trPr>
          <w:cantSplit/>
        </w:trPr>
        <w:tc>
          <w:tcPr>
            <w:tcW w:w="3145" w:type="dxa"/>
            <w:tcBorders>
              <w:top w:val="nil"/>
              <w:left w:val="nil"/>
              <w:bottom w:val="nil"/>
              <w:right w:val="nil"/>
            </w:tcBorders>
          </w:tcPr>
          <w:p w:rsidR="00E25CC6" w:rsidRPr="003360B5" w:rsidRDefault="00E25CC6" w:rsidP="00562AB7">
            <w:pPr>
              <w:pStyle w:val="OGTabText"/>
            </w:pPr>
            <w:r w:rsidRPr="003360B5">
              <w:t>Education peak bodies that rate the Victorian Registration and Qualifications Authority (VRQA) effective or highly effective in performing its regulatory function</w:t>
            </w:r>
          </w:p>
        </w:tc>
        <w:tc>
          <w:tcPr>
            <w:tcW w:w="907" w:type="dxa"/>
            <w:tcBorders>
              <w:top w:val="nil"/>
              <w:left w:val="nil"/>
              <w:bottom w:val="nil"/>
              <w:right w:val="nil"/>
            </w:tcBorders>
          </w:tcPr>
          <w:p w:rsidR="00E25CC6" w:rsidRPr="003360B5" w:rsidRDefault="00E25CC6" w:rsidP="00562AB7">
            <w:pPr>
              <w:pStyle w:val="OGTabText"/>
            </w:pPr>
            <w:r w:rsidRPr="003360B5">
              <w:t>per cent</w:t>
            </w:r>
          </w:p>
        </w:tc>
        <w:tc>
          <w:tcPr>
            <w:tcW w:w="907" w:type="dxa"/>
            <w:tcBorders>
              <w:top w:val="nil"/>
              <w:left w:val="nil"/>
              <w:bottom w:val="nil"/>
              <w:right w:val="nil"/>
            </w:tcBorders>
            <w:shd w:val="clear" w:color="auto" w:fill="DCDCDC"/>
          </w:tcPr>
          <w:p w:rsidR="00E25CC6" w:rsidRPr="003360B5" w:rsidRDefault="00E25CC6" w:rsidP="00562AB7">
            <w:pPr>
              <w:pStyle w:val="OGTableofFigures"/>
            </w:pPr>
            <w:r w:rsidRPr="003360B5">
              <w:t>70</w:t>
            </w:r>
          </w:p>
        </w:tc>
        <w:tc>
          <w:tcPr>
            <w:tcW w:w="993" w:type="dxa"/>
            <w:tcBorders>
              <w:top w:val="nil"/>
              <w:left w:val="nil"/>
              <w:bottom w:val="nil"/>
              <w:right w:val="nil"/>
            </w:tcBorders>
          </w:tcPr>
          <w:p w:rsidR="00E25CC6" w:rsidRPr="003360B5" w:rsidRDefault="00E25CC6" w:rsidP="00562AB7">
            <w:pPr>
              <w:pStyle w:val="OGTableofFigures"/>
            </w:pPr>
            <w:r w:rsidRPr="003360B5">
              <w:t>nm</w:t>
            </w:r>
          </w:p>
        </w:tc>
        <w:tc>
          <w:tcPr>
            <w:tcW w:w="907" w:type="dxa"/>
            <w:tcBorders>
              <w:top w:val="nil"/>
              <w:left w:val="nil"/>
              <w:bottom w:val="nil"/>
              <w:right w:val="nil"/>
            </w:tcBorders>
          </w:tcPr>
          <w:p w:rsidR="00E25CC6" w:rsidRPr="003360B5" w:rsidRDefault="00E25CC6" w:rsidP="00562AB7">
            <w:pPr>
              <w:pStyle w:val="OGTableofFigures"/>
            </w:pPr>
            <w:r w:rsidRPr="003360B5">
              <w:t>nm</w:t>
            </w:r>
          </w:p>
        </w:tc>
        <w:tc>
          <w:tcPr>
            <w:tcW w:w="908" w:type="dxa"/>
            <w:tcBorders>
              <w:top w:val="nil"/>
              <w:left w:val="nil"/>
              <w:bottom w:val="nil"/>
              <w:right w:val="nil"/>
            </w:tcBorders>
          </w:tcPr>
          <w:p w:rsidR="00E25CC6" w:rsidRPr="003360B5" w:rsidRDefault="00E25CC6" w:rsidP="00562AB7">
            <w:pPr>
              <w:pStyle w:val="OGTableofFigures"/>
            </w:pPr>
            <w:r w:rsidRPr="003360B5">
              <w:t>nm</w:t>
            </w:r>
          </w:p>
        </w:tc>
      </w:tr>
      <w:tr w:rsidR="00E25CC6" w:rsidRPr="003360B5" w:rsidTr="005708E9">
        <w:trPr>
          <w:cantSplit/>
        </w:trPr>
        <w:tc>
          <w:tcPr>
            <w:tcW w:w="7767" w:type="dxa"/>
            <w:gridSpan w:val="6"/>
            <w:tcBorders>
              <w:top w:val="nil"/>
              <w:left w:val="nil"/>
              <w:bottom w:val="single" w:sz="6" w:space="0" w:color="auto"/>
              <w:right w:val="nil"/>
            </w:tcBorders>
          </w:tcPr>
          <w:p w:rsidR="00E25CC6" w:rsidRPr="003360B5" w:rsidRDefault="00E25CC6" w:rsidP="00B06FBA">
            <w:pPr>
              <w:pStyle w:val="OGNotes"/>
              <w:rPr>
                <w:rFonts w:eastAsiaTheme="minorEastAsia"/>
              </w:rPr>
            </w:pPr>
            <w:r w:rsidRPr="003360B5">
              <w:rPr>
                <w:rFonts w:eastAsiaTheme="minorEastAsia"/>
              </w:rPr>
              <w:t>This performance measure replaces the 2015</w:t>
            </w:r>
            <w:r w:rsidRPr="003360B5">
              <w:rPr>
                <w:rFonts w:eastAsiaTheme="minorEastAsia"/>
              </w:rPr>
              <w:noBreakHyphen/>
              <w:t xml:space="preserve">16 performance measure </w:t>
            </w:r>
            <w:r>
              <w:rPr>
                <w:rFonts w:eastAsiaTheme="minorEastAsia"/>
              </w:rPr>
              <w:t>‘</w:t>
            </w:r>
            <w:r w:rsidRPr="003360B5">
              <w:rPr>
                <w:rFonts w:eastAsiaTheme="minorEastAsia"/>
              </w:rPr>
              <w:t>Education provider satisfaction with the Victorian Registration and Qualifications Authority and its regulatory processes</w:t>
            </w:r>
            <w:r>
              <w:rPr>
                <w:rFonts w:eastAsiaTheme="minorEastAsia"/>
              </w:rPr>
              <w:t>’</w:t>
            </w:r>
            <w:r w:rsidRPr="003360B5">
              <w:rPr>
                <w:rFonts w:eastAsiaTheme="minorEastAsia"/>
              </w:rPr>
              <w:t>. The new measure provides a greater indication of the quality of service provision. This performance measure relates to the calendar year.</w:t>
            </w:r>
          </w:p>
        </w:tc>
      </w:tr>
      <w:tr w:rsidR="00E25CC6" w:rsidRPr="003360B5" w:rsidTr="005708E9">
        <w:trPr>
          <w:cantSplit/>
        </w:trPr>
        <w:tc>
          <w:tcPr>
            <w:tcW w:w="3145" w:type="dxa"/>
            <w:tcBorders>
              <w:top w:val="single" w:sz="6" w:space="0" w:color="auto"/>
              <w:left w:val="nil"/>
              <w:right w:val="nil"/>
            </w:tcBorders>
          </w:tcPr>
          <w:p w:rsidR="00E25CC6" w:rsidRPr="003360B5" w:rsidRDefault="00E25CC6" w:rsidP="00562AB7">
            <w:pPr>
              <w:pStyle w:val="OGTabText"/>
            </w:pPr>
            <w:r w:rsidRPr="003360B5">
              <w:t>Regulated schools and Registered Training Organisations that rate the VRQA effective or highly effective in performing its regulatory function</w:t>
            </w:r>
          </w:p>
        </w:tc>
        <w:tc>
          <w:tcPr>
            <w:tcW w:w="907" w:type="dxa"/>
            <w:tcBorders>
              <w:top w:val="single" w:sz="6" w:space="0" w:color="auto"/>
              <w:left w:val="nil"/>
              <w:right w:val="nil"/>
            </w:tcBorders>
          </w:tcPr>
          <w:p w:rsidR="00E25CC6" w:rsidRPr="003360B5" w:rsidRDefault="00E25CC6" w:rsidP="00562AB7">
            <w:pPr>
              <w:pStyle w:val="OGTabText"/>
            </w:pPr>
            <w:r w:rsidRPr="003360B5">
              <w:t>per cent</w:t>
            </w:r>
          </w:p>
        </w:tc>
        <w:tc>
          <w:tcPr>
            <w:tcW w:w="907" w:type="dxa"/>
            <w:tcBorders>
              <w:top w:val="single" w:sz="6" w:space="0" w:color="auto"/>
              <w:left w:val="nil"/>
              <w:right w:val="nil"/>
            </w:tcBorders>
            <w:shd w:val="clear" w:color="auto" w:fill="DCDCDC"/>
          </w:tcPr>
          <w:p w:rsidR="00E25CC6" w:rsidRPr="003360B5" w:rsidRDefault="00E25CC6" w:rsidP="00562AB7">
            <w:pPr>
              <w:pStyle w:val="OGTableofFigures"/>
            </w:pPr>
            <w:r w:rsidRPr="003360B5">
              <w:t>70</w:t>
            </w:r>
          </w:p>
        </w:tc>
        <w:tc>
          <w:tcPr>
            <w:tcW w:w="993" w:type="dxa"/>
            <w:tcBorders>
              <w:top w:val="single" w:sz="6" w:space="0" w:color="auto"/>
              <w:left w:val="nil"/>
              <w:right w:val="nil"/>
            </w:tcBorders>
          </w:tcPr>
          <w:p w:rsidR="00E25CC6" w:rsidRPr="003360B5" w:rsidRDefault="00E25CC6" w:rsidP="00562AB7">
            <w:pPr>
              <w:pStyle w:val="OGTableofFigures"/>
            </w:pPr>
            <w:r w:rsidRPr="003360B5">
              <w:t>nm</w:t>
            </w:r>
          </w:p>
        </w:tc>
        <w:tc>
          <w:tcPr>
            <w:tcW w:w="907" w:type="dxa"/>
            <w:tcBorders>
              <w:top w:val="single" w:sz="6" w:space="0" w:color="auto"/>
              <w:left w:val="nil"/>
              <w:right w:val="nil"/>
            </w:tcBorders>
          </w:tcPr>
          <w:p w:rsidR="00E25CC6" w:rsidRPr="003360B5" w:rsidRDefault="00E25CC6" w:rsidP="00562AB7">
            <w:pPr>
              <w:pStyle w:val="OGTableofFigures"/>
            </w:pPr>
            <w:r w:rsidRPr="003360B5">
              <w:t>nm</w:t>
            </w:r>
          </w:p>
        </w:tc>
        <w:tc>
          <w:tcPr>
            <w:tcW w:w="908" w:type="dxa"/>
            <w:tcBorders>
              <w:top w:val="single" w:sz="6" w:space="0" w:color="auto"/>
              <w:left w:val="nil"/>
              <w:right w:val="nil"/>
            </w:tcBorders>
          </w:tcPr>
          <w:p w:rsidR="00E25CC6" w:rsidRPr="003360B5" w:rsidRDefault="00E25CC6" w:rsidP="00562AB7">
            <w:pPr>
              <w:pStyle w:val="OGTableofFigures"/>
            </w:pPr>
            <w:r w:rsidRPr="003360B5">
              <w:t>nm</w:t>
            </w:r>
          </w:p>
        </w:tc>
      </w:tr>
      <w:tr w:rsidR="00E25CC6" w:rsidRPr="003360B5" w:rsidTr="005708E9">
        <w:trPr>
          <w:cantSplit/>
        </w:trPr>
        <w:tc>
          <w:tcPr>
            <w:tcW w:w="7767" w:type="dxa"/>
            <w:gridSpan w:val="6"/>
            <w:tcBorders>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replaces the 2015</w:t>
            </w:r>
            <w:r w:rsidRPr="003360B5">
              <w:rPr>
                <w:rFonts w:eastAsiaTheme="minorHAnsi"/>
              </w:rPr>
              <w:noBreakHyphen/>
            </w:r>
            <w:r w:rsidRPr="003360B5">
              <w:rPr>
                <w:rFonts w:eastAsiaTheme="minorEastAsia"/>
              </w:rPr>
              <w:t xml:space="preserve">16 performance measure </w:t>
            </w:r>
            <w:r>
              <w:rPr>
                <w:rFonts w:eastAsiaTheme="minorEastAsia"/>
              </w:rPr>
              <w:t>‘</w:t>
            </w:r>
            <w:r w:rsidRPr="003360B5">
              <w:rPr>
                <w:rFonts w:eastAsiaTheme="minorEastAsia"/>
              </w:rPr>
              <w:t>Education provider satisfaction with the Victorian Registration and Qualifications Authority and its regulatory processes</w:t>
            </w:r>
            <w:r>
              <w:rPr>
                <w:rFonts w:eastAsiaTheme="minorEastAsia"/>
              </w:rPr>
              <w:t>’</w:t>
            </w:r>
            <w:r w:rsidRPr="003360B5">
              <w:rPr>
                <w:rFonts w:eastAsiaTheme="minorEastAsia"/>
              </w:rPr>
              <w:t xml:space="preserve">. The new measure provides a greater indication of the quality of service provision. This performance measure relates to the calendar year.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government schools where an enrolment audit is conducted</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32.8</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32.7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32.5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HAnsi"/>
              </w:rPr>
              <w:noBreakHyphen/>
            </w:r>
            <w:r w:rsidRPr="003360B5">
              <w:rPr>
                <w:rFonts w:eastAsiaTheme="minorEastAsia"/>
              </w:rPr>
              <w:t>17 target reflects this reduction in the number of operating government schools.</w:t>
            </w:r>
          </w:p>
        </w:tc>
      </w:tr>
      <w:tr w:rsidR="00E25CC6" w:rsidRPr="003360B5" w:rsidTr="005708E9">
        <w:trPr>
          <w:cantSplit/>
        </w:trPr>
        <w:tc>
          <w:tcPr>
            <w:tcW w:w="3145" w:type="dxa"/>
            <w:tcBorders>
              <w:top w:val="nil"/>
              <w:left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Cost</w:t>
            </w: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656BCC">
        <w:trPr>
          <w:cantSplit/>
        </w:trPr>
        <w:tc>
          <w:tcPr>
            <w:tcW w:w="3145" w:type="dxa"/>
            <w:tcBorders>
              <w:top w:val="nil"/>
              <w:left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output cost</w:t>
            </w:r>
          </w:p>
        </w:tc>
        <w:tc>
          <w:tcPr>
            <w:tcW w:w="907" w:type="dxa"/>
            <w:tcBorders>
              <w:top w:val="nil"/>
              <w:left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95.7</w:t>
            </w:r>
          </w:p>
        </w:tc>
        <w:tc>
          <w:tcPr>
            <w:tcW w:w="993"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112.7</w:t>
            </w:r>
          </w:p>
        </w:tc>
        <w:tc>
          <w:tcPr>
            <w:tcW w:w="907"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101.9</w:t>
            </w:r>
          </w:p>
        </w:tc>
        <w:tc>
          <w:tcPr>
            <w:tcW w:w="908"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90.2</w:t>
            </w:r>
          </w:p>
        </w:tc>
      </w:tr>
      <w:tr w:rsidR="00E25CC6" w:rsidRPr="003360B5" w:rsidTr="00656BCC">
        <w:trPr>
          <w:cantSplit/>
        </w:trPr>
        <w:tc>
          <w:tcPr>
            <w:tcW w:w="7767" w:type="dxa"/>
            <w:gridSpan w:val="6"/>
            <w:tcBorders>
              <w:top w:val="nil"/>
              <w:left w:val="nil"/>
              <w:bottom w:val="single" w:sz="12" w:space="0" w:color="auto"/>
              <w:right w:val="nil"/>
            </w:tcBorders>
          </w:tcPr>
          <w:p w:rsidR="00E25CC6" w:rsidRPr="003360B5" w:rsidRDefault="00E25CC6" w:rsidP="00B87205">
            <w:pPr>
              <w:pStyle w:val="OGNotes"/>
              <w:rPr>
                <w:rFonts w:eastAsiaTheme="minorEastAsia"/>
              </w:rPr>
            </w:pPr>
            <w:r w:rsidRPr="003360B5">
              <w:rPr>
                <w:rFonts w:eastAsiaTheme="minorEastAsia"/>
              </w:rPr>
              <w:t>The lower 2016</w:t>
            </w:r>
            <w:r w:rsidRPr="003360B5">
              <w:rPr>
                <w:rFonts w:eastAsiaTheme="minorEastAsia"/>
              </w:rPr>
              <w:noBreakHyphen/>
              <w:t>17 target primarily reflects lower estimated carry forward from 2015</w:t>
            </w:r>
            <w:r w:rsidRPr="003360B5">
              <w:rPr>
                <w:rFonts w:eastAsiaTheme="minorEastAsia"/>
              </w:rPr>
              <w:noBreakHyphen/>
              <w:t>16 in comparison with the estimated carry forward from 2014</w:t>
            </w:r>
            <w:r w:rsidRPr="003360B5">
              <w:rPr>
                <w:rFonts w:eastAsiaTheme="minorEastAsia"/>
              </w:rPr>
              <w:noBreakHyphen/>
              <w:t>15 to 2015</w:t>
            </w:r>
            <w:r w:rsidRPr="003360B5">
              <w:rPr>
                <w:rFonts w:eastAsiaTheme="minorEastAsia"/>
              </w:rPr>
              <w:noBreakHyphen/>
              <w:t>16. The higher 2015</w:t>
            </w:r>
            <w:r w:rsidRPr="003360B5">
              <w:rPr>
                <w:rFonts w:eastAsiaTheme="minorEastAsia"/>
              </w:rPr>
              <w:noBreakHyphen/>
              <w:t>16 expected outcome compared with the 2015</w:t>
            </w:r>
            <w:r w:rsidRPr="003360B5">
              <w:rPr>
                <w:rFonts w:eastAsiaTheme="minorEastAsia"/>
              </w:rPr>
              <w:noBreakHyphen/>
              <w:t>16 target primarily reflects higher carry forward from 2014</w:t>
            </w:r>
            <w:r w:rsidRPr="003360B5">
              <w:rPr>
                <w:rFonts w:eastAsiaTheme="minorEastAsia"/>
              </w:rPr>
              <w:noBreakHyphen/>
              <w:t>15 than estimated in the 2015</w:t>
            </w:r>
            <w:r w:rsidRPr="003360B5">
              <w:rPr>
                <w:rFonts w:eastAsiaTheme="minorEastAsia"/>
              </w:rPr>
              <w:noBreakHyphen/>
              <w:t>16 target.</w:t>
            </w:r>
          </w:p>
        </w:tc>
      </w:tr>
    </w:tbl>
    <w:p w:rsidR="00E25CC6" w:rsidRPr="003360B5" w:rsidRDefault="00E25CC6" w:rsidP="00505F6B">
      <w:pPr>
        <w:pStyle w:val="Source"/>
      </w:pPr>
      <w:r w:rsidRPr="003360B5">
        <w:rPr>
          <w:rFonts w:eastAsiaTheme="minorHAnsi"/>
        </w:rPr>
        <w:t xml:space="preserve">Source: Department of Education and Training </w:t>
      </w:r>
      <w:r w:rsidRPr="003360B5">
        <w:rPr>
          <w:rFonts w:eastAsiaTheme="minorHAnsi"/>
        </w:rPr>
        <w:fldChar w:fldCharType="begin"/>
      </w:r>
      <w:r w:rsidRPr="003360B5">
        <w:instrText xml:space="preserve"> XE "Department of Education and Training:Strategy, Review and Regulation" \r "DET_StrategyReviewRegulation" </w:instrText>
      </w:r>
      <w:r w:rsidRPr="003360B5">
        <w:rPr>
          <w:rFonts w:eastAsiaTheme="minorHAnsi"/>
        </w:rPr>
        <w:fldChar w:fldCharType="end"/>
      </w:r>
      <w:r>
        <w:rPr>
          <w:rFonts w:eastAsiaTheme="minorHAnsi"/>
        </w:rPr>
        <w:t xml:space="preserve"> </w:t>
      </w:r>
      <w:r w:rsidRPr="003360B5">
        <w:rPr>
          <w:rFonts w:eastAsiaTheme="minorHAnsi"/>
        </w:rPr>
        <w:fldChar w:fldCharType="begin"/>
      </w:r>
      <w:r w:rsidRPr="003360B5">
        <w:instrText xml:space="preserve"> XE "Education:Strategy, Review and Regulation" \r "DET_StrategyReviewRegulation" </w:instrText>
      </w:r>
      <w:r w:rsidRPr="003360B5">
        <w:rPr>
          <w:rFonts w:eastAsiaTheme="minorHAnsi"/>
        </w:rPr>
        <w:fldChar w:fldCharType="end"/>
      </w:r>
    </w:p>
    <w:bookmarkEnd w:id="60"/>
    <w:p w:rsidR="00E25CC6" w:rsidRPr="003360B5" w:rsidRDefault="00E25CC6" w:rsidP="00562AB7">
      <w:r w:rsidRPr="003360B5">
        <w:br w:type="page"/>
      </w:r>
    </w:p>
    <w:p w:rsidR="00E25CC6" w:rsidRPr="003360B5" w:rsidRDefault="00E25CC6" w:rsidP="00562AB7">
      <w:pPr>
        <w:pStyle w:val="OGHeading1"/>
      </w:pPr>
      <w:r w:rsidRPr="003360B5">
        <w:t>Early Childhood Development</w:t>
      </w:r>
    </w:p>
    <w:p w:rsidR="00E25CC6" w:rsidRPr="003360B5" w:rsidRDefault="00E25CC6" w:rsidP="00562AB7">
      <w:pPr>
        <w:pStyle w:val="OGText"/>
      </w:pPr>
      <w:bookmarkStart w:id="61" w:name="DET_EarlyChildDevelop"/>
      <w:r w:rsidRPr="003360B5">
        <w:t>The early childhood development output group provides funding for a range of services that support children in the early years, including kindergarten and children</w:t>
      </w:r>
      <w:r>
        <w:t>’</w:t>
      </w:r>
      <w:r w:rsidRPr="003360B5">
        <w:t>s services, maternal and child health, and early intervention services for children with a disability. This output makes a significant contribution to the Government</w:t>
      </w:r>
      <w:r>
        <w:t>’</w:t>
      </w:r>
      <w:r w:rsidRPr="003360B5">
        <w:t>s key outcomes in early childhood services. This output group contributes towards providing and improving services to support all the Department</w:t>
      </w:r>
      <w:r>
        <w:t>’</w:t>
      </w:r>
      <w:r w:rsidRPr="003360B5">
        <w:t>s objectives of achievement, engagement, wellbeing and productivity.</w:t>
      </w:r>
    </w:p>
    <w:tbl>
      <w:tblPr>
        <w:tblW w:w="7767" w:type="dxa"/>
        <w:tblInd w:w="45" w:type="dxa"/>
        <w:tblLayout w:type="fixed"/>
        <w:tblCellMar>
          <w:left w:w="45" w:type="dxa"/>
          <w:right w:w="45" w:type="dxa"/>
        </w:tblCellMar>
        <w:tblLook w:val="0000" w:firstRow="0" w:lastRow="0" w:firstColumn="0" w:lastColumn="0" w:noHBand="0" w:noVBand="0"/>
      </w:tblPr>
      <w:tblGrid>
        <w:gridCol w:w="3145"/>
        <w:gridCol w:w="907"/>
        <w:gridCol w:w="907"/>
        <w:gridCol w:w="993"/>
        <w:gridCol w:w="907"/>
        <w:gridCol w:w="908"/>
      </w:tblGrid>
      <w:tr w:rsidR="00E25CC6" w:rsidRPr="003360B5" w:rsidTr="00B06FBA">
        <w:trPr>
          <w:cantSplit/>
          <w:tblHeader/>
        </w:trPr>
        <w:tc>
          <w:tcPr>
            <w:tcW w:w="3145"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b/>
                <w:bCs/>
                <w:sz w:val="19"/>
                <w:szCs w:val="22"/>
                <w:lang w:eastAsia="en-AU"/>
              </w:rPr>
              <w:t>Major outputs/deliverables</w:t>
            </w:r>
          </w:p>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center"/>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2016</w:t>
            </w:r>
            <w:r w:rsidRPr="003360B5">
              <w:rPr>
                <w:rFonts w:ascii="Calibri" w:eastAsiaTheme="minorEastAsia" w:hAnsi="Calibri" w:cs="Calibri"/>
                <w:i/>
                <w:iCs/>
                <w:sz w:val="19"/>
                <w:szCs w:val="22"/>
                <w:lang w:eastAsia="en-AU"/>
              </w:rPr>
              <w:noBreakHyphen/>
              <w:t>17 target</w:t>
            </w:r>
          </w:p>
        </w:tc>
        <w:tc>
          <w:tcPr>
            <w:tcW w:w="993"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2014</w:t>
            </w:r>
            <w:r w:rsidRPr="003360B5">
              <w:rPr>
                <w:rFonts w:ascii="Calibri" w:eastAsiaTheme="minorEastAsia" w:hAnsi="Calibri" w:cs="Calibri"/>
                <w:i/>
                <w:iCs/>
                <w:sz w:val="19"/>
                <w:szCs w:val="22"/>
                <w:lang w:eastAsia="en-AU"/>
              </w:rPr>
              <w:noBreakHyphen/>
              <w:t>15 actual</w:t>
            </w:r>
          </w:p>
        </w:tc>
      </w:tr>
      <w:tr w:rsidR="00E25CC6" w:rsidRPr="003360B5" w:rsidTr="00E447C6">
        <w:trPr>
          <w:cantSplit/>
        </w:trPr>
        <w:tc>
          <w:tcPr>
            <w:tcW w:w="7767" w:type="dxa"/>
            <w:gridSpan w:val="6"/>
            <w:tcBorders>
              <w:top w:val="single" w:sz="6" w:space="0" w:color="auto"/>
              <w:left w:val="nil"/>
              <w:bottom w:val="nil"/>
              <w:right w:val="nil"/>
            </w:tcBorders>
          </w:tcPr>
          <w:p w:rsidR="00E25CC6" w:rsidRPr="003360B5" w:rsidRDefault="00E25CC6" w:rsidP="00E447C6">
            <w:pPr>
              <w:pStyle w:val="OGHeading2"/>
              <w:rPr>
                <w:rFonts w:eastAsiaTheme="minorEastAsia"/>
                <w:lang w:eastAsia="en-AU"/>
              </w:rPr>
            </w:pPr>
            <w:r w:rsidRPr="003360B5">
              <w:rPr>
                <w:rFonts w:eastAsiaTheme="minorEastAsia"/>
                <w:lang w:eastAsia="en-AU"/>
              </w:rPr>
              <w:t>Early Childhood Development</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340032">
            <w:pPr>
              <w:pStyle w:val="OGText"/>
              <w:rPr>
                <w:rFonts w:eastAsiaTheme="minorEastAsia"/>
                <w:lang w:eastAsia="en-AU"/>
              </w:rPr>
            </w:pPr>
            <w:r w:rsidRPr="003360B5">
              <w:rPr>
                <w:rFonts w:eastAsiaTheme="minorEastAsia"/>
                <w:lang w:eastAsia="en-AU"/>
              </w:rPr>
              <w:t>This output involves the provision of kindergarten and children</w:t>
            </w:r>
            <w:r>
              <w:rPr>
                <w:rFonts w:eastAsiaTheme="minorEastAsia"/>
                <w:lang w:eastAsia="en-AU"/>
              </w:rPr>
              <w:t>’</w:t>
            </w:r>
            <w:r w:rsidRPr="003360B5">
              <w:rPr>
                <w:rFonts w:eastAsiaTheme="minorEastAsia"/>
                <w:lang w:eastAsia="en-AU"/>
              </w:rPr>
              <w:t>s services. Services include the monitoring of education and care services and specialist services to improve access to kindergartens for disadvantaged children, and maternal and child health services for all families with children aged 0–6 years. This output provides developmental health surveillance, early intervention, parenting support and health education, as well as a range of services and support for children with a developmental delay or disability, and their families.</w:t>
            </w:r>
          </w:p>
        </w:tc>
      </w:tr>
      <w:tr w:rsidR="00E25CC6" w:rsidRPr="003360B5" w:rsidTr="00C11540">
        <w:trPr>
          <w:cantSplit/>
        </w:trPr>
        <w:tc>
          <w:tcPr>
            <w:tcW w:w="3145" w:type="dxa"/>
            <w:tcBorders>
              <w:top w:val="nil"/>
              <w:left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Quantity</w:t>
            </w: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C11540">
        <w:trPr>
          <w:cantSplit/>
        </w:trPr>
        <w:tc>
          <w:tcPr>
            <w:tcW w:w="3145" w:type="dxa"/>
            <w:tcBorders>
              <w:top w:val="nil"/>
              <w:left w:val="nil"/>
              <w:right w:val="nil"/>
            </w:tcBorders>
          </w:tcPr>
          <w:p w:rsidR="00E25CC6" w:rsidRPr="003360B5" w:rsidRDefault="00E25CC6" w:rsidP="00C11540">
            <w:pPr>
              <w:pStyle w:val="OGTabText"/>
              <w:rPr>
                <w:rFonts w:eastAsiaTheme="minorEastAsia"/>
                <w:lang w:eastAsia="en-AU"/>
              </w:rPr>
            </w:pPr>
            <w:r w:rsidRPr="003360B5">
              <w:rPr>
                <w:rFonts w:eastAsiaTheme="minorEastAsia"/>
                <w:lang w:eastAsia="en-AU"/>
              </w:rPr>
              <w:t>Children funded to participate in kindergarten</w:t>
            </w:r>
          </w:p>
        </w:tc>
        <w:tc>
          <w:tcPr>
            <w:tcW w:w="907" w:type="dxa"/>
            <w:tcBorders>
              <w:top w:val="nil"/>
              <w:left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74 250</w:t>
            </w:r>
          </w:p>
        </w:tc>
        <w:tc>
          <w:tcPr>
            <w:tcW w:w="993"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74 650</w:t>
            </w:r>
          </w:p>
        </w:tc>
        <w:tc>
          <w:tcPr>
            <w:tcW w:w="907"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71 250</w:t>
            </w:r>
          </w:p>
        </w:tc>
        <w:tc>
          <w:tcPr>
            <w:tcW w:w="908"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74 627</w:t>
            </w:r>
          </w:p>
        </w:tc>
      </w:tr>
      <w:tr w:rsidR="00E25CC6" w:rsidRPr="003360B5" w:rsidTr="00C11540">
        <w:trPr>
          <w:cantSplit/>
        </w:trPr>
        <w:tc>
          <w:tcPr>
            <w:tcW w:w="7767" w:type="dxa"/>
            <w:gridSpan w:val="6"/>
            <w:tcBorders>
              <w:left w:val="nil"/>
              <w:bottom w:val="single" w:sz="6" w:space="0" w:color="auto"/>
              <w:right w:val="nil"/>
            </w:tcBorders>
          </w:tcPr>
          <w:p w:rsidR="00E25CC6" w:rsidRPr="003360B5" w:rsidRDefault="00E25CC6" w:rsidP="00C11540">
            <w:pPr>
              <w:pStyle w:val="OGNotes"/>
              <w:rPr>
                <w:rFonts w:eastAsiaTheme="minorEastAsia" w:cs="Calibri"/>
                <w:sz w:val="19"/>
                <w:szCs w:val="22"/>
              </w:rPr>
            </w:pPr>
            <w:r w:rsidRPr="003360B5">
              <w:rPr>
                <w:rFonts w:eastAsiaTheme="minorEastAsia"/>
              </w:rPr>
              <w:t>This performance measure relates to the calendar year. This performance measure includes first and second year kindergarten participants. The higher 2016</w:t>
            </w:r>
            <w:r w:rsidRPr="003360B5">
              <w:rPr>
                <w:rFonts w:eastAsiaTheme="minorEastAsia"/>
              </w:rPr>
              <w:noBreakHyphen/>
              <w:t>17 target reflects a projected increase in the four</w:t>
            </w:r>
            <w:r w:rsidRPr="003360B5">
              <w:rPr>
                <w:rFonts w:eastAsiaTheme="minorEastAsia"/>
              </w:rPr>
              <w:noBreakHyphen/>
              <w:t>year</w:t>
            </w:r>
            <w:r w:rsidRPr="003360B5">
              <w:rPr>
                <w:rFonts w:eastAsiaTheme="minorEastAsia"/>
              </w:rPr>
              <w:noBreakHyphen/>
              <w:t>old population.</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Kindergarten participation rate</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96</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98.1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96.4</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excludes children who participate in a second year of the four</w:t>
            </w:r>
            <w:r w:rsidRPr="003360B5">
              <w:rPr>
                <w:rFonts w:eastAsiaTheme="minorEastAsia"/>
              </w:rPr>
              <w:noBreakHyphen/>
              <w:t>year</w:t>
            </w:r>
            <w:r w:rsidRPr="003360B5">
              <w:rPr>
                <w:rFonts w:eastAsiaTheme="minorEastAsia"/>
              </w:rPr>
              <w:noBreakHyphen/>
              <w:t xml:space="preserve">old kindergarten program. </w:t>
            </w:r>
          </w:p>
          <w:p w:rsidR="00E25CC6" w:rsidRPr="003360B5" w:rsidRDefault="00E25CC6" w:rsidP="00EF7439">
            <w:pPr>
              <w:pStyle w:val="OGNotes"/>
              <w:rPr>
                <w:rFonts w:eastAsiaTheme="minorEastAsia"/>
              </w:rPr>
            </w:pPr>
            <w:r w:rsidRPr="003360B5">
              <w:rPr>
                <w:rFonts w:eastAsiaTheme="minorEastAsia"/>
              </w:rPr>
              <w:t>The higher 2016</w:t>
            </w:r>
            <w:r w:rsidRPr="003360B5">
              <w:rPr>
                <w:rFonts w:eastAsiaTheme="minorEastAsia"/>
              </w:rPr>
              <w:noBreakHyphen/>
              <w:t>17 target reflects the continuing above-target kindergarten participation rate in recent years.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Maternal and child health clients with children aged 0 to 1 year receiving additional support through enhanced maternal and child health services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16.2</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Maternal and child health clients with children aged 0–1 year receiving enhanced maternal and child health services</w:t>
            </w:r>
            <w:r>
              <w:rPr>
                <w:rFonts w:eastAsiaTheme="minorEastAsia"/>
              </w:rPr>
              <w:t>’</w:t>
            </w:r>
            <w:r w:rsidRPr="003360B5">
              <w:rPr>
                <w:rFonts w:eastAsiaTheme="minorEastAsia"/>
              </w:rPr>
              <w:t>. The new measure reports on the same activity as the previous measure, however has been amended for increased clarity.</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is higher than the 2015</w:t>
            </w:r>
            <w:r w:rsidRPr="003360B5">
              <w:rPr>
                <w:rFonts w:eastAsiaTheme="minorEastAsia"/>
              </w:rPr>
              <w:noBreakHyphen/>
              <w:t xml:space="preserve">16 target due to municipal councils providing services to families with a child aged 0–1 years beyond the 10 per cent target cohort. </w:t>
            </w:r>
          </w:p>
        </w:tc>
      </w:tr>
      <w:tr w:rsidR="00E25CC6" w:rsidRPr="003360B5" w:rsidTr="00E447C6">
        <w:trPr>
          <w:cantSplit/>
        </w:trPr>
        <w:tc>
          <w:tcPr>
            <w:tcW w:w="3145" w:type="dxa"/>
            <w:tcBorders>
              <w:top w:val="single" w:sz="6" w:space="0" w:color="auto"/>
              <w:left w:val="nil"/>
              <w:bottom w:val="single" w:sz="6" w:space="0" w:color="auto"/>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number of children receiving Early Childhood Intervention Services</w:t>
            </w:r>
          </w:p>
        </w:tc>
        <w:tc>
          <w:tcPr>
            <w:tcW w:w="907"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13 936</w:t>
            </w:r>
          </w:p>
        </w:tc>
        <w:tc>
          <w:tcPr>
            <w:tcW w:w="993"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13 936</w:t>
            </w:r>
          </w:p>
        </w:tc>
        <w:tc>
          <w:tcPr>
            <w:tcW w:w="907"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13 936</w:t>
            </w:r>
          </w:p>
        </w:tc>
        <w:tc>
          <w:tcPr>
            <w:tcW w:w="908"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13 936</w:t>
            </w:r>
          </w:p>
        </w:tc>
      </w:tr>
      <w:tr w:rsidR="00E25CC6" w:rsidRPr="003360B5" w:rsidTr="00E447C6">
        <w:trPr>
          <w:cantSplit/>
        </w:trPr>
        <w:tc>
          <w:tcPr>
            <w:tcW w:w="3145" w:type="dxa"/>
            <w:tcBorders>
              <w:top w:val="nil"/>
              <w:left w:val="nil"/>
              <w:bottom w:val="nil"/>
              <w:right w:val="nil"/>
            </w:tcBorders>
          </w:tcPr>
          <w:p w:rsidR="00E25CC6" w:rsidRPr="003360B5" w:rsidRDefault="00E25CC6" w:rsidP="0003508B">
            <w:pPr>
              <w:pStyle w:val="OGTabText"/>
              <w:keepNext/>
              <w:rPr>
                <w:rFonts w:eastAsiaTheme="minorEastAsia"/>
                <w:lang w:eastAsia="en-AU"/>
              </w:rPr>
            </w:pPr>
            <w:r w:rsidRPr="003360B5">
              <w:rPr>
                <w:rFonts w:eastAsiaTheme="minorEastAsia"/>
                <w:lang w:eastAsia="en-AU"/>
              </w:rPr>
              <w:t>Total number of Maternal and Child Health Service clients (aged 0 to 1 year)</w:t>
            </w:r>
          </w:p>
        </w:tc>
        <w:tc>
          <w:tcPr>
            <w:tcW w:w="907" w:type="dxa"/>
            <w:tcBorders>
              <w:top w:val="nil"/>
              <w:left w:val="nil"/>
              <w:bottom w:val="nil"/>
              <w:right w:val="nil"/>
            </w:tcBorders>
          </w:tcPr>
          <w:p w:rsidR="00E25CC6" w:rsidRPr="003360B5" w:rsidRDefault="00E25CC6" w:rsidP="0003508B">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3360B5" w:rsidRDefault="00E25CC6" w:rsidP="0003508B">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75 000</w:t>
            </w:r>
          </w:p>
        </w:tc>
        <w:tc>
          <w:tcPr>
            <w:tcW w:w="993" w:type="dxa"/>
            <w:tcBorders>
              <w:top w:val="nil"/>
              <w:left w:val="nil"/>
              <w:bottom w:val="nil"/>
              <w:right w:val="nil"/>
            </w:tcBorders>
          </w:tcPr>
          <w:p w:rsidR="00E25CC6" w:rsidRPr="003360B5" w:rsidRDefault="00E25CC6" w:rsidP="0003508B">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73 000</w:t>
            </w:r>
          </w:p>
        </w:tc>
        <w:tc>
          <w:tcPr>
            <w:tcW w:w="907" w:type="dxa"/>
            <w:tcBorders>
              <w:top w:val="nil"/>
              <w:left w:val="nil"/>
              <w:bottom w:val="nil"/>
              <w:right w:val="nil"/>
            </w:tcBorders>
          </w:tcPr>
          <w:p w:rsidR="00E25CC6" w:rsidRPr="003360B5" w:rsidRDefault="00E25CC6" w:rsidP="0003508B">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73 000</w:t>
            </w:r>
          </w:p>
        </w:tc>
        <w:tc>
          <w:tcPr>
            <w:tcW w:w="908" w:type="dxa"/>
            <w:tcBorders>
              <w:top w:val="nil"/>
              <w:left w:val="nil"/>
              <w:bottom w:val="nil"/>
              <w:right w:val="nil"/>
            </w:tcBorders>
          </w:tcPr>
          <w:p w:rsidR="00E25CC6" w:rsidRPr="003360B5" w:rsidRDefault="00E25CC6" w:rsidP="0003508B">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76 559</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6B3627">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Total number of Maternal and Child Health Services clients (aged 0–1 year)</w:t>
            </w:r>
            <w:r>
              <w:rPr>
                <w:rFonts w:eastAsiaTheme="minorEastAsia"/>
              </w:rPr>
              <w:t>’</w:t>
            </w:r>
            <w:r w:rsidRPr="003360B5">
              <w:rPr>
                <w:rFonts w:eastAsiaTheme="minorEastAsia"/>
              </w:rPr>
              <w:t>. The new measure reports on the same activity as the previous measure, however has been amended for increased clarity. The higher 2016</w:t>
            </w:r>
            <w:r w:rsidRPr="003360B5">
              <w:rPr>
                <w:rFonts w:eastAsiaTheme="minorEastAsia"/>
              </w:rPr>
              <w:noBreakHyphen/>
              <w:t xml:space="preserve">17 target reflects population growth funded in the Maintaining the essential Maternal and Child Health service </w:t>
            </w:r>
            <w:r w:rsidRPr="003360B5">
              <w:rPr>
                <w:rFonts w:eastAsiaTheme="minorEastAsia"/>
                <w:i w:val="0"/>
              </w:rPr>
              <w:t>2016</w:t>
            </w:r>
            <w:r w:rsidRPr="003360B5">
              <w:rPr>
                <w:rFonts w:eastAsiaTheme="minorEastAsia"/>
                <w:i w:val="0"/>
              </w:rPr>
              <w:noBreakHyphen/>
              <w:t>17 Budget</w:t>
            </w:r>
            <w:r w:rsidRPr="003360B5">
              <w:rPr>
                <w:rFonts w:eastAsiaTheme="minorEastAsia"/>
              </w:rPr>
              <w:t xml:space="preserve"> initiative.</w:t>
            </w:r>
          </w:p>
        </w:tc>
      </w:tr>
      <w:tr w:rsidR="00E25CC6" w:rsidRPr="003360B5" w:rsidTr="00E447C6">
        <w:trPr>
          <w:cantSplit/>
        </w:trPr>
        <w:tc>
          <w:tcPr>
            <w:tcW w:w="3145" w:type="dxa"/>
            <w:tcBorders>
              <w:top w:val="nil"/>
              <w:left w:val="nil"/>
              <w:bottom w:val="nil"/>
              <w:right w:val="nil"/>
            </w:tcBorders>
          </w:tcPr>
          <w:p w:rsidR="00E25CC6" w:rsidRPr="003360B5" w:rsidRDefault="00E25CC6" w:rsidP="006C091D">
            <w:pPr>
              <w:keepNext/>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6C091D">
            <w:pPr>
              <w:keepNext/>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6C091D">
            <w:pPr>
              <w:keepNext/>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6C091D">
            <w:pPr>
              <w:keepNext/>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Education and care services offering a funded kindergarten program assessed as exceeding the National Quality Standard</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43</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43</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higher than the 2015</w:t>
            </w:r>
            <w:r w:rsidRPr="003360B5">
              <w:rPr>
                <w:rFonts w:eastAsiaTheme="minorEastAsia"/>
              </w:rPr>
              <w:noBreakHyphen/>
              <w:t xml:space="preserve">16 target because the target was set based on assessments under the National Quality Standard undertaken prior to 2015. </w:t>
            </w:r>
          </w:p>
          <w:p w:rsidR="00E25CC6" w:rsidRPr="003360B5" w:rsidRDefault="00E25CC6" w:rsidP="00C76FF8">
            <w:pPr>
              <w:pStyle w:val="OGNotes"/>
              <w:rPr>
                <w:rFonts w:eastAsiaTheme="minorEastAsia"/>
              </w:rPr>
            </w:pPr>
            <w:r w:rsidRPr="003360B5">
              <w:rPr>
                <w:rFonts w:eastAsiaTheme="minorEastAsia"/>
              </w:rPr>
              <w:t>The higher 2016</w:t>
            </w:r>
            <w:r w:rsidRPr="003360B5">
              <w:rPr>
                <w:rFonts w:eastAsiaTheme="minorEastAsia"/>
              </w:rPr>
              <w:noBreakHyphen/>
              <w:t>17 target reflects the higher</w:t>
            </w:r>
            <w:r>
              <w:rPr>
                <w:rFonts w:eastAsiaTheme="minorEastAsia"/>
              </w:rPr>
              <w:noBreakHyphen/>
            </w:r>
            <w:r w:rsidRPr="003360B5">
              <w:rPr>
                <w:rFonts w:eastAsiaTheme="minorEastAsia"/>
              </w:rPr>
              <w:t>quality service provision now achieved.</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Education and care services offering a funded kindergarten program assessed as meeting or exceeding the National Quality Standard</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88</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higher 2016</w:t>
            </w:r>
            <w:r w:rsidRPr="003360B5">
              <w:rPr>
                <w:rFonts w:eastAsiaTheme="minorEastAsia"/>
              </w:rPr>
              <w:noBreakHyphen/>
              <w:t>17 target reflects the planned targeting of assessment and rating visits to services that have previously been assessed as working towards the National Quality Standard.</w:t>
            </w:r>
          </w:p>
        </w:tc>
      </w:tr>
      <w:tr w:rsidR="00E25CC6" w:rsidRPr="003360B5" w:rsidTr="00E447C6">
        <w:trPr>
          <w:cantSplit/>
        </w:trPr>
        <w:tc>
          <w:tcPr>
            <w:tcW w:w="3145" w:type="dxa"/>
            <w:tcBorders>
              <w:top w:val="single" w:sz="6" w:space="0" w:color="auto"/>
              <w:left w:val="nil"/>
              <w:bottom w:val="single" w:sz="6" w:space="0" w:color="auto"/>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Families who are satisfied with the Early Childhood Intervention Services provided</w:t>
            </w:r>
          </w:p>
        </w:tc>
        <w:tc>
          <w:tcPr>
            <w:tcW w:w="907"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90</w:t>
            </w:r>
          </w:p>
        </w:tc>
        <w:tc>
          <w:tcPr>
            <w:tcW w:w="993"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90</w:t>
            </w:r>
          </w:p>
        </w:tc>
        <w:tc>
          <w:tcPr>
            <w:tcW w:w="907"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90</w:t>
            </w:r>
          </w:p>
        </w:tc>
        <w:tc>
          <w:tcPr>
            <w:tcW w:w="908" w:type="dxa"/>
            <w:tcBorders>
              <w:top w:val="single" w:sz="6" w:space="0" w:color="auto"/>
              <w:left w:val="nil"/>
              <w:bottom w:val="single" w:sz="6"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90</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Timeliness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Children aged 0 to 1 month enrolled at maternal and child health services from birth notifications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98.5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98.5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98.5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99.7</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Children aged 0–1 month enrolled at maternal and child health services from birth notifications.</w:t>
            </w:r>
            <w:r>
              <w:rPr>
                <w:rFonts w:eastAsiaTheme="minorEastAsia"/>
              </w:rPr>
              <w:t>’</w:t>
            </w:r>
            <w:r w:rsidRPr="003360B5">
              <w:rPr>
                <w:rFonts w:eastAsiaTheme="minorEastAsia"/>
              </w:rPr>
              <w:t xml:space="preserve"> The new measure reports on the same activity as the previous measure, however has been amended for increased clarity. </w:t>
            </w:r>
          </w:p>
        </w:tc>
      </w:tr>
      <w:tr w:rsidR="00E25CC6" w:rsidRPr="003360B5" w:rsidTr="00505F6B">
        <w:trPr>
          <w:cantSplit/>
        </w:trPr>
        <w:tc>
          <w:tcPr>
            <w:tcW w:w="3145" w:type="dxa"/>
            <w:tcBorders>
              <w:top w:val="nil"/>
              <w:left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Cost</w:t>
            </w: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8E312F">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output cost</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582.4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536.7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491.1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509.8</w:t>
            </w:r>
          </w:p>
        </w:tc>
      </w:tr>
      <w:tr w:rsidR="00E25CC6" w:rsidRPr="003360B5" w:rsidTr="001B549A">
        <w:trPr>
          <w:cantSplit/>
        </w:trPr>
        <w:tc>
          <w:tcPr>
            <w:tcW w:w="7767" w:type="dxa"/>
            <w:gridSpan w:val="6"/>
            <w:tcBorders>
              <w:top w:val="nil"/>
              <w:left w:val="nil"/>
              <w:bottom w:val="single" w:sz="12" w:space="0" w:color="auto"/>
              <w:right w:val="nil"/>
            </w:tcBorders>
          </w:tcPr>
          <w:p w:rsidR="00E25CC6" w:rsidRPr="003360B5" w:rsidRDefault="00E25CC6" w:rsidP="005E60BC">
            <w:pPr>
              <w:pStyle w:val="OGTabText"/>
              <w:rPr>
                <w:rFonts w:eastAsiaTheme="minorEastAsia" w:cs="Calibri"/>
                <w:sz w:val="19"/>
                <w:szCs w:val="22"/>
                <w:lang w:eastAsia="en-AU"/>
              </w:rPr>
            </w:pPr>
            <w:r w:rsidRPr="003360B5">
              <w:rPr>
                <w:rFonts w:eastAsiaTheme="minorEastAsia"/>
                <w:i/>
                <w:sz w:val="15"/>
                <w:lang w:eastAsia="en-AU"/>
              </w:rPr>
              <w:t>The higher 2016</w:t>
            </w:r>
            <w:r w:rsidRPr="003360B5">
              <w:rPr>
                <w:rFonts w:eastAsiaTheme="minorEastAsia"/>
                <w:i/>
                <w:sz w:val="15"/>
                <w:lang w:eastAsia="en-AU"/>
              </w:rPr>
              <w:noBreakHyphen/>
              <w:t xml:space="preserve">17 target primarily reflects an increase in Commonwealth funding for the National Partnership on universal access for early childhood education and new funding announced as part of the </w:t>
            </w:r>
            <w:r w:rsidRPr="003360B5">
              <w:rPr>
                <w:rFonts w:eastAsiaTheme="minorEastAsia"/>
                <w:sz w:val="15"/>
                <w:lang w:eastAsia="en-AU"/>
              </w:rPr>
              <w:t>2016</w:t>
            </w:r>
            <w:r w:rsidRPr="003360B5">
              <w:rPr>
                <w:rFonts w:eastAsiaTheme="minorEastAsia"/>
                <w:sz w:val="15"/>
                <w:lang w:eastAsia="en-AU"/>
              </w:rPr>
              <w:noBreakHyphen/>
              <w:t>17 Budget</w:t>
            </w:r>
            <w:r w:rsidRPr="003360B5">
              <w:rPr>
                <w:rFonts w:eastAsiaTheme="minorEastAsia"/>
                <w:i/>
                <w:sz w:val="15"/>
                <w:lang w:eastAsia="en-AU"/>
              </w:rPr>
              <w:t xml:space="preserve">. </w:t>
            </w:r>
            <w:r w:rsidRPr="003360B5">
              <w:rPr>
                <w:rFonts w:eastAsiaTheme="minorEastAsia"/>
                <w:i/>
                <w:sz w:val="15"/>
                <w:szCs w:val="20"/>
                <w:lang w:eastAsia="en-AU"/>
              </w:rPr>
              <w:t>The higher 2015</w:t>
            </w:r>
            <w:r w:rsidRPr="003360B5">
              <w:rPr>
                <w:rFonts w:eastAsiaTheme="minorEastAsia"/>
                <w:i/>
                <w:sz w:val="15"/>
                <w:lang w:eastAsia="en-AU"/>
              </w:rPr>
              <w:noBreakHyphen/>
            </w:r>
            <w:r w:rsidRPr="003360B5">
              <w:rPr>
                <w:rFonts w:eastAsiaTheme="minorEastAsia"/>
                <w:i/>
                <w:sz w:val="15"/>
                <w:szCs w:val="20"/>
                <w:lang w:eastAsia="en-AU"/>
              </w:rPr>
              <w:t>16 expected outcome compared with the 2015</w:t>
            </w:r>
            <w:r w:rsidRPr="003360B5">
              <w:rPr>
                <w:rFonts w:eastAsiaTheme="minorEastAsia"/>
                <w:i/>
                <w:sz w:val="15"/>
                <w:lang w:eastAsia="en-AU"/>
              </w:rPr>
              <w:noBreakHyphen/>
            </w:r>
            <w:r w:rsidRPr="003360B5">
              <w:rPr>
                <w:rFonts w:eastAsiaTheme="minorEastAsia"/>
                <w:i/>
                <w:sz w:val="15"/>
                <w:szCs w:val="20"/>
                <w:lang w:eastAsia="en-AU"/>
              </w:rPr>
              <w:t>16 target primarily reflects higher carry forward from 2014</w:t>
            </w:r>
            <w:r>
              <w:rPr>
                <w:rFonts w:eastAsiaTheme="minorEastAsia"/>
                <w:i/>
                <w:sz w:val="15"/>
                <w:lang w:eastAsia="en-AU"/>
              </w:rPr>
              <w:noBreakHyphen/>
            </w:r>
            <w:r w:rsidRPr="003360B5">
              <w:rPr>
                <w:rFonts w:eastAsiaTheme="minorEastAsia"/>
                <w:i/>
                <w:sz w:val="15"/>
                <w:szCs w:val="20"/>
                <w:lang w:eastAsia="en-AU"/>
              </w:rPr>
              <w:t>15 than estimated in the 2015</w:t>
            </w:r>
            <w:r w:rsidRPr="003360B5">
              <w:rPr>
                <w:rFonts w:eastAsiaTheme="minorEastAsia"/>
                <w:i/>
                <w:sz w:val="15"/>
                <w:lang w:eastAsia="en-AU"/>
              </w:rPr>
              <w:noBreakHyphen/>
            </w:r>
            <w:r w:rsidRPr="003360B5">
              <w:rPr>
                <w:rFonts w:eastAsiaTheme="minorEastAsia"/>
                <w:i/>
                <w:sz w:val="15"/>
                <w:szCs w:val="20"/>
                <w:lang w:eastAsia="en-AU"/>
              </w:rPr>
              <w:t>16 target and the increase in Commonwealth funding for the National Partnership on universal access to early childhood education.</w:t>
            </w:r>
          </w:p>
        </w:tc>
      </w:tr>
    </w:tbl>
    <w:p w:rsidR="00E25CC6" w:rsidRPr="003360B5" w:rsidRDefault="00E25CC6" w:rsidP="00505F6B">
      <w:pPr>
        <w:pStyle w:val="Source"/>
      </w:pPr>
      <w:r w:rsidRPr="003360B5">
        <w:rPr>
          <w:rFonts w:eastAsiaTheme="minorHAnsi"/>
        </w:rPr>
        <w:t xml:space="preserve">Source: Department of Education and Training </w:t>
      </w:r>
      <w:r w:rsidRPr="003360B5">
        <w:rPr>
          <w:rFonts w:eastAsiaTheme="minorHAnsi"/>
        </w:rPr>
        <w:fldChar w:fldCharType="begin"/>
      </w:r>
      <w:r w:rsidRPr="003360B5">
        <w:instrText xml:space="preserve"> XE "Department of Education and Training:Early Childhood Development" \r "DET_EarlyChildDevelop" </w:instrText>
      </w:r>
      <w:r w:rsidRPr="003360B5">
        <w:rPr>
          <w:rFonts w:eastAsiaTheme="minorHAnsi"/>
        </w:rPr>
        <w:fldChar w:fldCharType="end"/>
      </w:r>
      <w:r>
        <w:rPr>
          <w:rFonts w:eastAsiaTheme="minorHAnsi"/>
        </w:rPr>
        <w:t xml:space="preserve"> </w:t>
      </w:r>
      <w:r w:rsidRPr="003360B5">
        <w:rPr>
          <w:rFonts w:eastAsiaTheme="minorHAnsi"/>
        </w:rPr>
        <w:fldChar w:fldCharType="begin"/>
      </w:r>
      <w:r w:rsidRPr="003360B5">
        <w:instrText xml:space="preserve"> XE "Education:Early Childhood Development" \r "DET_EarlyChildDevelop" </w:instrText>
      </w:r>
      <w:r w:rsidRPr="003360B5">
        <w:rPr>
          <w:rFonts w:eastAsiaTheme="minorHAnsi"/>
        </w:rPr>
        <w:fldChar w:fldCharType="end"/>
      </w:r>
    </w:p>
    <w:bookmarkEnd w:id="61"/>
    <w:p w:rsidR="00E25CC6" w:rsidRPr="003360B5" w:rsidRDefault="00E25CC6" w:rsidP="00562AB7">
      <w:r w:rsidRPr="003360B5">
        <w:br w:type="page"/>
      </w:r>
    </w:p>
    <w:p w:rsidR="00E25CC6" w:rsidRPr="003360B5" w:rsidRDefault="00E25CC6" w:rsidP="00562AB7">
      <w:pPr>
        <w:pStyle w:val="OGHeading1"/>
      </w:pPr>
      <w:r w:rsidRPr="003360B5">
        <w:t>School education</w:t>
      </w:r>
    </w:p>
    <w:p w:rsidR="00E25CC6" w:rsidRPr="003360B5" w:rsidRDefault="00E25CC6" w:rsidP="00562AB7">
      <w:pPr>
        <w:pStyle w:val="OGText"/>
      </w:pPr>
      <w:bookmarkStart w:id="62" w:name="DET_SchoolEduc"/>
      <w:r w:rsidRPr="003360B5">
        <w:t>The school education output group consists of two outputs. The School Education – Primary output provides services to develop essential skills and learning experiences to engage young minds in the primary sector. The School Education – Secondary output delivers services to consolidate students</w:t>
      </w:r>
      <w:r>
        <w:t>’</w:t>
      </w:r>
      <w:r w:rsidRPr="003360B5">
        <w:t xml:space="preserve"> literacy, numeracy and creative and critical thinking skills, and to support their physical, social, emotional and intellectual development in adolescence. It also provides education services and support for varied pathways to further education, training and employment. This output group contributes towards providing and improving services to support all the Department</w:t>
      </w:r>
      <w:r>
        <w:t>’</w:t>
      </w:r>
      <w:r w:rsidRPr="003360B5">
        <w:t>s objectives of achievement, engagement, wellbeing and productivity.</w:t>
      </w:r>
    </w:p>
    <w:tbl>
      <w:tblPr>
        <w:tblW w:w="7767" w:type="dxa"/>
        <w:tblInd w:w="45" w:type="dxa"/>
        <w:tblLayout w:type="fixed"/>
        <w:tblCellMar>
          <w:left w:w="45" w:type="dxa"/>
          <w:right w:w="45" w:type="dxa"/>
        </w:tblCellMar>
        <w:tblLook w:val="0000" w:firstRow="0" w:lastRow="0" w:firstColumn="0" w:lastColumn="0" w:noHBand="0" w:noVBand="0"/>
      </w:tblPr>
      <w:tblGrid>
        <w:gridCol w:w="3145"/>
        <w:gridCol w:w="907"/>
        <w:gridCol w:w="907"/>
        <w:gridCol w:w="993"/>
        <w:gridCol w:w="907"/>
        <w:gridCol w:w="908"/>
      </w:tblGrid>
      <w:tr w:rsidR="00E25CC6" w:rsidRPr="003360B5" w:rsidTr="00B06FBA">
        <w:trPr>
          <w:cantSplit/>
          <w:tblHeader/>
        </w:trPr>
        <w:tc>
          <w:tcPr>
            <w:tcW w:w="3145"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b/>
                <w:bCs/>
                <w:sz w:val="19"/>
                <w:szCs w:val="22"/>
                <w:lang w:eastAsia="en-AU"/>
              </w:rPr>
              <w:t>Major outputs/deliverables</w:t>
            </w:r>
          </w:p>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center"/>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2016</w:t>
            </w:r>
            <w:r w:rsidRPr="003360B5">
              <w:rPr>
                <w:rFonts w:ascii="Calibri" w:eastAsiaTheme="minorEastAsia" w:hAnsi="Calibri" w:cs="Calibri"/>
                <w:i/>
                <w:iCs/>
                <w:sz w:val="19"/>
                <w:szCs w:val="22"/>
                <w:lang w:eastAsia="en-AU"/>
              </w:rPr>
              <w:noBreakHyphen/>
              <w:t>17 target</w:t>
            </w:r>
          </w:p>
        </w:tc>
        <w:tc>
          <w:tcPr>
            <w:tcW w:w="993"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2014</w:t>
            </w:r>
            <w:r w:rsidRPr="003360B5">
              <w:rPr>
                <w:rFonts w:ascii="Calibri" w:eastAsiaTheme="minorEastAsia" w:hAnsi="Calibri" w:cs="Calibri"/>
                <w:i/>
                <w:iCs/>
                <w:sz w:val="19"/>
                <w:szCs w:val="22"/>
                <w:lang w:eastAsia="en-AU"/>
              </w:rPr>
              <w:noBreakHyphen/>
              <w:t>15 actual</w:t>
            </w:r>
          </w:p>
        </w:tc>
      </w:tr>
      <w:tr w:rsidR="00E25CC6" w:rsidRPr="003360B5" w:rsidTr="00E447C6">
        <w:trPr>
          <w:cantSplit/>
        </w:trPr>
        <w:tc>
          <w:tcPr>
            <w:tcW w:w="7767" w:type="dxa"/>
            <w:gridSpan w:val="6"/>
            <w:tcBorders>
              <w:top w:val="single" w:sz="6" w:space="0" w:color="auto"/>
              <w:left w:val="nil"/>
              <w:bottom w:val="nil"/>
              <w:right w:val="nil"/>
            </w:tcBorders>
          </w:tcPr>
          <w:p w:rsidR="00E25CC6" w:rsidRPr="003360B5" w:rsidRDefault="00E25CC6" w:rsidP="00E447C6">
            <w:pPr>
              <w:pStyle w:val="OGHeading2"/>
              <w:rPr>
                <w:rFonts w:eastAsiaTheme="minorEastAsia"/>
                <w:lang w:eastAsia="en-AU"/>
              </w:rPr>
            </w:pPr>
            <w:r w:rsidRPr="003360B5">
              <w:rPr>
                <w:rFonts w:eastAsiaTheme="minorEastAsia"/>
                <w:lang w:eastAsia="en-AU"/>
              </w:rPr>
              <w:t>School Education – Primary</w:t>
            </w:r>
          </w:p>
        </w:tc>
      </w:tr>
      <w:tr w:rsidR="00E25CC6" w:rsidRPr="003360B5" w:rsidTr="00B06FBA">
        <w:trPr>
          <w:cantSplit/>
        </w:trPr>
        <w:tc>
          <w:tcPr>
            <w:tcW w:w="7767" w:type="dxa"/>
            <w:gridSpan w:val="6"/>
            <w:tcBorders>
              <w:top w:val="nil"/>
              <w:left w:val="nil"/>
              <w:bottom w:val="single" w:sz="6" w:space="0" w:color="auto"/>
              <w:right w:val="nil"/>
            </w:tcBorders>
          </w:tcPr>
          <w:p w:rsidR="00E25CC6" w:rsidRPr="003360B5" w:rsidRDefault="00E25CC6" w:rsidP="00B06FBA">
            <w:pPr>
              <w:pStyle w:val="OGText"/>
              <w:rPr>
                <w:rFonts w:eastAsiaTheme="minorEastAsia"/>
                <w:lang w:eastAsia="en-AU"/>
              </w:rPr>
            </w:pPr>
            <w:r w:rsidRPr="003360B5">
              <w:rPr>
                <w:rFonts w:eastAsiaTheme="minorEastAsia"/>
                <w:lang w:eastAsia="en-AU"/>
              </w:rPr>
              <w:t>This output provides education and other associated services designed to improve the quality of learning of students in Prep to Year 6 in government and non</w:t>
            </w:r>
            <w:r w:rsidRPr="003360B5">
              <w:rPr>
                <w:rFonts w:eastAsiaTheme="minorEastAsia"/>
                <w:lang w:eastAsia="en-AU"/>
              </w:rPr>
              <w:noBreakHyphen/>
              <w:t>government schools.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Quantity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Average days lost due to absence at Year 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14.1</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14.4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14.1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 xml:space="preserve">This performance measure relates to the calendar year. This performance measure refers to government schools only. Average days lost cover all student absences, including those due to illness, approved family holidays and unapproved absences. A lower figure is more desirable, as it indicates that students are having fewer days away from school.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figure reflects data extracted at 22 February 2016.</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Average days lost due to absence at Year 6</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14.5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15.1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14.5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 xml:space="preserve">This performance measure relates to the calendar year. This performance measure refers to government schools only. Average days lost cover all student absences, including those due to illness, approved family holidays and unapproved absences. A lower figure is more desirable, as it indicates that students are having fewer days away from school.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figure reflects data extracted at 22 February 2016.</w:t>
            </w:r>
          </w:p>
        </w:tc>
      </w:tr>
      <w:tr w:rsidR="00E25CC6" w:rsidRPr="003360B5" w:rsidTr="008E312F">
        <w:trPr>
          <w:cantSplit/>
        </w:trPr>
        <w:tc>
          <w:tcPr>
            <w:tcW w:w="3145" w:type="dxa"/>
            <w:tcBorders>
              <w:top w:val="single" w:sz="6" w:space="0" w:color="auto"/>
              <w:left w:val="nil"/>
              <w:right w:val="nil"/>
            </w:tcBorders>
          </w:tcPr>
          <w:p w:rsidR="00E25CC6" w:rsidRPr="003360B5" w:rsidRDefault="00E25CC6" w:rsidP="008E312F">
            <w:pPr>
              <w:pStyle w:val="OGTabText"/>
              <w:rPr>
                <w:rFonts w:eastAsiaTheme="minorEastAsia"/>
                <w:lang w:eastAsia="en-AU"/>
              </w:rPr>
            </w:pPr>
            <w:r w:rsidRPr="003360B5">
              <w:rPr>
                <w:rFonts w:eastAsiaTheme="minorEastAsia"/>
                <w:lang w:eastAsia="en-AU"/>
              </w:rPr>
              <w:t>Investment in non</w:t>
            </w:r>
            <w:r w:rsidRPr="003360B5">
              <w:rPr>
                <w:rFonts w:eastAsiaTheme="minorEastAsia"/>
                <w:lang w:eastAsia="en-AU"/>
              </w:rPr>
              <w:noBreakHyphen/>
              <w:t>government schools (primary)</w:t>
            </w:r>
          </w:p>
        </w:tc>
        <w:tc>
          <w:tcPr>
            <w:tcW w:w="907" w:type="dxa"/>
            <w:tcBorders>
              <w:top w:val="single" w:sz="6" w:space="0" w:color="auto"/>
              <w:left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single" w:sz="6" w:space="0" w:color="auto"/>
              <w:left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370.7</w:t>
            </w:r>
          </w:p>
        </w:tc>
        <w:tc>
          <w:tcPr>
            <w:tcW w:w="993" w:type="dxa"/>
            <w:tcBorders>
              <w:top w:val="single" w:sz="6" w:space="0" w:color="auto"/>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347.4</w:t>
            </w:r>
          </w:p>
        </w:tc>
        <w:tc>
          <w:tcPr>
            <w:tcW w:w="907" w:type="dxa"/>
            <w:tcBorders>
              <w:top w:val="single" w:sz="6" w:space="0" w:color="auto"/>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346.5</w:t>
            </w:r>
          </w:p>
        </w:tc>
        <w:tc>
          <w:tcPr>
            <w:tcW w:w="908" w:type="dxa"/>
            <w:tcBorders>
              <w:top w:val="single" w:sz="6" w:space="0" w:color="auto"/>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326.1</w:t>
            </w:r>
          </w:p>
        </w:tc>
      </w:tr>
      <w:tr w:rsidR="00E25CC6" w:rsidRPr="003360B5" w:rsidTr="001B549A">
        <w:trPr>
          <w:cantSplit/>
        </w:trPr>
        <w:tc>
          <w:tcPr>
            <w:tcW w:w="7767" w:type="dxa"/>
            <w:gridSpan w:val="6"/>
            <w:tcBorders>
              <w:left w:val="nil"/>
              <w:bottom w:val="single" w:sz="6" w:space="0" w:color="auto"/>
              <w:right w:val="nil"/>
            </w:tcBorders>
          </w:tcPr>
          <w:p w:rsidR="00E25CC6" w:rsidRPr="003360B5" w:rsidRDefault="00E25CC6" w:rsidP="008E3D26">
            <w:pPr>
              <w:pStyle w:val="OGNotes"/>
              <w:rPr>
                <w:rFonts w:eastAsiaTheme="minorEastAsia"/>
              </w:rPr>
            </w:pPr>
            <w:r w:rsidRPr="003360B5">
              <w:rPr>
                <w:rFonts w:eastAsiaTheme="minorEastAsia"/>
              </w:rPr>
              <w:t>The higher 2016</w:t>
            </w:r>
            <w:r w:rsidRPr="003360B5">
              <w:rPr>
                <w:rFonts w:eastAsiaTheme="minorEastAsia"/>
              </w:rPr>
              <w:noBreakHyphen/>
              <w:t>17 target primarily reflects indexation and carry forward from 2015</w:t>
            </w:r>
            <w:r w:rsidRPr="003360B5">
              <w:rPr>
                <w:rFonts w:eastAsiaTheme="minorEastAsia"/>
              </w:rPr>
              <w:noBreakHyphen/>
              <w:t>16.</w:t>
            </w:r>
          </w:p>
        </w:tc>
      </w:tr>
      <w:tr w:rsidR="00E25CC6" w:rsidRPr="003360B5" w:rsidTr="00E447C6">
        <w:trPr>
          <w:cantSplit/>
        </w:trPr>
        <w:tc>
          <w:tcPr>
            <w:tcW w:w="3145" w:type="dxa"/>
            <w:tcBorders>
              <w:top w:val="nil"/>
              <w:left w:val="nil"/>
              <w:bottom w:val="nil"/>
              <w:right w:val="nil"/>
            </w:tcBorders>
          </w:tcPr>
          <w:p w:rsidR="00E25CC6" w:rsidRPr="003360B5" w:rsidRDefault="00E25CC6" w:rsidP="002400CB">
            <w:pPr>
              <w:pStyle w:val="OGTabText"/>
              <w:rPr>
                <w:rFonts w:eastAsiaTheme="minorEastAsia"/>
                <w:lang w:eastAsia="en-AU"/>
              </w:rPr>
            </w:pPr>
            <w:r w:rsidRPr="003360B5">
              <w:rPr>
                <w:rFonts w:eastAsiaTheme="minorEastAsia"/>
                <w:lang w:eastAsia="en-AU"/>
              </w:rPr>
              <w:t>Percentage of government primary school students receiving equity funding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28</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7103E9">
            <w:pPr>
              <w:pStyle w:val="OGNotes"/>
              <w:rPr>
                <w:rFonts w:eastAsiaTheme="minorEastAsia"/>
              </w:rPr>
            </w:pPr>
            <w:r w:rsidRPr="003360B5">
              <w:rPr>
                <w:rFonts w:eastAsiaTheme="minorEastAsia"/>
              </w:rPr>
              <w:t>New performance measure for 2016</w:t>
            </w:r>
            <w:r w:rsidRPr="003360B5">
              <w:rPr>
                <w:rFonts w:eastAsiaTheme="minorEastAsia"/>
              </w:rPr>
              <w:noBreakHyphen/>
              <w:t>17 to reflect Government</w:t>
            </w:r>
            <w:r>
              <w:rPr>
                <w:rFonts w:eastAsiaTheme="minorEastAsia"/>
              </w:rPr>
              <w:t>’</w:t>
            </w:r>
            <w:r w:rsidRPr="003360B5">
              <w:rPr>
                <w:rFonts w:eastAsiaTheme="minorEastAsia"/>
              </w:rPr>
              <w:t xml:space="preserve">s priorities regarding the Education State. This performance measure relates to the calendar year. This performance measure refers to government schools only. </w:t>
            </w:r>
          </w:p>
        </w:tc>
      </w:tr>
      <w:tr w:rsidR="00E25CC6" w:rsidRPr="003360B5" w:rsidTr="00E447C6">
        <w:trPr>
          <w:cantSplit/>
        </w:trPr>
        <w:tc>
          <w:tcPr>
            <w:tcW w:w="3145" w:type="dxa"/>
            <w:tcBorders>
              <w:top w:val="nil"/>
              <w:left w:val="nil"/>
              <w:bottom w:val="nil"/>
              <w:right w:val="nil"/>
            </w:tcBorders>
          </w:tcPr>
          <w:p w:rsidR="00E25CC6" w:rsidRPr="003360B5" w:rsidRDefault="00E25CC6" w:rsidP="00656BCC">
            <w:pPr>
              <w:pStyle w:val="OGTabText"/>
              <w:keepNext/>
              <w:rPr>
                <w:rFonts w:eastAsiaTheme="minorEastAsia"/>
                <w:lang w:eastAsia="en-AU"/>
              </w:rPr>
            </w:pPr>
            <w:r w:rsidRPr="003360B5">
              <w:rPr>
                <w:rFonts w:eastAsiaTheme="minorEastAsia"/>
                <w:lang w:eastAsia="en-AU"/>
              </w:rPr>
              <w:t>Number of teachers completed professional development as Mathematics and Science Specialists</w:t>
            </w:r>
          </w:p>
        </w:tc>
        <w:tc>
          <w:tcPr>
            <w:tcW w:w="907" w:type="dxa"/>
            <w:tcBorders>
              <w:top w:val="nil"/>
              <w:left w:val="nil"/>
              <w:bottom w:val="nil"/>
              <w:right w:val="nil"/>
            </w:tcBorders>
          </w:tcPr>
          <w:p w:rsidR="00E25CC6" w:rsidRPr="003360B5" w:rsidRDefault="00E25CC6" w:rsidP="00656BCC">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100</w:t>
            </w:r>
          </w:p>
        </w:tc>
        <w:tc>
          <w:tcPr>
            <w:tcW w:w="993" w:type="dxa"/>
            <w:tcBorders>
              <w:top w:val="nil"/>
              <w:left w:val="nil"/>
              <w:bottom w:val="nil"/>
              <w:right w:val="nil"/>
            </w:tcBorders>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New performance measure for 2016</w:t>
            </w:r>
            <w:r w:rsidRPr="003360B5">
              <w:rPr>
                <w:rFonts w:eastAsiaTheme="minorEastAsia"/>
              </w:rPr>
              <w:noBreakHyphen/>
              <w:t>17 to reflect Government</w:t>
            </w:r>
            <w:r>
              <w:rPr>
                <w:rFonts w:eastAsiaTheme="minorEastAsia"/>
              </w:rPr>
              <w:t>’</w:t>
            </w:r>
            <w:r w:rsidRPr="003360B5">
              <w:rPr>
                <w:rFonts w:eastAsiaTheme="minorEastAsia"/>
              </w:rPr>
              <w:t>s priorities regarding the Education State. This performance measure relates to the calendar year. This performance measure refers to government schools only.</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Number of Assistant Principals participating in leadership development programs, including the Aspiring Principals Program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470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350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Number of Assistant Principals participating in leadership development programs</w:t>
            </w:r>
            <w:r>
              <w:rPr>
                <w:rFonts w:eastAsiaTheme="minorEastAsia"/>
              </w:rPr>
              <w:t>’</w:t>
            </w:r>
            <w:r w:rsidRPr="003360B5">
              <w:rPr>
                <w:rFonts w:eastAsiaTheme="minorEastAsia"/>
              </w:rPr>
              <w:t xml:space="preserve">. The new measure reports on the same activity as the previous measure, however has been amended to include activities related to the </w:t>
            </w:r>
            <w:r>
              <w:rPr>
                <w:rFonts w:eastAsiaTheme="minorEastAsia"/>
              </w:rPr>
              <w:t>‘</w:t>
            </w:r>
            <w:r w:rsidRPr="003360B5">
              <w:rPr>
                <w:rFonts w:eastAsiaTheme="minorEastAsia"/>
              </w:rPr>
              <w:t>Building the Skills of Tomorrow</w:t>
            </w:r>
            <w:r>
              <w:rPr>
                <w:rFonts w:eastAsiaTheme="minorEastAsia"/>
              </w:rPr>
              <w:t>’</w:t>
            </w:r>
            <w:r w:rsidRPr="003360B5">
              <w:rPr>
                <w:rFonts w:eastAsiaTheme="minorEastAsia"/>
              </w:rPr>
              <w:t>s School Leaders</w:t>
            </w:r>
            <w:r>
              <w:rPr>
                <w:rFonts w:eastAsiaTheme="minorEastAsia"/>
              </w:rPr>
              <w:t>’</w:t>
            </w:r>
            <w:r w:rsidRPr="003360B5">
              <w:rPr>
                <w:rFonts w:eastAsiaTheme="minorEastAsia"/>
              </w:rPr>
              <w:t xml:space="preserve"> Education State initiative. </w:t>
            </w:r>
          </w:p>
          <w:p w:rsidR="00E25CC6" w:rsidRPr="003360B5" w:rsidRDefault="00E25CC6" w:rsidP="00E447C6">
            <w:pPr>
              <w:pStyle w:val="OGNotes"/>
              <w:rPr>
                <w:rFonts w:eastAsiaTheme="minorEastAsia"/>
              </w:rPr>
            </w:pPr>
            <w:r w:rsidRPr="003360B5">
              <w:rPr>
                <w:rFonts w:eastAsiaTheme="minorEastAsia"/>
              </w:rPr>
              <w:t xml:space="preserve">This performance measure relates to the calendar year. This performance measure refers to government schools only.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increase in the number of professional practice workshops to be provided. The 2015</w:t>
            </w:r>
            <w:r w:rsidRPr="003360B5">
              <w:rPr>
                <w:rFonts w:eastAsiaTheme="minorEastAsia"/>
              </w:rPr>
              <w:noBreakHyphen/>
              <w:t>16 expected outcome is higher than the 2015</w:t>
            </w:r>
            <w:r w:rsidRPr="003360B5">
              <w:rPr>
                <w:rFonts w:eastAsiaTheme="minorEastAsia"/>
              </w:rPr>
              <w:noBreakHyphen/>
              <w:t xml:space="preserve">16 target due to increased provision of professional development programs through the Bastow Institute of Educational Leadership, including rural and regional programs. </w:t>
            </w:r>
          </w:p>
        </w:tc>
      </w:tr>
      <w:tr w:rsidR="00E25CC6" w:rsidRPr="003360B5" w:rsidTr="00E447C6">
        <w:trPr>
          <w:cantSplit/>
        </w:trPr>
        <w:tc>
          <w:tcPr>
            <w:tcW w:w="3145" w:type="dxa"/>
            <w:tcBorders>
              <w:top w:val="nil"/>
              <w:left w:val="nil"/>
              <w:bottom w:val="nil"/>
              <w:right w:val="nil"/>
            </w:tcBorders>
          </w:tcPr>
          <w:p w:rsidR="00E25CC6" w:rsidRPr="003360B5" w:rsidRDefault="00E25CC6" w:rsidP="00C76FF8">
            <w:pPr>
              <w:pStyle w:val="OGTabText"/>
              <w:rPr>
                <w:rFonts w:eastAsiaTheme="minorEastAsia"/>
                <w:lang w:eastAsia="en-AU"/>
              </w:rPr>
            </w:pPr>
            <w:r w:rsidRPr="003360B5">
              <w:rPr>
                <w:rFonts w:eastAsiaTheme="minorEastAsia"/>
                <w:lang w:eastAsia="en-AU"/>
              </w:rPr>
              <w:t>Number of Principals participating in statewide, centrally funded leadership development programs, including the Expert Leaders of Education Program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730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609</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650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728</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Number of Principals participating in statewide, centrally funded leadership development programs</w:t>
            </w:r>
            <w:r>
              <w:rPr>
                <w:rFonts w:eastAsiaTheme="minorEastAsia"/>
              </w:rPr>
              <w:t>’</w:t>
            </w:r>
            <w:r w:rsidRPr="003360B5">
              <w:rPr>
                <w:rFonts w:eastAsiaTheme="minorEastAsia"/>
              </w:rPr>
              <w:t xml:space="preserve">. The new measure reports on the same activity as the previous measure, however has been amended to include activities related to the </w:t>
            </w:r>
            <w:r>
              <w:rPr>
                <w:rFonts w:eastAsiaTheme="minorEastAsia"/>
              </w:rPr>
              <w:t>‘</w:t>
            </w:r>
            <w:r w:rsidRPr="003360B5">
              <w:rPr>
                <w:rFonts w:eastAsiaTheme="minorEastAsia"/>
              </w:rPr>
              <w:t>Building the Skills of Tomorrow</w:t>
            </w:r>
            <w:r>
              <w:rPr>
                <w:rFonts w:eastAsiaTheme="minorEastAsia"/>
              </w:rPr>
              <w:t>’</w:t>
            </w:r>
            <w:r w:rsidRPr="003360B5">
              <w:rPr>
                <w:rFonts w:eastAsiaTheme="minorEastAsia"/>
              </w:rPr>
              <w:t>s School Leaders</w:t>
            </w:r>
            <w:r>
              <w:rPr>
                <w:rFonts w:eastAsiaTheme="minorEastAsia"/>
              </w:rPr>
              <w:t>’</w:t>
            </w:r>
            <w:r w:rsidRPr="003360B5">
              <w:rPr>
                <w:rFonts w:eastAsiaTheme="minorEastAsia"/>
              </w:rPr>
              <w:t xml:space="preserve"> Education State initiative.</w:t>
            </w:r>
          </w:p>
          <w:p w:rsidR="00E25CC6" w:rsidRPr="003360B5" w:rsidRDefault="00E25CC6" w:rsidP="006F51B7">
            <w:pPr>
              <w:pStyle w:val="OGNotes"/>
              <w:rPr>
                <w:rFonts w:eastAsiaTheme="minorEastAsia"/>
              </w:rPr>
            </w:pPr>
            <w:r w:rsidRPr="003360B5">
              <w:rPr>
                <w:rFonts w:eastAsiaTheme="minorEastAsia"/>
              </w:rPr>
              <w:t xml:space="preserve">This performance measure relates to the calendar year. This performance measure refers to government schools only. </w:t>
            </w:r>
          </w:p>
          <w:p w:rsidR="00E25CC6" w:rsidRPr="003360B5" w:rsidRDefault="00E25CC6" w:rsidP="007078BE">
            <w:pPr>
              <w:pStyle w:val="OGNotes"/>
              <w:rPr>
                <w:rFonts w:eastAsiaTheme="minorEastAsia"/>
              </w:rPr>
            </w:pPr>
            <w:r w:rsidRPr="003360B5">
              <w:rPr>
                <w:rFonts w:eastAsiaTheme="minorEastAsia"/>
              </w:rPr>
              <w:t>The higher 2016</w:t>
            </w:r>
            <w:r w:rsidRPr="003360B5">
              <w:rPr>
                <w:rFonts w:eastAsiaTheme="minorEastAsia"/>
              </w:rPr>
              <w:noBreakHyphen/>
              <w:t>17 target reflects increased service provision associated with Government</w:t>
            </w:r>
            <w:r>
              <w:rPr>
                <w:rFonts w:eastAsiaTheme="minorEastAsia"/>
              </w:rPr>
              <w:t>’</w:t>
            </w:r>
            <w:r w:rsidRPr="003360B5">
              <w:rPr>
                <w:rFonts w:eastAsiaTheme="minorEastAsia"/>
              </w:rPr>
              <w:t>s priorities regarding the Education State. The 2015</w:t>
            </w:r>
            <w:r w:rsidRPr="003360B5">
              <w:rPr>
                <w:rFonts w:eastAsiaTheme="minorEastAsia"/>
              </w:rPr>
              <w:noBreakHyphen/>
              <w:t>16 expected outcome is lower than the 2015</w:t>
            </w:r>
            <w:r w:rsidRPr="003360B5">
              <w:rPr>
                <w:rFonts w:eastAsiaTheme="minorEastAsia"/>
              </w:rPr>
              <w:noBreakHyphen/>
              <w:t>16 target due to a principal program not proceeding within 2015</w:t>
            </w:r>
            <w:r w:rsidRPr="003360B5">
              <w:rPr>
                <w:rFonts w:eastAsiaTheme="minorEastAsia"/>
              </w:rPr>
              <w:noBreakHyphen/>
              <w:t>16 as a result of sequencing of the training schedule.</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Number of school staff who are not Principals or Assistant Principals participating in leadership development programs, including the Aspiring Principals Program and the Local Leaders Program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1 950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1 870</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1 000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Number of school staff who are not Principals or Assistant Principals participating in leadership development programs</w:t>
            </w:r>
            <w:r>
              <w:rPr>
                <w:rFonts w:eastAsiaTheme="minorEastAsia"/>
              </w:rPr>
              <w:t>’</w:t>
            </w:r>
            <w:r w:rsidRPr="003360B5">
              <w:rPr>
                <w:rFonts w:eastAsiaTheme="minorEastAsia"/>
              </w:rPr>
              <w:t xml:space="preserve">. The new measure reports on the same activity as the previous measure, however has been amended to include activities related to the </w:t>
            </w:r>
            <w:r>
              <w:rPr>
                <w:rFonts w:eastAsiaTheme="minorEastAsia"/>
              </w:rPr>
              <w:t>‘</w:t>
            </w:r>
            <w:r w:rsidRPr="003360B5">
              <w:rPr>
                <w:rFonts w:eastAsiaTheme="minorEastAsia"/>
              </w:rPr>
              <w:t>Building the Skills of Tomorrow</w:t>
            </w:r>
            <w:r>
              <w:rPr>
                <w:rFonts w:eastAsiaTheme="minorEastAsia"/>
              </w:rPr>
              <w:t>’</w:t>
            </w:r>
            <w:r w:rsidRPr="003360B5">
              <w:rPr>
                <w:rFonts w:eastAsiaTheme="minorEastAsia"/>
              </w:rPr>
              <w:t>s School Leaders</w:t>
            </w:r>
            <w:r>
              <w:rPr>
                <w:rFonts w:eastAsiaTheme="minorEastAsia"/>
              </w:rPr>
              <w:t>’</w:t>
            </w:r>
            <w:r w:rsidRPr="003360B5">
              <w:rPr>
                <w:rFonts w:eastAsiaTheme="minorEastAsia"/>
              </w:rPr>
              <w:t xml:space="preserve"> Education State initiative. </w:t>
            </w:r>
          </w:p>
          <w:p w:rsidR="00E25CC6" w:rsidRPr="003360B5" w:rsidRDefault="00E25CC6" w:rsidP="00E447C6">
            <w:pPr>
              <w:pStyle w:val="OGNotes"/>
              <w:rPr>
                <w:rFonts w:eastAsiaTheme="minorEastAsia"/>
              </w:rPr>
            </w:pPr>
            <w:r w:rsidRPr="003360B5">
              <w:rPr>
                <w:rFonts w:eastAsiaTheme="minorEastAsia"/>
              </w:rPr>
              <w:t xml:space="preserve">This performance measure relates to the calendar year. This performance measure refers to government schools only. This performance measure includes all school staff (teaching and education support).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increase in the number of professional practice workshops to be provided. The 2015</w:t>
            </w:r>
            <w:r w:rsidRPr="003360B5">
              <w:rPr>
                <w:rFonts w:eastAsiaTheme="minorEastAsia"/>
              </w:rPr>
              <w:noBreakHyphen/>
              <w:t>16 expected outcome is higher than the 2015</w:t>
            </w:r>
            <w:r w:rsidRPr="003360B5">
              <w:rPr>
                <w:rFonts w:eastAsiaTheme="minorEastAsia"/>
              </w:rPr>
              <w:noBreakHyphen/>
              <w:t>16 target due to increased provision of professional development programs through the Bastow Institute of Educational Leadership, including rural and regional programs.</w:t>
            </w:r>
          </w:p>
        </w:tc>
      </w:tr>
      <w:tr w:rsidR="00E25CC6" w:rsidRPr="003360B5" w:rsidTr="00E447C6">
        <w:trPr>
          <w:cantSplit/>
        </w:trPr>
        <w:tc>
          <w:tcPr>
            <w:tcW w:w="3145" w:type="dxa"/>
            <w:tcBorders>
              <w:top w:val="nil"/>
              <w:left w:val="nil"/>
              <w:bottom w:val="nil"/>
              <w:right w:val="nil"/>
            </w:tcBorders>
          </w:tcPr>
          <w:p w:rsidR="00E25CC6" w:rsidRPr="003360B5" w:rsidRDefault="00E25CC6" w:rsidP="00656BCC">
            <w:pPr>
              <w:keepNext/>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360B5" w:rsidRDefault="00E25CC6" w:rsidP="00656BCC">
            <w:pPr>
              <w:keepNext/>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656BCC">
            <w:pPr>
              <w:keepNext/>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656BCC">
            <w:pPr>
              <w:keepNext/>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656BCC">
            <w:pPr>
              <w:keepNext/>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656BCC">
            <w:pPr>
              <w:keepNext/>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Parent satisfaction with primary schooling on a 100</w:t>
            </w:r>
            <w:r w:rsidRPr="003360B5">
              <w:rPr>
                <w:rFonts w:eastAsiaTheme="minorEastAsia"/>
                <w:lang w:eastAsia="en-AU"/>
              </w:rPr>
              <w:noBreakHyphen/>
              <w:t xml:space="preserve">point scale </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100</w:t>
            </w:r>
            <w:r w:rsidRPr="003360B5">
              <w:rPr>
                <w:rFonts w:ascii="Calibri" w:eastAsiaTheme="minorEastAsia" w:hAnsi="Calibri" w:cs="Calibri"/>
                <w:sz w:val="19"/>
                <w:szCs w:val="22"/>
                <w:lang w:eastAsia="en-AU"/>
              </w:rPr>
              <w:noBreakHyphen/>
              <w:t>point scale</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83</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83</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83</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83</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 xml:space="preserve">This performance measure relates to the calendar year. This performance measure refers to government schools only. Data is drawn from the Parent Opinion Survey, where a higher score represents a higher level of satisfaction. </w:t>
            </w:r>
          </w:p>
          <w:p w:rsidR="00E25CC6" w:rsidRPr="003360B5" w:rsidRDefault="00E25CC6" w:rsidP="007078BE">
            <w:pPr>
              <w:pStyle w:val="OGNotes"/>
              <w:rPr>
                <w:rFonts w:eastAsiaTheme="minorEastAsia"/>
              </w:rPr>
            </w:pPr>
            <w:r w:rsidRPr="003360B5">
              <w:rPr>
                <w:rFonts w:eastAsiaTheme="minorEastAsia"/>
              </w:rPr>
              <w:t>The 2016</w:t>
            </w:r>
            <w:r w:rsidRPr="003360B5">
              <w:rPr>
                <w:rFonts w:eastAsiaTheme="minorEastAsia"/>
              </w:rPr>
              <w:noBreakHyphen/>
              <w:t>17 target has been set as the average of the actual data across the last three years.</w:t>
            </w:r>
          </w:p>
        </w:tc>
      </w:tr>
      <w:tr w:rsidR="00E25CC6" w:rsidRPr="003360B5" w:rsidTr="00E447C6">
        <w:trPr>
          <w:cantSplit/>
        </w:trPr>
        <w:tc>
          <w:tcPr>
            <w:tcW w:w="3145" w:type="dxa"/>
            <w:tcBorders>
              <w:top w:val="nil"/>
              <w:left w:val="nil"/>
              <w:bottom w:val="nil"/>
              <w:right w:val="nil"/>
            </w:tcBorders>
          </w:tcPr>
          <w:p w:rsidR="00E25CC6" w:rsidRPr="003360B5" w:rsidRDefault="00E25CC6" w:rsidP="00B06FBA">
            <w:pPr>
              <w:pStyle w:val="OGTabText"/>
              <w:rPr>
                <w:rFonts w:eastAsiaTheme="minorEastAsia"/>
                <w:lang w:eastAsia="en-AU"/>
              </w:rPr>
            </w:pPr>
            <w:r w:rsidRPr="003360B5">
              <w:rPr>
                <w:rFonts w:eastAsiaTheme="minorEastAsia"/>
                <w:lang w:eastAsia="en-AU"/>
              </w:rPr>
              <w:t>Percentage of Aboriginal students above the bottom three bands for numeracy in Year 3 (National Assessment Program Literacy and Numeracy –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43.9</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38.1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43.9</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numeracy in Year 3 (National Assessment Program Literacy and Numeracy – NAPLAN testing)</w:t>
            </w:r>
            <w:r>
              <w:rPr>
                <w:rFonts w:eastAsiaTheme="minorEastAsia"/>
              </w:rPr>
              <w:t>’</w:t>
            </w:r>
            <w:r w:rsidRPr="003360B5">
              <w:rPr>
                <w:rFonts w:eastAsiaTheme="minorEastAsia"/>
              </w:rPr>
              <w:t xml:space="preserve">. The new measure reports on the same activity as the previous measure, however has been amended to be culturally specific and appropriate. </w:t>
            </w:r>
          </w:p>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3.34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target was informed by the Council of Australian Governments Close the Gap target to halve the gap in reading, writing, and numeracy between Aboriginal and non</w:t>
            </w:r>
            <w:r w:rsidRPr="003360B5">
              <w:rPr>
                <w:rFonts w:eastAsiaTheme="minorEastAsia"/>
              </w:rPr>
              <w:noBreakHyphen/>
              <w:t>Aboriginal students by 2018. The 2015</w:t>
            </w:r>
            <w:r w:rsidRPr="003360B5">
              <w:rPr>
                <w:rFonts w:eastAsiaTheme="minorEastAsia"/>
              </w:rPr>
              <w:noBreakHyphen/>
              <w:t>16 target was calculated to halve the gap over four years in the percentage of Aboriginal students achieving above the bottom three NAPLAN bands. Annual cohort variation and variation in the impact of program supports mean that the 2015</w:t>
            </w:r>
            <w:r w:rsidRPr="003360B5">
              <w:rPr>
                <w:rFonts w:eastAsiaTheme="minorEastAsia"/>
              </w:rPr>
              <w:noBreakHyphen/>
              <w:t>16 expected outcome is lower than the 2015</w:t>
            </w:r>
            <w:r w:rsidRPr="003360B5">
              <w:rPr>
                <w:rFonts w:eastAsiaTheme="minorEastAsia"/>
              </w:rPr>
              <w:noBreakHyphen/>
              <w:t>16 target.</w:t>
            </w:r>
          </w:p>
          <w:p w:rsidR="00E25CC6" w:rsidRPr="003360B5" w:rsidRDefault="00E25CC6" w:rsidP="00E447C6">
            <w:pPr>
              <w:pStyle w:val="OGNotes"/>
              <w:rPr>
                <w:rFonts w:eastAsiaTheme="minorEastAsia"/>
              </w:rPr>
            </w:pPr>
            <w:r w:rsidRPr="003360B5">
              <w:rPr>
                <w:rFonts w:eastAsiaTheme="minorEastAsia"/>
              </w:rPr>
              <w:t xml:space="preserve">The </w:t>
            </w:r>
            <w:r w:rsidRPr="003360B5">
              <w:rPr>
                <w:rFonts w:eastAsiaTheme="minorEastAsia"/>
                <w:i w:val="0"/>
              </w:rPr>
              <w:t>2015</w:t>
            </w:r>
            <w:r w:rsidRPr="003360B5">
              <w:rPr>
                <w:rFonts w:eastAsiaTheme="minorEastAsia"/>
                <w:i w:val="0"/>
              </w:rPr>
              <w:noBreakHyphen/>
              <w:t>16 Budget</w:t>
            </w:r>
            <w:r w:rsidRPr="003360B5">
              <w:rPr>
                <w:rFonts w:eastAsiaTheme="minorEastAsia"/>
              </w:rPr>
              <w:t xml:space="preserve"> invested $566 million in additional equity funding. This investment is expected to support achievement of future targets.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Aboriginal students above the bottom three bands for numeracy in Year 5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33.4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33.4</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numeracy in Year 5 (NAPLAN testing)</w:t>
            </w:r>
            <w:r>
              <w:rPr>
                <w:rFonts w:eastAsiaTheme="minorEastAsia"/>
              </w:rPr>
              <w:t>’</w:t>
            </w:r>
            <w:r w:rsidRPr="003360B5">
              <w:rPr>
                <w:rFonts w:eastAsiaTheme="minorEastAsia"/>
              </w:rPr>
              <w:t>. The new measure reports on the same activity as the previous measure, however has been amended to be culturally specific and appropriate. 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rPr>
              <w:t>When interpreting results, a 95 per cent confidence interval of +/</w:t>
            </w:r>
            <w:r w:rsidRPr="003360B5">
              <w:rPr>
                <w:rFonts w:eastAsiaTheme="minorEastAsia"/>
              </w:rPr>
              <w:noBreakHyphen/>
              <w:t xml:space="preserve">3.27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target was informed by the Council of Australian Governments Close the Gap target to halve the gap in reading, writing, and numeracy between Aboriginal and non</w:t>
            </w:r>
            <w:r w:rsidRPr="003360B5">
              <w:rPr>
                <w:rFonts w:eastAsiaTheme="minorEastAsia"/>
              </w:rPr>
              <w:noBreakHyphen/>
              <w:t>Aboriginal students by 2018. The 2015</w:t>
            </w:r>
            <w:r w:rsidRPr="003360B5">
              <w:rPr>
                <w:rFonts w:eastAsiaTheme="minorEastAsia"/>
              </w:rPr>
              <w:noBreakHyphen/>
              <w:t>16 target was calculated to halve the gap over four years in the percentage of Aboriginal students achieving above the bottom three NAPLAN bands. Annual cohort variation and variation in the impact of program supports mean that the 2015</w:t>
            </w:r>
            <w:r w:rsidRPr="003360B5">
              <w:rPr>
                <w:rFonts w:eastAsiaTheme="minorEastAsia"/>
                <w:i w:val="0"/>
              </w:rPr>
              <w:noBreakHyphen/>
            </w:r>
            <w:r w:rsidRPr="003360B5">
              <w:rPr>
                <w:rFonts w:eastAsiaTheme="minorEastAsia"/>
              </w:rPr>
              <w:t>16 expected outcome is lower than the 2015</w:t>
            </w:r>
            <w:r w:rsidRPr="003360B5">
              <w:rPr>
                <w:rFonts w:eastAsiaTheme="minorEastAsia"/>
              </w:rPr>
              <w:noBreakHyphen/>
              <w:t>16 target.</w:t>
            </w:r>
          </w:p>
          <w:p w:rsidR="00E25CC6" w:rsidRPr="003360B5" w:rsidRDefault="00E25CC6" w:rsidP="00EF7439">
            <w:pPr>
              <w:pStyle w:val="OGNotes"/>
              <w:rPr>
                <w:rFonts w:eastAsiaTheme="minorEastAsia"/>
              </w:rPr>
            </w:pPr>
            <w:r w:rsidRPr="003360B5">
              <w:rPr>
                <w:rFonts w:eastAsiaTheme="minorEastAsia"/>
              </w:rPr>
              <w:t xml:space="preserve">The </w:t>
            </w:r>
            <w:r w:rsidRPr="003360B5">
              <w:rPr>
                <w:rFonts w:eastAsiaTheme="minorEastAsia"/>
                <w:i w:val="0"/>
              </w:rPr>
              <w:t>2015</w:t>
            </w:r>
            <w:r w:rsidRPr="003360B5">
              <w:rPr>
                <w:rFonts w:eastAsiaTheme="minorEastAsia"/>
                <w:i w:val="0"/>
              </w:rPr>
              <w:noBreakHyphen/>
              <w:t>16 Budget</w:t>
            </w:r>
            <w:r w:rsidRPr="003360B5">
              <w:rPr>
                <w:rFonts w:eastAsiaTheme="minorEastAsia"/>
              </w:rPr>
              <w:t xml:space="preserve"> invested $566 million in additional equity funding. This investment is expected to support achievement of future targets.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Aboriginal students above the bottom three bands for reading in Year 3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48.7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47.3</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48.7</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892F39">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reading in Year 3 (NAPLAN testing)</w:t>
            </w:r>
            <w:r>
              <w:rPr>
                <w:rFonts w:eastAsiaTheme="minorEastAsia"/>
              </w:rPr>
              <w:t>’</w:t>
            </w:r>
            <w:r w:rsidRPr="003360B5">
              <w:rPr>
                <w:rFonts w:eastAsiaTheme="minorEastAsia"/>
              </w:rPr>
              <w:t>. The new measure reports on the same activity as the previous measure, however has been amended to be culturally specific and appropriate. 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892F39">
            <w:pPr>
              <w:pStyle w:val="OGNotes"/>
              <w:rPr>
                <w:rFonts w:eastAsiaTheme="minorEastAsia"/>
              </w:rPr>
            </w:pPr>
            <w:r w:rsidRPr="003360B5">
              <w:rPr>
                <w:rFonts w:eastAsiaTheme="minorEastAsia"/>
              </w:rPr>
              <w:t>When interpreting results, a 95 per cent confidence interval of +/</w:t>
            </w:r>
            <w:r w:rsidRPr="003360B5">
              <w:rPr>
                <w:rFonts w:eastAsiaTheme="minorEastAsia"/>
              </w:rPr>
              <w:noBreakHyphen/>
              <w:t xml:space="preserve"> 3.41 percentage points needs to be considered as the reported number is an estimate of the student ability for which there is associated measurement error, standard to any such assessment.</w:t>
            </w:r>
          </w:p>
          <w:p w:rsidR="00E25CC6" w:rsidRPr="003360B5" w:rsidRDefault="00E25CC6" w:rsidP="00E3719B">
            <w:pPr>
              <w:pStyle w:val="OGNotes"/>
              <w:rPr>
                <w:rFonts w:eastAsiaTheme="minorEastAsia"/>
              </w:rPr>
            </w:pPr>
            <w:r w:rsidRPr="003360B5">
              <w:rPr>
                <w:rFonts w:eastAsiaTheme="minorEastAsia"/>
              </w:rPr>
              <w:t xml:space="preserve">The </w:t>
            </w:r>
            <w:r w:rsidRPr="003360B5">
              <w:rPr>
                <w:rFonts w:eastAsiaTheme="minorEastAsia"/>
                <w:i w:val="0"/>
              </w:rPr>
              <w:t>2015</w:t>
            </w:r>
            <w:r w:rsidRPr="003360B5">
              <w:rPr>
                <w:rFonts w:eastAsiaTheme="minorEastAsia"/>
                <w:i w:val="0"/>
              </w:rPr>
              <w:noBreakHyphen/>
              <w:t>16 Budget</w:t>
            </w:r>
            <w:r w:rsidRPr="003360B5">
              <w:rPr>
                <w:rFonts w:eastAsiaTheme="minorEastAsia"/>
              </w:rPr>
              <w:t xml:space="preserve"> invested $566 million in additional equity funding. This investment is expected to support achievement of future targets.</w:t>
            </w:r>
          </w:p>
        </w:tc>
      </w:tr>
      <w:tr w:rsidR="00E25CC6" w:rsidRPr="003360B5" w:rsidTr="00E447C6">
        <w:trPr>
          <w:cantSplit/>
        </w:trPr>
        <w:tc>
          <w:tcPr>
            <w:tcW w:w="3145" w:type="dxa"/>
            <w:tcBorders>
              <w:top w:val="nil"/>
              <w:left w:val="nil"/>
              <w:bottom w:val="nil"/>
              <w:right w:val="nil"/>
            </w:tcBorders>
          </w:tcPr>
          <w:p w:rsidR="00E25CC6" w:rsidRPr="003360B5" w:rsidRDefault="00E25CC6" w:rsidP="007078BE">
            <w:pPr>
              <w:pStyle w:val="OGTabText"/>
              <w:keepNext/>
              <w:rPr>
                <w:rFonts w:eastAsiaTheme="minorEastAsia"/>
                <w:lang w:eastAsia="en-AU"/>
              </w:rPr>
            </w:pPr>
            <w:r w:rsidRPr="003360B5">
              <w:rPr>
                <w:rFonts w:eastAsiaTheme="minorEastAsia"/>
                <w:lang w:eastAsia="en-AU"/>
              </w:rPr>
              <w:t>Percentage of Aboriginal students above the bottom three bands for reading in Year 5 (NAPLAN testing)</w:t>
            </w:r>
          </w:p>
        </w:tc>
        <w:tc>
          <w:tcPr>
            <w:tcW w:w="907" w:type="dxa"/>
            <w:tcBorders>
              <w:top w:val="nil"/>
              <w:left w:val="nil"/>
              <w:bottom w:val="nil"/>
              <w:right w:val="nil"/>
            </w:tcBorders>
          </w:tcPr>
          <w:p w:rsidR="00E25CC6" w:rsidRPr="003360B5" w:rsidRDefault="00E25CC6" w:rsidP="007078BE">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7078BE">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40</w:t>
            </w:r>
          </w:p>
        </w:tc>
        <w:tc>
          <w:tcPr>
            <w:tcW w:w="993" w:type="dxa"/>
            <w:tcBorders>
              <w:top w:val="nil"/>
              <w:left w:val="nil"/>
              <w:bottom w:val="nil"/>
              <w:right w:val="nil"/>
            </w:tcBorders>
          </w:tcPr>
          <w:p w:rsidR="00E25CC6" w:rsidRPr="003360B5" w:rsidRDefault="00E25CC6" w:rsidP="007078BE">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32.9</w:t>
            </w:r>
          </w:p>
        </w:tc>
        <w:tc>
          <w:tcPr>
            <w:tcW w:w="907" w:type="dxa"/>
            <w:tcBorders>
              <w:top w:val="nil"/>
              <w:left w:val="nil"/>
              <w:bottom w:val="nil"/>
              <w:right w:val="nil"/>
            </w:tcBorders>
          </w:tcPr>
          <w:p w:rsidR="00E25CC6" w:rsidRPr="003360B5" w:rsidRDefault="00E25CC6" w:rsidP="007078BE">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40</w:t>
            </w:r>
          </w:p>
        </w:tc>
        <w:tc>
          <w:tcPr>
            <w:tcW w:w="908" w:type="dxa"/>
            <w:tcBorders>
              <w:top w:val="nil"/>
              <w:left w:val="nil"/>
              <w:bottom w:val="nil"/>
              <w:right w:val="nil"/>
            </w:tcBorders>
          </w:tcPr>
          <w:p w:rsidR="00E25CC6" w:rsidRPr="003360B5" w:rsidRDefault="00E25CC6" w:rsidP="007078BE">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reading in Year 5 (NAPLAN testing)</w:t>
            </w:r>
            <w:r>
              <w:rPr>
                <w:rFonts w:eastAsiaTheme="minorEastAsia"/>
              </w:rPr>
              <w:t>’</w:t>
            </w:r>
            <w:r w:rsidRPr="003360B5">
              <w:rPr>
                <w:rFonts w:eastAsiaTheme="minorEastAsia"/>
              </w:rPr>
              <w:t>. The new measure reports on the same activity as the previous measure, however has been amended to be culturally specific and appropriate.</w:t>
            </w:r>
          </w:p>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When interpreting results, a 95 per cent confidence interval of +/ 3.26 percentage points needs to be considered as the reported number is an estimate of the student ability for which there is associated measurement error, standard to any such assessment. </w:t>
            </w:r>
          </w:p>
          <w:p w:rsidR="00E25CC6" w:rsidRPr="003360B5" w:rsidRDefault="00E25CC6" w:rsidP="007078BE">
            <w:pPr>
              <w:pStyle w:val="OGNotes"/>
              <w:rPr>
                <w:rFonts w:eastAsiaTheme="minorEastAsia"/>
              </w:rPr>
            </w:pPr>
            <w:r w:rsidRPr="003360B5">
              <w:rPr>
                <w:rFonts w:eastAsiaTheme="minorEastAsia"/>
              </w:rPr>
              <w:t>The 2015</w:t>
            </w:r>
            <w:r w:rsidRPr="003360B5">
              <w:rPr>
                <w:rFonts w:eastAsiaTheme="minorEastAsia"/>
              </w:rPr>
              <w:noBreakHyphen/>
              <w:t>16 target was informed by the Council of Australian Governments Close the Gap target to halve the gap in reading, writing, and numeracy between Aboriginal and non</w:t>
            </w:r>
            <w:r w:rsidRPr="003360B5">
              <w:rPr>
                <w:rFonts w:eastAsiaTheme="minorEastAsia"/>
              </w:rPr>
              <w:noBreakHyphen/>
              <w:t>Aboriginal students by 2018. The 2015</w:t>
            </w:r>
            <w:r w:rsidRPr="003360B5">
              <w:rPr>
                <w:rFonts w:eastAsiaTheme="minorEastAsia"/>
              </w:rPr>
              <w:noBreakHyphen/>
              <w:t>16 target was calculated to halve the gap over four years in the percentage of Aboriginal students achieving above the bottom three NAPLAN bands. Annual cohort variation and variation in the impact of program supports mean that the 2015</w:t>
            </w:r>
            <w:r w:rsidRPr="003360B5">
              <w:rPr>
                <w:rFonts w:eastAsiaTheme="minorEastAsia"/>
              </w:rPr>
              <w:noBreakHyphen/>
              <w:t>16 expected outcome is lower than the 2015</w:t>
            </w:r>
            <w:r w:rsidRPr="003360B5">
              <w:rPr>
                <w:rFonts w:eastAsiaTheme="minorEastAsia"/>
              </w:rPr>
              <w:noBreakHyphen/>
              <w:t xml:space="preserve">16 target. </w:t>
            </w:r>
          </w:p>
          <w:p w:rsidR="00E25CC6" w:rsidRPr="003360B5" w:rsidRDefault="00E25CC6" w:rsidP="006B3627">
            <w:pPr>
              <w:pStyle w:val="OGNotes"/>
              <w:rPr>
                <w:rFonts w:eastAsiaTheme="minorEastAsia"/>
              </w:rPr>
            </w:pPr>
            <w:r w:rsidRPr="003360B5">
              <w:rPr>
                <w:rFonts w:eastAsiaTheme="minorEastAsia"/>
              </w:rPr>
              <w:t xml:space="preserve">The </w:t>
            </w:r>
            <w:r w:rsidRPr="003360B5">
              <w:rPr>
                <w:rFonts w:eastAsiaTheme="minorEastAsia"/>
                <w:i w:val="0"/>
              </w:rPr>
              <w:t>2015</w:t>
            </w:r>
            <w:r w:rsidRPr="003360B5">
              <w:rPr>
                <w:rFonts w:eastAsiaTheme="minorEastAsia"/>
                <w:i w:val="0"/>
              </w:rPr>
              <w:noBreakHyphen/>
              <w:t>16 Budget</w:t>
            </w:r>
            <w:r w:rsidRPr="003360B5">
              <w:rPr>
                <w:rFonts w:eastAsiaTheme="minorEastAsia"/>
              </w:rPr>
              <w:t xml:space="preserve"> invested $566 million in additional equity funding. This investment is expected to support achievement of future targets.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above the bottom three bands for numeracy in Year 3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68.5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66.4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68.5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3719B">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When interpreting results, a 95 per cent confidence interval of +/ </w:t>
            </w:r>
            <w:r w:rsidRPr="003360B5">
              <w:rPr>
                <w:rFonts w:eastAsiaTheme="minorEastAsia"/>
              </w:rPr>
              <w:noBreakHyphen/>
              <w:t>0.92 percentage points needs to be considered as the reported number is an estimate of the student ability for which there is associated measurement error, standard to any such assessment.</w:t>
            </w:r>
          </w:p>
          <w:p w:rsidR="00E25CC6" w:rsidRPr="003360B5" w:rsidRDefault="00E25CC6" w:rsidP="00E3719B">
            <w:pPr>
              <w:pStyle w:val="OGNotes"/>
              <w:rPr>
                <w:rFonts w:eastAsiaTheme="minorEastAsia"/>
              </w:rPr>
            </w:pPr>
            <w:r w:rsidRPr="003360B5">
              <w:rPr>
                <w:rFonts w:eastAsiaTheme="minorEastAsia"/>
              </w:rPr>
              <w:t>Maintenance of the target reflects the ambition of the Education State for excellence in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above the bottom three bands for numeracy in Year 5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62.3</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61.2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57.5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 – 1.01 percentage points needs to be considered as the reported number is an estimate of the student ability for which there is associated measurement error, standard to any such assessment.</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 xml:space="preserve">17 target reflects the ambition of the Education State for excellence in reading and maths and breaking the link between disadvantage and achievement.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is higher than the 2015</w:t>
            </w:r>
            <w:r w:rsidRPr="003360B5">
              <w:rPr>
                <w:rFonts w:eastAsiaTheme="minorEastAsia"/>
              </w:rPr>
              <w:noBreakHyphen/>
              <w:t xml:space="preserve">16 target, which may be attributable to the introduction of the Primary Maths and Science Specialist Initiative in targeted schools across Victoria.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above the bottom three bands for reading in Year 3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76.2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74</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0.81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8855E2">
            <w:pPr>
              <w:pStyle w:val="OGTabText"/>
              <w:keepNext/>
              <w:rPr>
                <w:rFonts w:eastAsiaTheme="minorEastAsia"/>
                <w:lang w:eastAsia="en-AU"/>
              </w:rPr>
            </w:pPr>
            <w:r w:rsidRPr="003360B5">
              <w:rPr>
                <w:rFonts w:eastAsiaTheme="minorEastAsia"/>
                <w:lang w:eastAsia="en-AU"/>
              </w:rPr>
              <w:t>Percentage of students above the bottom three bands for reading in Year 5 (NAPLAN testing)</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64.5</w:t>
            </w:r>
          </w:p>
        </w:tc>
        <w:tc>
          <w:tcPr>
            <w:tcW w:w="993"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62.2</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64.5</w:t>
            </w:r>
          </w:p>
        </w:tc>
        <w:tc>
          <w:tcPr>
            <w:tcW w:w="908"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3719B">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0.98 percentage points needs to be considered as the reported number is an estimate of the student ability for which there is associated measurement error, standard to any such assessment.</w:t>
            </w:r>
          </w:p>
          <w:p w:rsidR="00E25CC6" w:rsidRPr="003360B5" w:rsidRDefault="00E25CC6" w:rsidP="00D6264B">
            <w:pPr>
              <w:pStyle w:val="OGNotes"/>
              <w:rPr>
                <w:rFonts w:eastAsiaTheme="minorEastAsia"/>
              </w:rPr>
            </w:pPr>
            <w:r w:rsidRPr="003360B5">
              <w:rPr>
                <w:rFonts w:eastAsiaTheme="minorEastAsia"/>
              </w:rPr>
              <w:t>Maintenance of the target reflects the ambition of the Education State for excellence in reading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in the top two bands for numeracy in Year 3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41.5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38.4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41.5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0.95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is lower than the 2015</w:t>
            </w:r>
            <w:r w:rsidRPr="003360B5">
              <w:rPr>
                <w:rFonts w:eastAsiaTheme="minorEastAsia"/>
              </w:rPr>
              <w:noBreakHyphen/>
              <w:t>16 target, which may be attributable to variations in cohort capability and assessment difficulty from year to year.</w:t>
            </w:r>
          </w:p>
          <w:p w:rsidR="00E25CC6" w:rsidRPr="003360B5" w:rsidRDefault="00E25CC6" w:rsidP="00E447C6">
            <w:pPr>
              <w:pStyle w:val="OGNotes"/>
              <w:rPr>
                <w:rFonts w:eastAsiaTheme="minorEastAsia"/>
              </w:rPr>
            </w:pPr>
            <w:r w:rsidRPr="003360B5">
              <w:rPr>
                <w:rFonts w:eastAsiaTheme="minorEastAsia"/>
              </w:rPr>
              <w:t>Maintenance of the target reflects the ambition of the Education State for excellence in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in the top two bands for numeracy in Year 5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32.9</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31.9</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28.5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0.98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 xml:space="preserve">17 target reflects the ambition of the Education State for excellence in reading and maths and breaking the link between disadvantage and achievement. </w:t>
            </w:r>
          </w:p>
          <w:p w:rsidR="00E25CC6" w:rsidRPr="003360B5" w:rsidRDefault="00E25CC6" w:rsidP="00E35441">
            <w:pPr>
              <w:pStyle w:val="OGNotes"/>
              <w:rPr>
                <w:rFonts w:eastAsiaTheme="minorEastAsia"/>
              </w:rPr>
            </w:pPr>
            <w:r w:rsidRPr="003360B5">
              <w:rPr>
                <w:rFonts w:eastAsiaTheme="minorEastAsia"/>
              </w:rPr>
              <w:t>The 2015</w:t>
            </w:r>
            <w:r w:rsidRPr="003360B5">
              <w:rPr>
                <w:rFonts w:eastAsiaTheme="minorEastAsia"/>
              </w:rPr>
              <w:noBreakHyphen/>
              <w:t>16 expected outcome is higher than the 2015</w:t>
            </w:r>
            <w:r w:rsidRPr="003360B5">
              <w:rPr>
                <w:rFonts w:eastAsiaTheme="minorEastAsia"/>
              </w:rPr>
              <w:noBreakHyphen/>
              <w:t xml:space="preserve">16 target, which may be attributable to the introduction of the </w:t>
            </w:r>
            <w:r>
              <w:rPr>
                <w:rFonts w:eastAsiaTheme="minorEastAsia"/>
              </w:rPr>
              <w:t>‘</w:t>
            </w:r>
            <w:r w:rsidRPr="003360B5">
              <w:rPr>
                <w:rFonts w:eastAsiaTheme="minorEastAsia"/>
              </w:rPr>
              <w:t>Primary Maths and Science Specialist</w:t>
            </w:r>
            <w:r>
              <w:rPr>
                <w:rFonts w:eastAsiaTheme="minorEastAsia"/>
              </w:rPr>
              <w:t>’</w:t>
            </w:r>
            <w:r w:rsidRPr="003360B5">
              <w:rPr>
                <w:rFonts w:eastAsiaTheme="minorEastAsia"/>
              </w:rPr>
              <w:t xml:space="preserve"> initiative in targeted schools across Victoria. </w:t>
            </w:r>
          </w:p>
        </w:tc>
      </w:tr>
      <w:tr w:rsidR="00E25CC6" w:rsidRPr="003360B5" w:rsidTr="00E447C6">
        <w:trPr>
          <w:cantSplit/>
        </w:trPr>
        <w:tc>
          <w:tcPr>
            <w:tcW w:w="3145" w:type="dxa"/>
            <w:tcBorders>
              <w:top w:val="nil"/>
              <w:left w:val="nil"/>
              <w:bottom w:val="nil"/>
              <w:right w:val="nil"/>
            </w:tcBorders>
          </w:tcPr>
          <w:p w:rsidR="00E25CC6" w:rsidRPr="003360B5" w:rsidRDefault="00E25CC6" w:rsidP="006C091D">
            <w:pPr>
              <w:pStyle w:val="OGTabText"/>
              <w:keepNext/>
              <w:rPr>
                <w:rFonts w:eastAsiaTheme="minorEastAsia"/>
                <w:lang w:eastAsia="en-AU"/>
              </w:rPr>
            </w:pPr>
            <w:r w:rsidRPr="003360B5">
              <w:rPr>
                <w:rFonts w:eastAsiaTheme="minorEastAsia"/>
                <w:lang w:eastAsia="en-AU"/>
              </w:rPr>
              <w:t>Percentage of students in the top two bands for reading in Year 3 (NAPLAN testing)</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54.6</w:t>
            </w:r>
          </w:p>
        </w:tc>
        <w:tc>
          <w:tcPr>
            <w:tcW w:w="993"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53.6</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51.5</w:t>
            </w:r>
          </w:p>
        </w:tc>
        <w:tc>
          <w:tcPr>
            <w:tcW w:w="908"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0.97 percentage points needs to be considered as the reported number is an estimate of the student ability for which there is associated measurement error, standard to any such assessment. </w:t>
            </w:r>
          </w:p>
          <w:p w:rsidR="00E25CC6" w:rsidRPr="003360B5" w:rsidRDefault="00E25CC6" w:rsidP="00CC05D8">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in the top two bands for reading in Year 5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38.7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36.9</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36</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3719B">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0.98 percentage points needs to be considered as the reported number is an estimate of the student ability for which there is associated measurement error, standard to any such assessment.</w:t>
            </w:r>
          </w:p>
          <w:p w:rsidR="00E25CC6" w:rsidRPr="003360B5" w:rsidRDefault="00E25CC6" w:rsidP="00E3719B">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Years 5</w:t>
            </w:r>
            <w:r w:rsidRPr="003360B5">
              <w:rPr>
                <w:rFonts w:eastAsiaTheme="minorEastAsia"/>
                <w:lang w:eastAsia="en-AU"/>
              </w:rPr>
              <w:noBreakHyphen/>
              <w:t>6 students</w:t>
            </w:r>
            <w:r>
              <w:rPr>
                <w:rFonts w:eastAsiaTheme="minorEastAsia"/>
                <w:lang w:eastAsia="en-AU"/>
              </w:rPr>
              <w:t>’</w:t>
            </w:r>
            <w:r w:rsidRPr="003360B5">
              <w:rPr>
                <w:rFonts w:eastAsiaTheme="minorEastAsia"/>
                <w:lang w:eastAsia="en-AU"/>
              </w:rPr>
              <w:t xml:space="preserve"> opinion of their connectedness with the school</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 (1</w:t>
            </w:r>
            <w:r w:rsidRPr="003360B5">
              <w:rPr>
                <w:rFonts w:ascii="Calibri" w:eastAsiaTheme="minorEastAsia" w:hAnsi="Calibri" w:cs="Calibri"/>
                <w:sz w:val="19"/>
                <w:szCs w:val="22"/>
                <w:lang w:eastAsia="en-AU"/>
              </w:rPr>
              <w:noBreakHyphen/>
              <w:t>5)</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9E3CA8">
            <w:pPr>
              <w:pStyle w:val="OGNotes"/>
              <w:rPr>
                <w:rFonts w:eastAsiaTheme="minorEastAsia"/>
              </w:rPr>
            </w:pPr>
            <w:r w:rsidRPr="003360B5">
              <w:rPr>
                <w:rFonts w:eastAsiaTheme="minorEastAsia"/>
              </w:rPr>
              <w:t xml:space="preserve">This performance measure relates to the calendar year. This performance measure refers to government schools only. Data </w:t>
            </w:r>
            <w:r>
              <w:rPr>
                <w:rFonts w:eastAsiaTheme="minorEastAsia"/>
              </w:rPr>
              <w:t>is</w:t>
            </w:r>
            <w:r w:rsidRPr="003360B5">
              <w:rPr>
                <w:rFonts w:eastAsiaTheme="minorEastAsia"/>
              </w:rPr>
              <w:t xml:space="preserve"> drawn from the Attitudes to School Survey, where responses are provided on a scale of 1 to 5 and a higher score represents a higher level of connectedness (that is, students feel they belong and enjoy attending school).</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Cost</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1B549A">
        <w:trPr>
          <w:cantSplit/>
        </w:trPr>
        <w:tc>
          <w:tcPr>
            <w:tcW w:w="3145" w:type="dxa"/>
            <w:tcBorders>
              <w:top w:val="nil"/>
              <w:left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output cost</w:t>
            </w:r>
          </w:p>
        </w:tc>
        <w:tc>
          <w:tcPr>
            <w:tcW w:w="907" w:type="dxa"/>
            <w:tcBorders>
              <w:top w:val="nil"/>
              <w:left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4 930.9</w:t>
            </w:r>
          </w:p>
        </w:tc>
        <w:tc>
          <w:tcPr>
            <w:tcW w:w="993"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4 624.1</w:t>
            </w:r>
          </w:p>
        </w:tc>
        <w:tc>
          <w:tcPr>
            <w:tcW w:w="907"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4 598.1</w:t>
            </w:r>
          </w:p>
        </w:tc>
        <w:tc>
          <w:tcPr>
            <w:tcW w:w="908"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4 368.3</w:t>
            </w:r>
          </w:p>
        </w:tc>
      </w:tr>
      <w:tr w:rsidR="00E25CC6" w:rsidRPr="003360B5" w:rsidTr="001B549A">
        <w:trPr>
          <w:cantSplit/>
        </w:trPr>
        <w:tc>
          <w:tcPr>
            <w:tcW w:w="7767" w:type="dxa"/>
            <w:gridSpan w:val="6"/>
            <w:tcBorders>
              <w:top w:val="nil"/>
              <w:left w:val="nil"/>
              <w:bottom w:val="single" w:sz="6" w:space="0" w:color="auto"/>
              <w:right w:val="nil"/>
            </w:tcBorders>
          </w:tcPr>
          <w:p w:rsidR="00E25CC6" w:rsidRPr="003360B5" w:rsidRDefault="00E25CC6" w:rsidP="00656BCC">
            <w:pPr>
              <w:pStyle w:val="OGNotes"/>
              <w:rPr>
                <w:rFonts w:eastAsiaTheme="minorEastAsia"/>
              </w:rPr>
            </w:pPr>
            <w:r w:rsidRPr="003360B5">
              <w:rPr>
                <w:rFonts w:eastAsiaTheme="minorEastAsia"/>
              </w:rPr>
              <w:t>The higher 2016</w:t>
            </w:r>
            <w:r w:rsidRPr="003360B5">
              <w:rPr>
                <w:rFonts w:eastAsiaTheme="minorEastAsia"/>
              </w:rPr>
              <w:noBreakHyphen/>
              <w:t>17 target primarily reflects indexation and release of Education State funding.</w:t>
            </w:r>
          </w:p>
        </w:tc>
      </w:tr>
      <w:tr w:rsidR="00E25CC6" w:rsidRPr="003360B5" w:rsidTr="00E447C6">
        <w:trPr>
          <w:cantSplit/>
        </w:trPr>
        <w:tc>
          <w:tcPr>
            <w:tcW w:w="7767" w:type="dxa"/>
            <w:gridSpan w:val="6"/>
            <w:tcBorders>
              <w:top w:val="single" w:sz="6" w:space="0" w:color="auto"/>
              <w:left w:val="nil"/>
              <w:bottom w:val="nil"/>
              <w:right w:val="nil"/>
            </w:tcBorders>
          </w:tcPr>
          <w:p w:rsidR="00E25CC6" w:rsidRPr="003360B5" w:rsidRDefault="00E25CC6" w:rsidP="00E447C6">
            <w:pPr>
              <w:pStyle w:val="OGHeading2"/>
              <w:rPr>
                <w:rFonts w:eastAsiaTheme="minorEastAsia"/>
                <w:lang w:eastAsia="en-AU"/>
              </w:rPr>
            </w:pPr>
            <w:r w:rsidRPr="003360B5">
              <w:rPr>
                <w:rFonts w:eastAsiaTheme="minorEastAsia"/>
                <w:lang w:eastAsia="en-AU"/>
              </w:rPr>
              <w:t>School Education – Secondary</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340032">
            <w:pPr>
              <w:pStyle w:val="OGText"/>
              <w:rPr>
                <w:rFonts w:eastAsiaTheme="minorEastAsia"/>
                <w:lang w:eastAsia="en-AU"/>
              </w:rPr>
            </w:pPr>
            <w:r w:rsidRPr="003360B5">
              <w:rPr>
                <w:rFonts w:eastAsiaTheme="minorEastAsia"/>
                <w:lang w:eastAsia="en-AU"/>
              </w:rPr>
              <w:t>This output involves provision of education and support services designed to improve student learning, development and wellbeing in Years 7 to 12 in government and non</w:t>
            </w:r>
            <w:r w:rsidRPr="003360B5">
              <w:rPr>
                <w:rFonts w:eastAsiaTheme="minorEastAsia"/>
                <w:lang w:eastAsia="en-AU"/>
              </w:rPr>
              <w:noBreakHyphen/>
              <w:t>government schools. It also covers the provision of services to improve pathways to further education, training and employment.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Quantity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1B549A">
        <w:trPr>
          <w:cantSplit/>
        </w:trPr>
        <w:tc>
          <w:tcPr>
            <w:tcW w:w="3145" w:type="dxa"/>
            <w:tcBorders>
              <w:top w:val="nil"/>
              <w:left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Investment in non</w:t>
            </w:r>
            <w:r w:rsidRPr="003360B5">
              <w:rPr>
                <w:rFonts w:eastAsiaTheme="minorEastAsia"/>
                <w:lang w:eastAsia="en-AU"/>
              </w:rPr>
              <w:noBreakHyphen/>
              <w:t>government schools (secondary)</w:t>
            </w:r>
          </w:p>
        </w:tc>
        <w:tc>
          <w:tcPr>
            <w:tcW w:w="907" w:type="dxa"/>
            <w:tcBorders>
              <w:top w:val="nil"/>
              <w:left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385.8</w:t>
            </w:r>
          </w:p>
        </w:tc>
        <w:tc>
          <w:tcPr>
            <w:tcW w:w="993"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361.5</w:t>
            </w:r>
          </w:p>
        </w:tc>
        <w:tc>
          <w:tcPr>
            <w:tcW w:w="907"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360.6</w:t>
            </w:r>
          </w:p>
        </w:tc>
        <w:tc>
          <w:tcPr>
            <w:tcW w:w="908" w:type="dxa"/>
            <w:tcBorders>
              <w:top w:val="nil"/>
              <w:left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339.4</w:t>
            </w:r>
          </w:p>
        </w:tc>
      </w:tr>
      <w:tr w:rsidR="00E25CC6" w:rsidRPr="003360B5" w:rsidTr="001B549A">
        <w:trPr>
          <w:cantSplit/>
        </w:trPr>
        <w:tc>
          <w:tcPr>
            <w:tcW w:w="7767" w:type="dxa"/>
            <w:gridSpan w:val="6"/>
            <w:tcBorders>
              <w:top w:val="nil"/>
              <w:left w:val="nil"/>
              <w:bottom w:val="single" w:sz="6" w:space="0" w:color="auto"/>
              <w:right w:val="nil"/>
            </w:tcBorders>
          </w:tcPr>
          <w:p w:rsidR="00E25CC6" w:rsidRPr="003360B5" w:rsidRDefault="00E25CC6" w:rsidP="00656BCC">
            <w:pPr>
              <w:pStyle w:val="OGNotes"/>
              <w:rPr>
                <w:rFonts w:eastAsiaTheme="minorEastAsia" w:cs="Calibri"/>
                <w:sz w:val="19"/>
                <w:szCs w:val="22"/>
              </w:rPr>
            </w:pPr>
            <w:r w:rsidRPr="003360B5">
              <w:rPr>
                <w:rFonts w:eastAsiaTheme="minorEastAsia"/>
              </w:rPr>
              <w:t>The higher 2016</w:t>
            </w:r>
            <w:r w:rsidRPr="003360B5">
              <w:rPr>
                <w:rFonts w:eastAsiaTheme="minorEastAsia"/>
              </w:rPr>
              <w:noBreakHyphen/>
              <w:t>17 target compared with the 2015</w:t>
            </w:r>
            <w:r w:rsidRPr="003360B5">
              <w:rPr>
                <w:rFonts w:eastAsiaTheme="minorEastAsia"/>
              </w:rPr>
              <w:noBreakHyphen/>
              <w:t>16 target primarily reflects indexation and carry forward from 2015</w:t>
            </w:r>
            <w:r w:rsidRPr="003360B5">
              <w:rPr>
                <w:rFonts w:eastAsiaTheme="minorEastAsia"/>
              </w:rPr>
              <w:noBreakHyphen/>
              <w:t>16.</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Number of school students enrolled in Victorian Certificate of Applied Learning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19 000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18 549</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17 000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17 851</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analysis of previous years</w:t>
            </w:r>
            <w:r>
              <w:rPr>
                <w:rFonts w:eastAsiaTheme="minorEastAsia"/>
              </w:rPr>
              <w:t>’</w:t>
            </w:r>
            <w:r w:rsidRPr="003360B5">
              <w:rPr>
                <w:rFonts w:eastAsiaTheme="minorEastAsia"/>
              </w:rPr>
              <w:t xml:space="preserve"> targets and outcomes which indicate that enrolment rates continue to increase, particularly in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is higher than the 2015</w:t>
            </w:r>
            <w:r w:rsidRPr="003360B5">
              <w:rPr>
                <w:rFonts w:eastAsiaTheme="minorEastAsia"/>
              </w:rPr>
              <w:noBreakHyphen/>
              <w:t>16 target due to sustained growth in the number of students enrolling in a Victorian Certificate of Applied Learning as it becomes more established as an alternative qualification to the VCE.</w:t>
            </w:r>
          </w:p>
        </w:tc>
      </w:tr>
      <w:tr w:rsidR="00E25CC6" w:rsidRPr="003360B5" w:rsidTr="00E447C6">
        <w:trPr>
          <w:cantSplit/>
        </w:trPr>
        <w:tc>
          <w:tcPr>
            <w:tcW w:w="3145" w:type="dxa"/>
            <w:tcBorders>
              <w:top w:val="nil"/>
              <w:left w:val="nil"/>
              <w:bottom w:val="nil"/>
              <w:right w:val="nil"/>
            </w:tcBorders>
          </w:tcPr>
          <w:p w:rsidR="00E25CC6" w:rsidRPr="003360B5" w:rsidRDefault="00E25CC6" w:rsidP="00B06FBA">
            <w:pPr>
              <w:pStyle w:val="OGTabText"/>
              <w:keepNext/>
              <w:rPr>
                <w:rFonts w:eastAsiaTheme="minorEastAsia"/>
                <w:lang w:eastAsia="en-AU"/>
              </w:rPr>
            </w:pPr>
            <w:r w:rsidRPr="003360B5">
              <w:rPr>
                <w:rFonts w:eastAsiaTheme="minorEastAsia"/>
                <w:lang w:eastAsia="en-AU"/>
              </w:rPr>
              <w:t>Number of school students participating in accredited vocational programs</w:t>
            </w:r>
          </w:p>
        </w:tc>
        <w:tc>
          <w:tcPr>
            <w:tcW w:w="907" w:type="dxa"/>
            <w:tcBorders>
              <w:top w:val="nil"/>
              <w:left w:val="nil"/>
              <w:bottom w:val="nil"/>
              <w:right w:val="nil"/>
            </w:tcBorders>
          </w:tcPr>
          <w:p w:rsidR="00E25CC6" w:rsidRPr="003360B5" w:rsidRDefault="00E25CC6" w:rsidP="00B06FBA">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B06FBA">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47 000</w:t>
            </w:r>
          </w:p>
        </w:tc>
        <w:tc>
          <w:tcPr>
            <w:tcW w:w="993" w:type="dxa"/>
            <w:tcBorders>
              <w:top w:val="nil"/>
              <w:left w:val="nil"/>
              <w:bottom w:val="nil"/>
              <w:right w:val="nil"/>
            </w:tcBorders>
          </w:tcPr>
          <w:p w:rsidR="00E25CC6" w:rsidRPr="003360B5" w:rsidRDefault="00E25CC6" w:rsidP="00B06FBA">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46 995</w:t>
            </w:r>
          </w:p>
        </w:tc>
        <w:tc>
          <w:tcPr>
            <w:tcW w:w="907" w:type="dxa"/>
            <w:tcBorders>
              <w:top w:val="nil"/>
              <w:left w:val="nil"/>
              <w:bottom w:val="nil"/>
              <w:right w:val="nil"/>
            </w:tcBorders>
          </w:tcPr>
          <w:p w:rsidR="00E25CC6" w:rsidRPr="003360B5" w:rsidRDefault="00E25CC6" w:rsidP="00B06FBA">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45 800</w:t>
            </w:r>
          </w:p>
        </w:tc>
        <w:tc>
          <w:tcPr>
            <w:tcW w:w="908" w:type="dxa"/>
            <w:tcBorders>
              <w:top w:val="nil"/>
              <w:left w:val="nil"/>
              <w:bottom w:val="nil"/>
              <w:right w:val="nil"/>
            </w:tcBorders>
          </w:tcPr>
          <w:p w:rsidR="00E25CC6" w:rsidRPr="003360B5" w:rsidRDefault="00E25CC6" w:rsidP="00B06FBA">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45 860</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analysis of previous years</w:t>
            </w:r>
            <w:r>
              <w:rPr>
                <w:rFonts w:eastAsiaTheme="minorEastAsia"/>
              </w:rPr>
              <w:t>’</w:t>
            </w:r>
            <w:r w:rsidRPr="003360B5">
              <w:rPr>
                <w:rFonts w:eastAsiaTheme="minorEastAsia"/>
              </w:rPr>
              <w:t xml:space="preserve"> targets and outcomes which indicate that students are increasingly choosing accredited vocational programs among their subject choices.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Number of school</w:t>
            </w:r>
            <w:r w:rsidRPr="003360B5">
              <w:rPr>
                <w:rFonts w:eastAsiaTheme="minorEastAsia"/>
                <w:lang w:eastAsia="en-AU"/>
              </w:rPr>
              <w:noBreakHyphen/>
              <w:t>based apprentices/trainees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3 538</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3 538</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3 700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3 801</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trends in demand for school</w:t>
            </w:r>
            <w:r w:rsidRPr="003360B5">
              <w:rPr>
                <w:rFonts w:eastAsiaTheme="minorEastAsia"/>
              </w:rPr>
              <w:noBreakHyphen/>
              <w:t>based apprenticeships in recent years.</w:t>
            </w:r>
          </w:p>
        </w:tc>
      </w:tr>
      <w:tr w:rsidR="00E25CC6" w:rsidRPr="003360B5" w:rsidTr="00E447C6">
        <w:trPr>
          <w:cantSplit/>
        </w:trPr>
        <w:tc>
          <w:tcPr>
            <w:tcW w:w="3145" w:type="dxa"/>
            <w:tcBorders>
              <w:top w:val="nil"/>
              <w:left w:val="nil"/>
              <w:bottom w:val="nil"/>
              <w:right w:val="nil"/>
            </w:tcBorders>
          </w:tcPr>
          <w:p w:rsidR="00E25CC6" w:rsidRPr="003360B5" w:rsidRDefault="00E25CC6" w:rsidP="008855E2">
            <w:pPr>
              <w:pStyle w:val="OGTabText"/>
              <w:keepNext/>
              <w:rPr>
                <w:rFonts w:eastAsiaTheme="minorEastAsia"/>
                <w:lang w:eastAsia="en-AU"/>
              </w:rPr>
            </w:pPr>
            <w:r w:rsidRPr="003360B5">
              <w:rPr>
                <w:rFonts w:eastAsiaTheme="minorEastAsia"/>
                <w:lang w:eastAsia="en-AU"/>
              </w:rPr>
              <w:t>Proportion of all secondary schools offering vocational options to students as part of their secondary school certificate</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w:t>
            </w:r>
          </w:p>
        </w:tc>
        <w:tc>
          <w:tcPr>
            <w:tcW w:w="993"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95.2</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w:t>
            </w:r>
          </w:p>
        </w:tc>
        <w:tc>
          <w:tcPr>
            <w:tcW w:w="908"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 xml:space="preserve">Number of students for which government secondary schools are funded to </w:t>
            </w:r>
            <w:r>
              <w:rPr>
                <w:rFonts w:eastAsiaTheme="minorEastAsia"/>
                <w:lang w:eastAsia="en-AU"/>
              </w:rPr>
              <w:t>‘</w:t>
            </w:r>
            <w:r w:rsidRPr="003360B5">
              <w:rPr>
                <w:rFonts w:eastAsiaTheme="minorEastAsia"/>
                <w:lang w:eastAsia="en-AU"/>
              </w:rPr>
              <w:t>catch up</w:t>
            </w:r>
            <w:r>
              <w:rPr>
                <w:rFonts w:eastAsiaTheme="minorEastAsia"/>
                <w:lang w:eastAsia="en-AU"/>
              </w:rPr>
              <w:t>’</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8 500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New performance measure for 2016</w:t>
            </w:r>
            <w:r w:rsidRPr="003360B5">
              <w:rPr>
                <w:rFonts w:eastAsiaTheme="minorEastAsia"/>
              </w:rPr>
              <w:noBreakHyphen/>
              <w:t>17 to reflect the Government</w:t>
            </w:r>
            <w:r>
              <w:rPr>
                <w:rFonts w:eastAsiaTheme="minorEastAsia"/>
              </w:rPr>
              <w:t>’</w:t>
            </w:r>
            <w:r w:rsidRPr="003360B5">
              <w:rPr>
                <w:rFonts w:eastAsiaTheme="minorEastAsia"/>
              </w:rPr>
              <w:t>s priorities regarding the Education State. This performance measure relates to the calendar year. This performance measure refers to government schools only.</w:t>
            </w:r>
          </w:p>
        </w:tc>
      </w:tr>
      <w:tr w:rsidR="00E25CC6" w:rsidRPr="003360B5" w:rsidTr="00E447C6">
        <w:trPr>
          <w:cantSplit/>
        </w:trPr>
        <w:tc>
          <w:tcPr>
            <w:tcW w:w="3145" w:type="dxa"/>
            <w:tcBorders>
              <w:top w:val="nil"/>
              <w:left w:val="nil"/>
              <w:bottom w:val="nil"/>
              <w:right w:val="nil"/>
            </w:tcBorders>
          </w:tcPr>
          <w:p w:rsidR="00E25CC6" w:rsidRPr="003360B5" w:rsidRDefault="00E25CC6" w:rsidP="00331F8A">
            <w:pPr>
              <w:pStyle w:val="OGTabText"/>
              <w:rPr>
                <w:rFonts w:eastAsiaTheme="minorEastAsia"/>
                <w:lang w:eastAsia="en-AU"/>
              </w:rPr>
            </w:pPr>
            <w:r w:rsidRPr="003360B5">
              <w:rPr>
                <w:rFonts w:eastAsiaTheme="minorEastAsia"/>
                <w:lang w:eastAsia="en-AU"/>
              </w:rPr>
              <w:t>Percentage of government secondary school students receiving equity funding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331F8A">
            <w:pPr>
              <w:pStyle w:val="OGNotes"/>
              <w:rPr>
                <w:rFonts w:eastAsiaTheme="minorEastAsia"/>
              </w:rPr>
            </w:pPr>
            <w:r w:rsidRPr="003360B5">
              <w:rPr>
                <w:rFonts w:eastAsiaTheme="minorEastAsia"/>
              </w:rPr>
              <w:t>New performance measure for 2016</w:t>
            </w:r>
            <w:r w:rsidRPr="003360B5">
              <w:rPr>
                <w:rFonts w:eastAsiaTheme="minorEastAsia"/>
              </w:rPr>
              <w:noBreakHyphen/>
              <w:t>17 to reflect the Government</w:t>
            </w:r>
            <w:r>
              <w:rPr>
                <w:rFonts w:eastAsiaTheme="minorEastAsia"/>
              </w:rPr>
              <w:t>’</w:t>
            </w:r>
            <w:r w:rsidRPr="003360B5">
              <w:rPr>
                <w:rFonts w:eastAsiaTheme="minorEastAsia"/>
              </w:rPr>
              <w:t xml:space="preserve">s priorities regarding the Education State. This performance measure relates to the calendar year. This performance measure refers to government schools only.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Average days lost due to absence in Years 11 and 12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16.1</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16.7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16.1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refers to government schools only. Average days lost cover all student absences, including those due to illness, approved family holidays and unapproved absences. A lower figure is more desirable, as it indicates that students are having fewer days away from school.</w:t>
            </w:r>
          </w:p>
        </w:tc>
      </w:tr>
      <w:tr w:rsidR="00E25CC6" w:rsidRPr="003360B5" w:rsidTr="00E447C6">
        <w:trPr>
          <w:cantSplit/>
        </w:trPr>
        <w:tc>
          <w:tcPr>
            <w:tcW w:w="3145" w:type="dxa"/>
            <w:tcBorders>
              <w:top w:val="nil"/>
              <w:left w:val="nil"/>
              <w:bottom w:val="nil"/>
              <w:right w:val="nil"/>
            </w:tcBorders>
          </w:tcPr>
          <w:p w:rsidR="00E25CC6" w:rsidRPr="003360B5" w:rsidRDefault="00E25CC6" w:rsidP="009E3CA8">
            <w:pPr>
              <w:pStyle w:val="OGTabText"/>
              <w:rPr>
                <w:rFonts w:eastAsiaTheme="minorEastAsia"/>
                <w:lang w:eastAsia="en-AU"/>
              </w:rPr>
            </w:pPr>
            <w:r w:rsidRPr="003360B5">
              <w:rPr>
                <w:rFonts w:eastAsiaTheme="minorEastAsia"/>
                <w:lang w:eastAsia="en-AU"/>
              </w:rPr>
              <w:t>Average days lost due to absence in Years 7</w:t>
            </w:r>
            <w:r>
              <w:rPr>
                <w:rFonts w:eastAsiaTheme="minorEastAsia"/>
                <w:lang w:eastAsia="en-AU"/>
              </w:rPr>
              <w:t>–</w:t>
            </w:r>
            <w:r w:rsidRPr="003360B5">
              <w:rPr>
                <w:rFonts w:eastAsiaTheme="minorEastAsia"/>
                <w:lang w:eastAsia="en-AU"/>
              </w:rPr>
              <w:t>10</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19.3</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refers to government schools only. Average days lost cover all student absences, including those due to illness, approved family holidays and unapproved absences. A lower figure is more desirable, as it indicates that students are having fewer days away from school.</w:t>
            </w:r>
          </w:p>
          <w:p w:rsidR="00E25CC6" w:rsidRPr="003360B5" w:rsidRDefault="00E25CC6" w:rsidP="00E447C6">
            <w:pPr>
              <w:pStyle w:val="OGNotes"/>
              <w:rPr>
                <w:rFonts w:eastAsiaTheme="minorEastAsia"/>
              </w:rPr>
            </w:pPr>
            <w:r w:rsidRPr="003360B5">
              <w:rPr>
                <w:rFonts w:eastAsiaTheme="minorEastAsia"/>
              </w:rPr>
              <w:t>This performance measure has been changed from the quality to the quantity category to better reflect the nature of the measure.</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figure reflects data extracted at 22 February 2016.</w:t>
            </w:r>
          </w:p>
        </w:tc>
      </w:tr>
      <w:tr w:rsidR="00E25CC6" w:rsidRPr="003360B5" w:rsidTr="00E447C6">
        <w:trPr>
          <w:cantSplit/>
        </w:trPr>
        <w:tc>
          <w:tcPr>
            <w:tcW w:w="3145" w:type="dxa"/>
            <w:tcBorders>
              <w:top w:val="nil"/>
              <w:left w:val="nil"/>
              <w:bottom w:val="nil"/>
              <w:right w:val="nil"/>
            </w:tcBorders>
          </w:tcPr>
          <w:p w:rsidR="00E25CC6" w:rsidRPr="003360B5" w:rsidRDefault="00E25CC6" w:rsidP="006C091D">
            <w:pPr>
              <w:pStyle w:val="OGTabText"/>
              <w:keepNext/>
              <w:rPr>
                <w:rFonts w:eastAsiaTheme="minorEastAsia"/>
                <w:lang w:eastAsia="en-AU"/>
              </w:rPr>
            </w:pPr>
            <w:r w:rsidRPr="003360B5">
              <w:rPr>
                <w:rFonts w:eastAsiaTheme="minorEastAsia"/>
                <w:lang w:eastAsia="en-AU"/>
              </w:rPr>
              <w:t>Median VCE study score</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w:t>
            </w:r>
          </w:p>
        </w:tc>
        <w:tc>
          <w:tcPr>
            <w:tcW w:w="993"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w:t>
            </w:r>
          </w:p>
        </w:tc>
        <w:tc>
          <w:tcPr>
            <w:tcW w:w="908"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refers to government schools only.</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Parent satisfaction with secondary schooling on a 100</w:t>
            </w:r>
            <w:r w:rsidRPr="003360B5">
              <w:rPr>
                <w:rFonts w:eastAsiaTheme="minorEastAsia"/>
                <w:lang w:eastAsia="en-AU"/>
              </w:rPr>
              <w:noBreakHyphen/>
              <w:t>point scale</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100</w:t>
            </w:r>
            <w:r w:rsidRPr="003360B5">
              <w:rPr>
                <w:rFonts w:ascii="Calibri" w:eastAsiaTheme="minorEastAsia" w:hAnsi="Calibri" w:cs="Calibri"/>
                <w:sz w:val="19"/>
                <w:szCs w:val="22"/>
                <w:lang w:eastAsia="en-AU"/>
              </w:rPr>
              <w:noBreakHyphen/>
              <w:t>point scale</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76</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76</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refers to government schools only. Data is drawn from the Parent Opinion Survey, where a higher score represents a higher level of satisfaction. The 2016</w:t>
            </w:r>
            <w:r w:rsidRPr="003360B5">
              <w:rPr>
                <w:rFonts w:eastAsiaTheme="minorEastAsia"/>
              </w:rPr>
              <w:noBreakHyphen/>
              <w:t>17 target has been set as the average of the actual data across the last three years.</w:t>
            </w:r>
          </w:p>
        </w:tc>
      </w:tr>
      <w:tr w:rsidR="00E25CC6" w:rsidRPr="003360B5" w:rsidTr="00E447C6">
        <w:trPr>
          <w:cantSplit/>
        </w:trPr>
        <w:tc>
          <w:tcPr>
            <w:tcW w:w="3145" w:type="dxa"/>
            <w:tcBorders>
              <w:top w:val="nil"/>
              <w:left w:val="nil"/>
              <w:bottom w:val="nil"/>
              <w:right w:val="nil"/>
            </w:tcBorders>
          </w:tcPr>
          <w:p w:rsidR="00E25CC6" w:rsidRPr="003360B5" w:rsidRDefault="00E25CC6" w:rsidP="008855E2">
            <w:pPr>
              <w:pStyle w:val="OGTabText"/>
              <w:keepNext/>
              <w:rPr>
                <w:rFonts w:eastAsiaTheme="minorEastAsia"/>
                <w:lang w:eastAsia="en-AU"/>
              </w:rPr>
            </w:pPr>
            <w:r w:rsidRPr="003360B5">
              <w:rPr>
                <w:rFonts w:eastAsiaTheme="minorEastAsia"/>
                <w:lang w:eastAsia="en-AU"/>
              </w:rPr>
              <w:t>Percentage of Aboriginal students above the bottom three bands for numeracy in Year 7 (NAPLAN testing)</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26.4</w:t>
            </w:r>
          </w:p>
        </w:tc>
        <w:tc>
          <w:tcPr>
            <w:tcW w:w="993"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24.4</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26.4</w:t>
            </w:r>
          </w:p>
        </w:tc>
        <w:tc>
          <w:tcPr>
            <w:tcW w:w="908"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4A7CE3">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numeracy in Year 7 (NAPLAN testing)</w:t>
            </w:r>
            <w:r>
              <w:rPr>
                <w:rFonts w:eastAsiaTheme="minorEastAsia"/>
              </w:rPr>
              <w:t>’</w:t>
            </w:r>
            <w:r w:rsidRPr="003360B5">
              <w:rPr>
                <w:rFonts w:eastAsiaTheme="minorEastAsia"/>
              </w:rPr>
              <w:t>. The new measure reports on the same activity as the previous measure, however has been amended to be culturally specific and appropriate. 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4A7CE3">
            <w:pPr>
              <w:pStyle w:val="OGNotes"/>
              <w:rPr>
                <w:rFonts w:eastAsiaTheme="minorEastAsia"/>
              </w:rPr>
            </w:pPr>
            <w:r w:rsidRPr="003360B5">
              <w:rPr>
                <w:rFonts w:eastAsiaTheme="minorEastAsia"/>
              </w:rPr>
              <w:t>When interpreting results, a 95 per cent confidence interval of +/</w:t>
            </w:r>
            <w:r w:rsidRPr="003360B5">
              <w:rPr>
                <w:rFonts w:eastAsiaTheme="minorEastAsia"/>
              </w:rPr>
              <w:noBreakHyphen/>
              <w:t xml:space="preserve"> 3.06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target was informed by the Council of Australian Governments Close the Gap target to halve the gap in reading, writing, and numeracy between Aboriginal and non</w:t>
            </w:r>
            <w:r w:rsidRPr="003360B5">
              <w:rPr>
                <w:rFonts w:eastAsiaTheme="minorEastAsia"/>
              </w:rPr>
              <w:noBreakHyphen/>
              <w:t>Aboriginal students by 2018. The 2015</w:t>
            </w:r>
            <w:r w:rsidRPr="003360B5">
              <w:rPr>
                <w:rFonts w:eastAsiaTheme="minorEastAsia"/>
              </w:rPr>
              <w:noBreakHyphen/>
              <w:t>16 target was calculated to halve the gap over four years in the percentage of Aboriginal students achieving above the bottom three NAPLAN bands. Annual cohort variation and variation in the impact of program supports mean that the 2015</w:t>
            </w:r>
            <w:r w:rsidRPr="003360B5">
              <w:rPr>
                <w:rFonts w:eastAsiaTheme="minorEastAsia"/>
              </w:rPr>
              <w:noBreakHyphen/>
              <w:t>16 expected outcome is lower than the 2015</w:t>
            </w:r>
            <w:r w:rsidRPr="003360B5">
              <w:rPr>
                <w:rFonts w:eastAsiaTheme="minorEastAsia"/>
              </w:rPr>
              <w:noBreakHyphen/>
              <w:t>16 target.</w:t>
            </w:r>
          </w:p>
          <w:p w:rsidR="00E25CC6" w:rsidRPr="003360B5" w:rsidRDefault="00E25CC6" w:rsidP="00EF7439">
            <w:pPr>
              <w:pStyle w:val="OGNotes"/>
              <w:rPr>
                <w:rFonts w:eastAsiaTheme="minorEastAsia"/>
              </w:rPr>
            </w:pPr>
            <w:r w:rsidRPr="003360B5">
              <w:rPr>
                <w:rFonts w:eastAsiaTheme="minorEastAsia"/>
              </w:rPr>
              <w:t xml:space="preserve">The </w:t>
            </w:r>
            <w:r w:rsidRPr="003360B5">
              <w:rPr>
                <w:rFonts w:eastAsiaTheme="minorEastAsia"/>
                <w:i w:val="0"/>
              </w:rPr>
              <w:t>2015</w:t>
            </w:r>
            <w:r w:rsidRPr="003360B5">
              <w:rPr>
                <w:rFonts w:eastAsiaTheme="minorEastAsia"/>
                <w:i w:val="0"/>
              </w:rPr>
              <w:noBreakHyphen/>
              <w:t>16 Budget</w:t>
            </w:r>
            <w:r w:rsidRPr="003360B5">
              <w:rPr>
                <w:rFonts w:eastAsiaTheme="minorEastAsia"/>
              </w:rPr>
              <w:t xml:space="preserve"> invested $566 million in additional equity funding. This investment is expected to support achievement of future targets.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Aboriginal students above the bottom three bands for numeracy in Year 9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25.2</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24.3</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24.3</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4A7CE3">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numeracy in Year 9 (NAPLAN testing)</w:t>
            </w:r>
            <w:r>
              <w:rPr>
                <w:rFonts w:eastAsiaTheme="minorEastAsia"/>
              </w:rPr>
              <w:t>’</w:t>
            </w:r>
            <w:r w:rsidRPr="003360B5">
              <w:rPr>
                <w:rFonts w:eastAsiaTheme="minorEastAsia"/>
              </w:rPr>
              <w:t>. The new measure reports on the same activity as the previous measure, however has been amended to be culturally specific and appropriate. 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4A7CE3">
            <w:pPr>
              <w:pStyle w:val="OGNotes"/>
              <w:rPr>
                <w:rFonts w:eastAsiaTheme="minorEastAsia"/>
              </w:rPr>
            </w:pPr>
            <w:r w:rsidRPr="003360B5">
              <w:rPr>
                <w:rFonts w:eastAsiaTheme="minorEastAsia"/>
              </w:rPr>
              <w:t>When interpreting results, a 95 per cent confidence interval of +/</w:t>
            </w:r>
            <w:r w:rsidRPr="003360B5">
              <w:rPr>
                <w:rFonts w:eastAsiaTheme="minorEastAsia"/>
              </w:rPr>
              <w:noBreakHyphen/>
              <w:t xml:space="preserve"> 3.90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expected level of student achievement resulting from Education State investments.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Aboriginal students above the bottom three bands for reading in Year 7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29.2</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28.1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29.2</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3719B">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reading in Year 7 (NAPLAN testing)</w:t>
            </w:r>
            <w:r>
              <w:rPr>
                <w:rFonts w:eastAsiaTheme="minorEastAsia"/>
              </w:rPr>
              <w:t>’</w:t>
            </w:r>
            <w:r w:rsidRPr="003360B5">
              <w:rPr>
                <w:rFonts w:eastAsiaTheme="minorEastAsia"/>
              </w:rPr>
              <w:t>. The new measure reports on the same activity as the previous measure, however has been amended to be culturally specific and appropriate. 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3719B">
            <w:pPr>
              <w:pStyle w:val="OGNotes"/>
              <w:rPr>
                <w:rFonts w:eastAsiaTheme="minorEastAsia"/>
              </w:rPr>
            </w:pPr>
            <w:r w:rsidRPr="003360B5">
              <w:rPr>
                <w:rFonts w:eastAsiaTheme="minorEastAsia"/>
              </w:rPr>
              <w:t>When interpreting results, a 95 per cent confidence interval of +/</w:t>
            </w:r>
            <w:r w:rsidRPr="003360B5">
              <w:rPr>
                <w:rFonts w:eastAsiaTheme="minorEastAsia"/>
              </w:rPr>
              <w:noBreakHyphen/>
              <w:t xml:space="preserve"> 2.90 percentage points needs to be considered as the reported number is an estimate of the student ability for which there is associated measurement error, standard to any such assessment.</w:t>
            </w:r>
          </w:p>
          <w:p w:rsidR="00E25CC6" w:rsidRPr="003360B5" w:rsidRDefault="00E25CC6" w:rsidP="00EF7439">
            <w:pPr>
              <w:pStyle w:val="OGNotes"/>
              <w:rPr>
                <w:rFonts w:eastAsiaTheme="minorEastAsia"/>
              </w:rPr>
            </w:pPr>
            <w:r w:rsidRPr="003360B5">
              <w:rPr>
                <w:rFonts w:eastAsiaTheme="minorEastAsia"/>
              </w:rPr>
              <w:t xml:space="preserve">The </w:t>
            </w:r>
            <w:r w:rsidRPr="003360B5">
              <w:rPr>
                <w:rFonts w:eastAsiaTheme="minorEastAsia"/>
                <w:i w:val="0"/>
              </w:rPr>
              <w:t>2015</w:t>
            </w:r>
            <w:r w:rsidRPr="003360B5">
              <w:rPr>
                <w:rFonts w:eastAsiaTheme="minorEastAsia"/>
                <w:i w:val="0"/>
              </w:rPr>
              <w:noBreakHyphen/>
              <w:t>16 Budget</w:t>
            </w:r>
            <w:r w:rsidRPr="003360B5">
              <w:rPr>
                <w:rFonts w:eastAsiaTheme="minorEastAsia"/>
              </w:rPr>
              <w:t xml:space="preserve"> invested $566 million in additional equity funding. This investment is expected to support achievement of future targets.</w:t>
            </w:r>
          </w:p>
        </w:tc>
      </w:tr>
      <w:tr w:rsidR="00E25CC6" w:rsidRPr="003360B5" w:rsidTr="00E447C6">
        <w:trPr>
          <w:cantSplit/>
        </w:trPr>
        <w:tc>
          <w:tcPr>
            <w:tcW w:w="3145" w:type="dxa"/>
            <w:tcBorders>
              <w:top w:val="nil"/>
              <w:left w:val="nil"/>
              <w:bottom w:val="nil"/>
              <w:right w:val="nil"/>
            </w:tcBorders>
          </w:tcPr>
          <w:p w:rsidR="00E25CC6" w:rsidRPr="003360B5" w:rsidRDefault="00E25CC6" w:rsidP="006C091D">
            <w:pPr>
              <w:pStyle w:val="OGTabText"/>
              <w:keepNext/>
              <w:rPr>
                <w:rFonts w:eastAsiaTheme="minorEastAsia"/>
                <w:lang w:eastAsia="en-AU"/>
              </w:rPr>
            </w:pPr>
            <w:r w:rsidRPr="003360B5">
              <w:rPr>
                <w:rFonts w:eastAsiaTheme="minorEastAsia"/>
                <w:lang w:eastAsia="en-AU"/>
              </w:rPr>
              <w:t>Percentage of Aboriginal students above the bottom three bands for reading in Year 9 (NAPLAN testing)</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26.3</w:t>
            </w:r>
          </w:p>
        </w:tc>
        <w:tc>
          <w:tcPr>
            <w:tcW w:w="993"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24.6</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26.3</w:t>
            </w:r>
          </w:p>
        </w:tc>
        <w:tc>
          <w:tcPr>
            <w:tcW w:w="908"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F63C44">
            <w:pPr>
              <w:pStyle w:val="OGNotes"/>
              <w:rPr>
                <w:rFonts w:eastAsiaTheme="minorEastAsia"/>
              </w:rPr>
            </w:pPr>
            <w:r w:rsidRPr="003360B5">
              <w:rPr>
                <w:rFonts w:eastAsiaTheme="minorEastAsia"/>
              </w:rPr>
              <w:t>This performance measure renames the 2015</w:t>
            </w:r>
            <w:r w:rsidRPr="003360B5">
              <w:rPr>
                <w:rFonts w:eastAsiaTheme="minorEastAsia"/>
              </w:rPr>
              <w:noBreakHyphen/>
              <w:t xml:space="preserve">16 performance measure </w:t>
            </w:r>
            <w:r>
              <w:rPr>
                <w:rFonts w:eastAsiaTheme="minorEastAsia"/>
              </w:rPr>
              <w:t>‘</w:t>
            </w:r>
            <w:r w:rsidRPr="003360B5">
              <w:rPr>
                <w:rFonts w:eastAsiaTheme="minorEastAsia"/>
              </w:rPr>
              <w:t>Percentage of Indigenous students above the bottom three bands for reading in Year 9 (NAPLAN testing)</w:t>
            </w:r>
            <w:r>
              <w:rPr>
                <w:rFonts w:eastAsiaTheme="minorEastAsia"/>
              </w:rPr>
              <w:t>’</w:t>
            </w:r>
            <w:r w:rsidRPr="003360B5">
              <w:rPr>
                <w:rFonts w:eastAsiaTheme="minorEastAsia"/>
              </w:rPr>
              <w:t>. The new measure reports on the same activity as the previous measure, however has been amended to be culturally specific and appropriate. 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F63C44">
            <w:pPr>
              <w:pStyle w:val="OGNotes"/>
              <w:rPr>
                <w:rFonts w:eastAsiaTheme="minorEastAsia"/>
              </w:rPr>
            </w:pPr>
            <w:r w:rsidRPr="003360B5">
              <w:rPr>
                <w:rFonts w:eastAsiaTheme="minorEastAsia"/>
              </w:rPr>
              <w:t>When interpreting results, a 95 per cent confidence interval of +/</w:t>
            </w:r>
            <w:r w:rsidRPr="003360B5">
              <w:rPr>
                <w:rFonts w:eastAsiaTheme="minorEastAsia"/>
              </w:rPr>
              <w:noBreakHyphen/>
              <w:t xml:space="preserve"> 3.71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target was informed by the Council of Australian Governments Close the Gap target to halve the gap in reading, writing, and numeracy between Aboriginal and non</w:t>
            </w:r>
            <w:r w:rsidRPr="003360B5">
              <w:rPr>
                <w:rFonts w:eastAsiaTheme="minorEastAsia"/>
              </w:rPr>
              <w:noBreakHyphen/>
              <w:t>Aboriginal students by 2018. The 2015</w:t>
            </w:r>
            <w:r w:rsidRPr="003360B5">
              <w:rPr>
                <w:rFonts w:eastAsiaTheme="minorEastAsia"/>
              </w:rPr>
              <w:noBreakHyphen/>
              <w:t>16 target was calculated to halve the gap over four years in the percentage of Aboriginal students achieving above the bottom three NAPLAN bands. Annual cohort variation and variation in the impact of program supports mean that the 2015</w:t>
            </w:r>
            <w:r w:rsidRPr="003360B5">
              <w:rPr>
                <w:rFonts w:eastAsiaTheme="minorEastAsia"/>
              </w:rPr>
              <w:noBreakHyphen/>
              <w:t>16 expected outcome is lower than the 2015</w:t>
            </w:r>
            <w:r w:rsidRPr="003360B5">
              <w:rPr>
                <w:rFonts w:eastAsiaTheme="minorEastAsia"/>
              </w:rPr>
              <w:noBreakHyphen/>
              <w:t>16 target.</w:t>
            </w:r>
          </w:p>
          <w:p w:rsidR="00E25CC6" w:rsidRPr="003360B5" w:rsidRDefault="00E25CC6" w:rsidP="00E447C6">
            <w:pPr>
              <w:pStyle w:val="OGNotes"/>
              <w:rPr>
                <w:rFonts w:eastAsiaTheme="minorEastAsia"/>
              </w:rPr>
            </w:pPr>
            <w:r w:rsidRPr="003360B5">
              <w:rPr>
                <w:rFonts w:eastAsiaTheme="minorEastAsia"/>
              </w:rPr>
              <w:t xml:space="preserve">The </w:t>
            </w:r>
            <w:r w:rsidRPr="003360B5">
              <w:rPr>
                <w:rFonts w:eastAsiaTheme="minorEastAsia"/>
                <w:i w:val="0"/>
              </w:rPr>
              <w:t>2015</w:t>
            </w:r>
            <w:r w:rsidRPr="003360B5">
              <w:rPr>
                <w:rFonts w:eastAsiaTheme="minorEastAsia"/>
                <w:i w:val="0"/>
              </w:rPr>
              <w:noBreakHyphen/>
              <w:t xml:space="preserve">16 Budget </w:t>
            </w:r>
            <w:r w:rsidRPr="007103E9">
              <w:rPr>
                <w:rFonts w:eastAsiaTheme="minorEastAsia"/>
              </w:rPr>
              <w:t>i</w:t>
            </w:r>
            <w:r w:rsidRPr="003360B5">
              <w:rPr>
                <w:rFonts w:eastAsiaTheme="minorEastAsia"/>
              </w:rPr>
              <w:t>nvested $566 million in additional equity funding. This investment is expected to support achievement of future targets.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school leavers completing a VCE VET program in a school progressing to further education, training or work</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93</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95.7</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increasing completion trends.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school leavers completing an Intermediate or Senior Victorian Certificate of Applied Learning in a school progressing to further education, training or work</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85.1</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continuing above</w:t>
            </w:r>
            <w:r w:rsidRPr="003360B5">
              <w:rPr>
                <w:rFonts w:eastAsiaTheme="minorEastAsia"/>
              </w:rPr>
              <w:noBreakHyphen/>
              <w:t>target outcomes for this measure.</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above the bottom three bands for numeracy in Year 7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56.4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56.4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55.1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1.68 percentage points needs to be considered as the reported number is an estimate of the student ability for which there is associated measurement error, standard to any such assessment. </w:t>
            </w:r>
          </w:p>
          <w:p w:rsidR="00E25CC6" w:rsidRPr="003360B5" w:rsidRDefault="00E25CC6" w:rsidP="00E8684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8855E2">
            <w:pPr>
              <w:pStyle w:val="OGTabText"/>
              <w:keepNext/>
              <w:rPr>
                <w:rFonts w:eastAsiaTheme="minorEastAsia"/>
                <w:lang w:eastAsia="en-AU"/>
              </w:rPr>
            </w:pPr>
            <w:r w:rsidRPr="003360B5">
              <w:rPr>
                <w:rFonts w:eastAsiaTheme="minorEastAsia"/>
                <w:lang w:eastAsia="en-AU"/>
              </w:rPr>
              <w:t>Percentage of students above the bottom three bands for numeracy in Year 9 (NAPLAN testing)</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54.3</w:t>
            </w:r>
          </w:p>
        </w:tc>
        <w:tc>
          <w:tcPr>
            <w:tcW w:w="993"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54</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50.5</w:t>
            </w:r>
          </w:p>
        </w:tc>
        <w:tc>
          <w:tcPr>
            <w:tcW w:w="908"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2.01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is higher than the 2015</w:t>
            </w:r>
            <w:r w:rsidRPr="003360B5">
              <w:rPr>
                <w:rFonts w:eastAsiaTheme="minorEastAsia"/>
              </w:rPr>
              <w:noBreakHyphen/>
              <w:t xml:space="preserve">16 target, which may be attributable to year on year cohort and assessment variations.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above the bottom three bands for reading in Year 7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59.5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59.5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1.53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above the bottom three bands for reading in Year 9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50.4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50.2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1.73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in the top two bands for numeracy in Year 7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28</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27.8</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28</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3719B">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1.63 percentage points needs to be considered as the reported number is an estimate of the student ability for which there is associated measurement error, standard to any such assessment.</w:t>
            </w:r>
          </w:p>
          <w:p w:rsidR="00E25CC6" w:rsidRPr="003360B5" w:rsidRDefault="00E25CC6" w:rsidP="00E3719B">
            <w:pPr>
              <w:pStyle w:val="OGNotes"/>
              <w:rPr>
                <w:rFonts w:eastAsiaTheme="minorEastAsia"/>
              </w:rPr>
            </w:pPr>
            <w:r w:rsidRPr="003360B5">
              <w:rPr>
                <w:rFonts w:eastAsiaTheme="minorEastAsia"/>
              </w:rPr>
              <w:t>Maintenance of the target reflects the ambition of the Education State for excellence in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in the top two bands for numeracy in Year 9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25.3</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2.02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in the top two bands for reading in Year 7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30.7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30.1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1.44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in the top two bands for reading in Year 9 (NAPLAN testing)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23</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22.8</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22.6</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 When interpreting results, a 95 per cent confidence interval of +/</w:t>
            </w:r>
            <w:r w:rsidRPr="003360B5">
              <w:rPr>
                <w:rFonts w:eastAsiaTheme="minorEastAsia"/>
              </w:rPr>
              <w:noBreakHyphen/>
              <w:t xml:space="preserve"> 1.57 percentage points needs to be considered as the reported number is an estimate of the student ability for which there is associated measurement error, standard to any such assessment. </w:t>
            </w:r>
          </w:p>
          <w:p w:rsidR="00E25CC6" w:rsidRPr="003360B5" w:rsidRDefault="00E25CC6" w:rsidP="00E447C6">
            <w:pPr>
              <w:pStyle w:val="OGNotes"/>
              <w:rPr>
                <w:rFonts w:eastAsiaTheme="minorEastAsia"/>
              </w:rPr>
            </w:pPr>
            <w:r w:rsidRPr="003360B5">
              <w:rPr>
                <w:rFonts w:eastAsiaTheme="minorEastAsia"/>
              </w:rPr>
              <w:t>The 2015</w:t>
            </w:r>
            <w:r w:rsidRPr="003360B5">
              <w:rPr>
                <w:rFonts w:eastAsiaTheme="minorEastAsia"/>
              </w:rPr>
              <w:noBreakHyphen/>
              <w:t>16 expected outcome is higher than the 2015</w:t>
            </w:r>
            <w:r w:rsidRPr="003360B5">
              <w:rPr>
                <w:rFonts w:eastAsiaTheme="minorEastAsia"/>
              </w:rPr>
              <w:noBreakHyphen/>
              <w:t>16 target, which may be attributable to year</w:t>
            </w:r>
            <w:r>
              <w:rPr>
                <w:rFonts w:eastAsiaTheme="minorEastAsia"/>
              </w:rPr>
              <w:noBreakHyphen/>
            </w:r>
            <w:r w:rsidRPr="003360B5">
              <w:rPr>
                <w:rFonts w:eastAsiaTheme="minorEastAsia"/>
              </w:rPr>
              <w:t>on</w:t>
            </w:r>
            <w:r>
              <w:rPr>
                <w:rFonts w:eastAsiaTheme="minorEastAsia"/>
              </w:rPr>
              <w:noBreakHyphen/>
            </w:r>
            <w:r w:rsidRPr="003360B5">
              <w:rPr>
                <w:rFonts w:eastAsiaTheme="minorEastAsia"/>
              </w:rPr>
              <w:t xml:space="preserve">year cohort and assessment variations. </w:t>
            </w:r>
          </w:p>
          <w:p w:rsidR="00E25CC6" w:rsidRPr="003360B5" w:rsidRDefault="00E25CC6" w:rsidP="00E447C6">
            <w:pPr>
              <w:pStyle w:val="OGNotes"/>
              <w:rPr>
                <w:rFonts w:eastAsiaTheme="minorEastAsia"/>
              </w:rPr>
            </w:pPr>
            <w:r w:rsidRPr="003360B5">
              <w:rPr>
                <w:rFonts w:eastAsiaTheme="minorEastAsia"/>
              </w:rPr>
              <w:t>The higher 2016</w:t>
            </w:r>
            <w:r w:rsidRPr="003360B5">
              <w:rPr>
                <w:rFonts w:eastAsiaTheme="minorEastAsia"/>
              </w:rPr>
              <w:noBreakHyphen/>
              <w:t>17 target reflects the ambition of the Education State for excellence in reading and maths and breaking the link between disadvantage and achievement.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students who remain at school from Year 7 to Year 12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92.2</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90.6</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88</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89.1</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8684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w:t>
            </w:r>
          </w:p>
          <w:p w:rsidR="00E25CC6" w:rsidRPr="003360B5" w:rsidRDefault="00E25CC6" w:rsidP="00E86846">
            <w:pPr>
              <w:pStyle w:val="OGNotes"/>
              <w:rPr>
                <w:rFonts w:eastAsiaTheme="minorEastAsia"/>
              </w:rPr>
            </w:pPr>
            <w:r w:rsidRPr="003360B5">
              <w:rPr>
                <w:rFonts w:eastAsiaTheme="minorEastAsia"/>
              </w:rPr>
              <w:t>The higher 2016</w:t>
            </w:r>
            <w:r w:rsidRPr="003360B5">
              <w:rPr>
                <w:rFonts w:eastAsiaTheme="minorEastAsia"/>
              </w:rPr>
              <w:noBreakHyphen/>
              <w:t xml:space="preserve">17 target reflects the additional support for students at risk of or experiencing disengagement such as additional loadings for disadvantage, the Navigator initiative, and LOOKOUT Education Support centres.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Percentage of Victorian Certificate of Applied Learning Certificates satisfactorily completed by school students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76</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76.9</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78</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78.6</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E447C6">
            <w:pPr>
              <w:pStyle w:val="OGNotes"/>
              <w:rPr>
                <w:rFonts w:eastAsiaTheme="minorEastAsia"/>
              </w:rPr>
            </w:pPr>
            <w:r w:rsidRPr="003360B5">
              <w:rPr>
                <w:rFonts w:eastAsiaTheme="minorEastAsia"/>
                <w:iCs/>
              </w:rPr>
              <w:t>The lower 2016</w:t>
            </w:r>
            <w:r w:rsidRPr="003360B5">
              <w:rPr>
                <w:rFonts w:eastAsiaTheme="minorEastAsia"/>
                <w:i w:val="0"/>
              </w:rPr>
              <w:noBreakHyphen/>
            </w:r>
            <w:r w:rsidRPr="003360B5">
              <w:rPr>
                <w:rFonts w:eastAsiaTheme="minorEastAsia"/>
                <w:iCs/>
              </w:rPr>
              <w:t>17 target reflects analysis of previous years</w:t>
            </w:r>
            <w:r>
              <w:rPr>
                <w:rFonts w:eastAsiaTheme="minorEastAsia"/>
                <w:iCs/>
              </w:rPr>
              <w:t>’</w:t>
            </w:r>
            <w:r w:rsidRPr="003360B5">
              <w:rPr>
                <w:rFonts w:eastAsiaTheme="minorEastAsia"/>
                <w:iCs/>
              </w:rPr>
              <w:t xml:space="preserve"> targets and outcomes and includes the impact of students leaving schooling prior-to certificate completion for employment and alternative training (i.e. apprenticeships and traineeships</w:t>
            </w:r>
            <w:r w:rsidRPr="003360B5">
              <w:rPr>
                <w:rFonts w:eastAsiaTheme="minorEastAsia"/>
              </w:rPr>
              <w:t>.</w:t>
            </w:r>
          </w:p>
        </w:tc>
      </w:tr>
      <w:tr w:rsidR="00E25CC6" w:rsidRPr="003360B5" w:rsidTr="00E447C6">
        <w:trPr>
          <w:cantSplit/>
        </w:trPr>
        <w:tc>
          <w:tcPr>
            <w:tcW w:w="3145" w:type="dxa"/>
            <w:tcBorders>
              <w:top w:val="nil"/>
              <w:left w:val="nil"/>
              <w:bottom w:val="nil"/>
              <w:right w:val="nil"/>
            </w:tcBorders>
          </w:tcPr>
          <w:p w:rsidR="00E25CC6" w:rsidRPr="003360B5" w:rsidRDefault="00E25CC6" w:rsidP="009E3CA8">
            <w:pPr>
              <w:pStyle w:val="OGTabText"/>
              <w:rPr>
                <w:rFonts w:eastAsiaTheme="minorEastAsia"/>
                <w:lang w:eastAsia="en-AU"/>
              </w:rPr>
            </w:pPr>
            <w:r w:rsidRPr="003360B5">
              <w:rPr>
                <w:rFonts w:eastAsiaTheme="minorEastAsia"/>
                <w:lang w:eastAsia="en-AU"/>
              </w:rPr>
              <w:t>Years 7</w:t>
            </w:r>
            <w:r>
              <w:rPr>
                <w:rFonts w:eastAsiaTheme="minorEastAsia"/>
                <w:lang w:eastAsia="en-AU"/>
              </w:rPr>
              <w:t>–</w:t>
            </w:r>
            <w:r w:rsidRPr="003360B5">
              <w:rPr>
                <w:rFonts w:eastAsiaTheme="minorEastAsia"/>
                <w:lang w:eastAsia="en-AU"/>
              </w:rPr>
              <w:t>9 students</w:t>
            </w:r>
            <w:r>
              <w:rPr>
                <w:rFonts w:eastAsiaTheme="minorEastAsia"/>
                <w:lang w:eastAsia="en-AU"/>
              </w:rPr>
              <w:t>’</w:t>
            </w:r>
            <w:r w:rsidRPr="003360B5">
              <w:rPr>
                <w:rFonts w:eastAsiaTheme="minorEastAsia"/>
                <w:lang w:eastAsia="en-AU"/>
              </w:rPr>
              <w:t xml:space="preserve"> opinion of their connectedness with the school</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 (1</w:t>
            </w:r>
            <w:r w:rsidRPr="003360B5">
              <w:rPr>
                <w:rFonts w:ascii="Calibri" w:eastAsiaTheme="minorEastAsia" w:hAnsi="Calibri" w:cs="Calibri"/>
                <w:sz w:val="19"/>
                <w:szCs w:val="22"/>
                <w:lang w:eastAsia="en-AU"/>
              </w:rPr>
              <w:noBreakHyphen/>
              <w:t>5)</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3.7</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3.7</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refers to government schools only. Data are drawn from the Attitudes to School Survey, where responses are provided on a scale of 1 to 5 and a higher score represents a higher level of connectedness (that is, students feel they belong and enjoy attending school).</w:t>
            </w:r>
          </w:p>
        </w:tc>
      </w:tr>
      <w:tr w:rsidR="00E25CC6" w:rsidRPr="003360B5" w:rsidTr="00505F6B">
        <w:trPr>
          <w:cantSplit/>
        </w:trPr>
        <w:tc>
          <w:tcPr>
            <w:tcW w:w="3145" w:type="dxa"/>
            <w:tcBorders>
              <w:top w:val="nil"/>
              <w:left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Cost</w:t>
            </w: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A34EEC">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output cost</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4 156.8</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3 911.3</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3 866.2</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3 696.3</w:t>
            </w:r>
          </w:p>
        </w:tc>
      </w:tr>
      <w:tr w:rsidR="00E25CC6" w:rsidRPr="003360B5" w:rsidTr="00C34F28">
        <w:trPr>
          <w:cantSplit/>
        </w:trPr>
        <w:tc>
          <w:tcPr>
            <w:tcW w:w="7767" w:type="dxa"/>
            <w:gridSpan w:val="6"/>
            <w:tcBorders>
              <w:top w:val="nil"/>
              <w:left w:val="nil"/>
              <w:bottom w:val="single" w:sz="12" w:space="0" w:color="auto"/>
              <w:right w:val="nil"/>
            </w:tcBorders>
          </w:tcPr>
          <w:p w:rsidR="00E25CC6" w:rsidRPr="003360B5" w:rsidRDefault="00E25CC6" w:rsidP="00656BCC">
            <w:pPr>
              <w:pStyle w:val="OGNotes"/>
              <w:rPr>
                <w:rFonts w:eastAsiaTheme="minorEastAsia"/>
              </w:rPr>
            </w:pPr>
            <w:r w:rsidRPr="003360B5">
              <w:rPr>
                <w:rFonts w:eastAsiaTheme="minorEastAsia"/>
              </w:rPr>
              <w:t>The higher 2016</w:t>
            </w:r>
            <w:r w:rsidRPr="003360B5">
              <w:rPr>
                <w:rFonts w:eastAsiaTheme="minorEastAsia"/>
              </w:rPr>
              <w:noBreakHyphen/>
              <w:t>17 target primarily reflects indexation and release of Education State funding.</w:t>
            </w:r>
          </w:p>
        </w:tc>
      </w:tr>
    </w:tbl>
    <w:p w:rsidR="00E25CC6" w:rsidRPr="003360B5" w:rsidRDefault="00E25CC6" w:rsidP="00505F6B">
      <w:pPr>
        <w:pStyle w:val="Source"/>
      </w:pPr>
      <w:r w:rsidRPr="003360B5">
        <w:rPr>
          <w:rFonts w:eastAsiaTheme="minorHAnsi"/>
        </w:rPr>
        <w:t xml:space="preserve">Source: Department of Education and Training </w:t>
      </w:r>
      <w:r w:rsidRPr="003360B5">
        <w:rPr>
          <w:rFonts w:eastAsiaTheme="minorHAnsi"/>
        </w:rPr>
        <w:fldChar w:fldCharType="begin"/>
      </w:r>
      <w:r w:rsidRPr="003360B5">
        <w:instrText xml:space="preserve"> XE "Department of Education and Training:School Education" \r "DET_SchoolEduc" </w:instrText>
      </w:r>
      <w:r w:rsidRPr="003360B5">
        <w:rPr>
          <w:rFonts w:eastAsiaTheme="minorHAnsi"/>
        </w:rPr>
        <w:fldChar w:fldCharType="end"/>
      </w:r>
      <w:r>
        <w:rPr>
          <w:rFonts w:eastAsiaTheme="minorHAnsi"/>
        </w:rPr>
        <w:t xml:space="preserve"> </w:t>
      </w:r>
      <w:r w:rsidRPr="003360B5">
        <w:rPr>
          <w:rFonts w:eastAsiaTheme="minorHAnsi"/>
        </w:rPr>
        <w:fldChar w:fldCharType="begin"/>
      </w:r>
      <w:r w:rsidRPr="003360B5">
        <w:instrText xml:space="preserve"> XE "Education:School Education" \r "DET_SchoolEduc" </w:instrText>
      </w:r>
      <w:r w:rsidRPr="003360B5">
        <w:rPr>
          <w:rFonts w:eastAsiaTheme="minorHAnsi"/>
        </w:rPr>
        <w:fldChar w:fldCharType="end"/>
      </w:r>
    </w:p>
    <w:bookmarkEnd w:id="62"/>
    <w:p w:rsidR="00E25CC6" w:rsidRPr="003360B5" w:rsidRDefault="00E25CC6" w:rsidP="00562AB7">
      <w:r w:rsidRPr="003360B5">
        <w:br w:type="page"/>
      </w:r>
    </w:p>
    <w:p w:rsidR="00E25CC6" w:rsidRPr="003360B5" w:rsidRDefault="00E25CC6" w:rsidP="00562AB7">
      <w:pPr>
        <w:pStyle w:val="OGHeading1"/>
      </w:pPr>
      <w:r w:rsidRPr="003360B5">
        <w:t xml:space="preserve">Training, Higher Education, Workforce Development and Skills </w:t>
      </w:r>
    </w:p>
    <w:p w:rsidR="00E25CC6" w:rsidRPr="003360B5" w:rsidRDefault="00E25CC6" w:rsidP="008855E2">
      <w:pPr>
        <w:pStyle w:val="OGText"/>
        <w:spacing w:after="80"/>
      </w:pPr>
      <w:bookmarkStart w:id="63" w:name="DET_TrainHigherEdWkfrceDevelop"/>
      <w:r w:rsidRPr="003360B5">
        <w:t>The Training, Higher Education, Workforce Development and Skills output supports Victorians to gain the skills and capabilities essential for success in employment and further training or study. The Victorian Government expects the vocational education and training sector to deliver high</w:t>
      </w:r>
      <w:r>
        <w:noBreakHyphen/>
      </w:r>
      <w:r w:rsidRPr="003360B5">
        <w:t>quality training that strongly supports industry to meet the evolving needs of the economy; promote equity and address the disadvantaged; and aligns with economic priorities, with an emphasis on growth sectors. An innovative, dynamic, sustainable and stable vocational education and training system working effectively with other education sectors is critical to the achievement of the Government</w:t>
      </w:r>
      <w:r>
        <w:t>’</w:t>
      </w:r>
      <w:r w:rsidRPr="003360B5">
        <w:t xml:space="preserve">s vision for establishing Victoria as the Education State.  </w:t>
      </w:r>
    </w:p>
    <w:p w:rsidR="00E25CC6" w:rsidRPr="003360B5" w:rsidRDefault="00E25CC6" w:rsidP="008855E2">
      <w:pPr>
        <w:pStyle w:val="OGText"/>
        <w:spacing w:after="80"/>
      </w:pPr>
      <w:r w:rsidRPr="003360B5">
        <w:t>This output includes the functions of system design, industry engagement, consumer information, contracting and monitoring of vocational education and training services. It involves the development and implementation of strategies for accredited and pre</w:t>
      </w:r>
      <w:r>
        <w:noBreakHyphen/>
      </w:r>
      <w:r w:rsidRPr="003360B5">
        <w:t>accredited vocational education and training through adult community education. In addition, this output funds initiatives that support training and jobs, including upskilling workforces, particularly to support industry to meet the evolving needs of the economy and its priorities; and promote equity and address the disadvantaged. The emphasis is on industry growth sectors, and VET sector reform.</w:t>
      </w:r>
    </w:p>
    <w:p w:rsidR="00E25CC6" w:rsidRPr="003360B5" w:rsidRDefault="00E25CC6" w:rsidP="008855E2">
      <w:pPr>
        <w:rPr>
          <w:rFonts w:ascii="Calibri" w:hAnsi="Calibri"/>
          <w:sz w:val="20"/>
          <w:szCs w:val="18"/>
        </w:rPr>
      </w:pPr>
      <w:r w:rsidRPr="003360B5">
        <w:br w:type="page"/>
      </w:r>
    </w:p>
    <w:tbl>
      <w:tblPr>
        <w:tblW w:w="7767" w:type="dxa"/>
        <w:tblInd w:w="45" w:type="dxa"/>
        <w:tblLayout w:type="fixed"/>
        <w:tblCellMar>
          <w:left w:w="45" w:type="dxa"/>
          <w:right w:w="45" w:type="dxa"/>
        </w:tblCellMar>
        <w:tblLook w:val="0000" w:firstRow="0" w:lastRow="0" w:firstColumn="0" w:lastColumn="0" w:noHBand="0" w:noVBand="0"/>
      </w:tblPr>
      <w:tblGrid>
        <w:gridCol w:w="3145"/>
        <w:gridCol w:w="907"/>
        <w:gridCol w:w="907"/>
        <w:gridCol w:w="993"/>
        <w:gridCol w:w="907"/>
        <w:gridCol w:w="908"/>
      </w:tblGrid>
      <w:tr w:rsidR="00E25CC6" w:rsidRPr="003360B5" w:rsidTr="00B06FBA">
        <w:trPr>
          <w:cantSplit/>
          <w:tblHeader/>
        </w:trPr>
        <w:tc>
          <w:tcPr>
            <w:tcW w:w="3145"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b/>
                <w:bCs/>
                <w:sz w:val="19"/>
                <w:szCs w:val="22"/>
                <w:lang w:eastAsia="en-AU"/>
              </w:rPr>
              <w:t>Major outputs/deliverables</w:t>
            </w:r>
          </w:p>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center"/>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2016</w:t>
            </w:r>
            <w:r w:rsidRPr="003360B5">
              <w:rPr>
                <w:rFonts w:ascii="Calibri" w:eastAsiaTheme="minorEastAsia" w:hAnsi="Calibri" w:cs="Calibri"/>
                <w:i/>
                <w:iCs/>
                <w:sz w:val="19"/>
                <w:szCs w:val="22"/>
                <w:lang w:eastAsia="en-AU"/>
              </w:rPr>
              <w:noBreakHyphen/>
              <w:t>17 target</w:t>
            </w:r>
          </w:p>
        </w:tc>
        <w:tc>
          <w:tcPr>
            <w:tcW w:w="993"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2014</w:t>
            </w:r>
            <w:r w:rsidRPr="003360B5">
              <w:rPr>
                <w:rFonts w:ascii="Calibri" w:eastAsiaTheme="minorEastAsia" w:hAnsi="Calibri" w:cs="Calibri"/>
                <w:i/>
                <w:iCs/>
                <w:sz w:val="19"/>
                <w:szCs w:val="22"/>
                <w:lang w:eastAsia="en-AU"/>
              </w:rPr>
              <w:noBreakHyphen/>
              <w:t>15 actual</w:t>
            </w:r>
          </w:p>
        </w:tc>
      </w:tr>
      <w:tr w:rsidR="00E25CC6" w:rsidRPr="003360B5" w:rsidTr="00E447C6">
        <w:trPr>
          <w:cantSplit/>
        </w:trPr>
        <w:tc>
          <w:tcPr>
            <w:tcW w:w="7767" w:type="dxa"/>
            <w:gridSpan w:val="6"/>
            <w:tcBorders>
              <w:top w:val="single" w:sz="6" w:space="0" w:color="auto"/>
              <w:left w:val="nil"/>
              <w:bottom w:val="nil"/>
              <w:right w:val="nil"/>
            </w:tcBorders>
          </w:tcPr>
          <w:p w:rsidR="00E25CC6" w:rsidRPr="003360B5" w:rsidRDefault="00E25CC6" w:rsidP="00E447C6">
            <w:pPr>
              <w:pStyle w:val="OGHeading2"/>
              <w:rPr>
                <w:rFonts w:eastAsiaTheme="minorEastAsia"/>
                <w:lang w:eastAsia="en-AU"/>
              </w:rPr>
            </w:pPr>
            <w:r w:rsidRPr="003360B5">
              <w:rPr>
                <w:rFonts w:eastAsiaTheme="minorEastAsia"/>
                <w:lang w:eastAsia="en-AU"/>
              </w:rPr>
              <w:t xml:space="preserve">Training, Higher Education, Workforce Development and Skills </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8855E2">
            <w:pPr>
              <w:pStyle w:val="OGText"/>
              <w:spacing w:after="80"/>
              <w:rPr>
                <w:rFonts w:eastAsiaTheme="minorEastAsia"/>
                <w:lang w:eastAsia="en-AU"/>
              </w:rPr>
            </w:pPr>
            <w:r w:rsidRPr="003360B5">
              <w:rPr>
                <w:rFonts w:eastAsiaTheme="minorEastAsia"/>
                <w:lang w:eastAsia="en-AU"/>
              </w:rPr>
              <w:t xml:space="preserve">This output promotes quality of training and supports Victorians to acquire knowledge and skills and Victorian industries and businesses to grow or adjust through access to skilled workers by: </w:t>
            </w:r>
          </w:p>
          <w:p w:rsidR="00E25CC6" w:rsidRPr="003360B5" w:rsidRDefault="00E25CC6" w:rsidP="008855E2">
            <w:pPr>
              <w:pStyle w:val="OGBullet"/>
              <w:spacing w:after="100"/>
              <w:ind w:left="357" w:hanging="357"/>
              <w:rPr>
                <w:rFonts w:eastAsiaTheme="minorEastAsia"/>
                <w:lang w:eastAsia="en-AU"/>
              </w:rPr>
            </w:pPr>
            <w:r w:rsidRPr="003360B5">
              <w:rPr>
                <w:rFonts w:eastAsiaTheme="minorEastAsia"/>
                <w:lang w:eastAsia="en-AU"/>
              </w:rPr>
              <w:t>developing strategic advice on Victoria</w:t>
            </w:r>
            <w:r>
              <w:rPr>
                <w:rFonts w:eastAsiaTheme="minorEastAsia"/>
                <w:lang w:eastAsia="en-AU"/>
              </w:rPr>
              <w:t>’</w:t>
            </w:r>
            <w:r w:rsidRPr="003360B5">
              <w:rPr>
                <w:rFonts w:eastAsiaTheme="minorEastAsia"/>
                <w:lang w:eastAsia="en-AU"/>
              </w:rPr>
              <w:t>s skill requirements;</w:t>
            </w:r>
          </w:p>
          <w:p w:rsidR="00E25CC6" w:rsidRPr="003360B5" w:rsidRDefault="00E25CC6" w:rsidP="008855E2">
            <w:pPr>
              <w:pStyle w:val="OGBullet"/>
              <w:spacing w:after="100"/>
              <w:ind w:left="357" w:hanging="357"/>
              <w:rPr>
                <w:rFonts w:eastAsiaTheme="minorEastAsia"/>
                <w:lang w:eastAsia="en-AU"/>
              </w:rPr>
            </w:pPr>
            <w:r w:rsidRPr="003360B5">
              <w:rPr>
                <w:rFonts w:eastAsiaTheme="minorEastAsia"/>
                <w:lang w:eastAsia="en-AU"/>
              </w:rPr>
              <w:t>supporting better training choices by individuals and employers through improved access to information and advice;</w:t>
            </w:r>
          </w:p>
          <w:p w:rsidR="00E25CC6" w:rsidRPr="003360B5" w:rsidRDefault="00E25CC6" w:rsidP="008855E2">
            <w:pPr>
              <w:pStyle w:val="OGBullet"/>
              <w:spacing w:after="100"/>
              <w:ind w:left="357" w:hanging="357"/>
              <w:rPr>
                <w:rFonts w:eastAsiaTheme="minorEastAsia"/>
                <w:lang w:eastAsia="en-AU"/>
              </w:rPr>
            </w:pPr>
            <w:r w:rsidRPr="003360B5">
              <w:rPr>
                <w:rFonts w:eastAsiaTheme="minorEastAsia"/>
                <w:lang w:eastAsia="en-AU"/>
              </w:rPr>
              <w:t>contracting training delivery provided by TAFE institutes, relevant universities, not</w:t>
            </w:r>
            <w:r w:rsidRPr="003360B5">
              <w:rPr>
                <w:rFonts w:eastAsiaTheme="minorEastAsia"/>
                <w:lang w:eastAsia="en-AU"/>
              </w:rPr>
              <w:noBreakHyphen/>
              <w:t>for</w:t>
            </w:r>
            <w:r w:rsidRPr="003360B5">
              <w:rPr>
                <w:rFonts w:eastAsiaTheme="minorEastAsia"/>
                <w:lang w:eastAsia="en-AU"/>
              </w:rPr>
              <w:noBreakHyphen/>
              <w:t xml:space="preserve">profit community providers and private registered training organisations; </w:t>
            </w:r>
          </w:p>
          <w:p w:rsidR="00E25CC6" w:rsidRPr="003360B5" w:rsidRDefault="00E25CC6" w:rsidP="008855E2">
            <w:pPr>
              <w:pStyle w:val="OGBullet"/>
              <w:spacing w:after="100"/>
              <w:ind w:left="357" w:hanging="357"/>
              <w:rPr>
                <w:rFonts w:eastAsiaTheme="minorEastAsia"/>
                <w:lang w:eastAsia="en-AU"/>
              </w:rPr>
            </w:pPr>
            <w:r w:rsidRPr="003360B5">
              <w:rPr>
                <w:rFonts w:eastAsiaTheme="minorEastAsia"/>
                <w:lang w:eastAsia="en-AU"/>
              </w:rPr>
              <w:t>ensuring there is a highly capable and diverse internationally focused vocational education and training system in Victoria to support high</w:t>
            </w:r>
            <w:r>
              <w:rPr>
                <w:rFonts w:eastAsiaTheme="minorEastAsia"/>
                <w:lang w:eastAsia="en-AU"/>
              </w:rPr>
              <w:noBreakHyphen/>
            </w:r>
            <w:r w:rsidRPr="003360B5">
              <w:rPr>
                <w:rFonts w:eastAsiaTheme="minorEastAsia"/>
                <w:lang w:eastAsia="en-AU"/>
              </w:rPr>
              <w:t xml:space="preserve">quality training outcomes, workforce development and job creation; </w:t>
            </w:r>
          </w:p>
          <w:p w:rsidR="00E25CC6" w:rsidRPr="003360B5" w:rsidRDefault="00E25CC6" w:rsidP="008855E2">
            <w:pPr>
              <w:pStyle w:val="OGBullet"/>
              <w:spacing w:after="100"/>
              <w:ind w:left="357" w:hanging="357"/>
              <w:rPr>
                <w:rFonts w:eastAsiaTheme="minorEastAsia"/>
                <w:lang w:eastAsia="en-AU"/>
              </w:rPr>
            </w:pPr>
            <w:r w:rsidRPr="003360B5">
              <w:rPr>
                <w:rFonts w:eastAsiaTheme="minorEastAsia"/>
                <w:lang w:eastAsia="en-AU"/>
              </w:rPr>
              <w:t xml:space="preserve">supporting growth industries or those in adjustment, job creation and development of workforces; </w:t>
            </w:r>
          </w:p>
          <w:p w:rsidR="00E25CC6" w:rsidRPr="003360B5" w:rsidRDefault="00E25CC6" w:rsidP="008855E2">
            <w:pPr>
              <w:pStyle w:val="OGBullet"/>
              <w:spacing w:after="100"/>
              <w:ind w:left="357" w:hanging="357"/>
              <w:rPr>
                <w:rFonts w:eastAsiaTheme="minorEastAsia"/>
                <w:lang w:eastAsia="en-AU"/>
              </w:rPr>
            </w:pPr>
            <w:r w:rsidRPr="003360B5">
              <w:rPr>
                <w:rFonts w:eastAsiaTheme="minorEastAsia"/>
                <w:lang w:eastAsia="en-AU"/>
              </w:rPr>
              <w:t>developing and implementing effective strategies for accredited and pre</w:t>
            </w:r>
            <w:r>
              <w:rPr>
                <w:rFonts w:eastAsiaTheme="minorEastAsia"/>
                <w:lang w:eastAsia="en-AU"/>
              </w:rPr>
              <w:noBreakHyphen/>
            </w:r>
            <w:r w:rsidRPr="003360B5">
              <w:rPr>
                <w:rFonts w:eastAsiaTheme="minorEastAsia"/>
                <w:lang w:eastAsia="en-AU"/>
              </w:rPr>
              <w:t>accredited vocational education and training through adult community education and youth transition pathways to ensure access to and increased participation in life</w:t>
            </w:r>
            <w:r>
              <w:rPr>
                <w:rFonts w:eastAsiaTheme="minorEastAsia"/>
                <w:lang w:eastAsia="en-AU"/>
              </w:rPr>
              <w:noBreakHyphen/>
            </w:r>
            <w:r w:rsidRPr="003360B5">
              <w:rPr>
                <w:rFonts w:eastAsiaTheme="minorEastAsia"/>
                <w:lang w:eastAsia="en-AU"/>
              </w:rPr>
              <w:t xml:space="preserve">long skills development; and </w:t>
            </w:r>
          </w:p>
          <w:p w:rsidR="00E25CC6" w:rsidRPr="003360B5" w:rsidRDefault="00E25CC6" w:rsidP="008855E2">
            <w:pPr>
              <w:pStyle w:val="OGBullet"/>
              <w:spacing w:after="100"/>
              <w:ind w:left="357" w:hanging="357"/>
              <w:rPr>
                <w:rFonts w:eastAsiaTheme="minorEastAsia"/>
                <w:lang w:eastAsia="en-AU"/>
              </w:rPr>
            </w:pPr>
            <w:r w:rsidRPr="003360B5">
              <w:rPr>
                <w:rFonts w:eastAsiaTheme="minorEastAsia"/>
                <w:lang w:eastAsia="en-AU"/>
              </w:rPr>
              <w:t>growing TAFE institutes as public institutions that play a key role in helping the state to meet its economic and employment needs, as well as a unique role in the community to promote equity and address disadvantage.</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Quantity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9E3CA8">
            <w:pPr>
              <w:pStyle w:val="OGTabText"/>
              <w:rPr>
                <w:rFonts w:eastAsiaTheme="minorEastAsia"/>
                <w:lang w:eastAsia="en-AU"/>
              </w:rPr>
            </w:pPr>
            <w:r w:rsidRPr="003360B5">
              <w:rPr>
                <w:rFonts w:eastAsiaTheme="minorEastAsia"/>
                <w:lang w:eastAsia="en-AU"/>
              </w:rPr>
              <w:t>Annual government</w:t>
            </w:r>
            <w:r>
              <w:rPr>
                <w:rFonts w:eastAsiaTheme="minorEastAsia"/>
                <w:lang w:eastAsia="en-AU"/>
              </w:rPr>
              <w:noBreakHyphen/>
            </w:r>
            <w:r w:rsidRPr="003360B5">
              <w:rPr>
                <w:rFonts w:eastAsiaTheme="minorEastAsia"/>
                <w:lang w:eastAsia="en-AU"/>
              </w:rPr>
              <w:t>subsidised module enrolments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5.3</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5.3</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lower than the 2015</w:t>
            </w:r>
            <w:r w:rsidRPr="003360B5">
              <w:rPr>
                <w:rFonts w:eastAsiaTheme="minorEastAsia"/>
              </w:rPr>
              <w:noBreakHyphen/>
              <w:t>16 target due to past policy changes such as tightened eligibility to subsidised training and foundation courses, and reductions in subsidies. Enrolment numbers have also been impacted by the shift of students to VET FEE</w:t>
            </w:r>
            <w:r w:rsidRPr="003360B5">
              <w:rPr>
                <w:rFonts w:eastAsiaTheme="minorEastAsia"/>
              </w:rPr>
              <w:noBreakHyphen/>
              <w:t>HELP, and fewer enrolments in sub</w:t>
            </w:r>
            <w:r w:rsidRPr="003360B5">
              <w:rPr>
                <w:rFonts w:eastAsiaTheme="minorEastAsia"/>
              </w:rPr>
              <w:noBreakHyphen/>
              <w:t>standard training as part of the Government</w:t>
            </w:r>
            <w:r>
              <w:rPr>
                <w:rFonts w:eastAsiaTheme="minorEastAsia"/>
              </w:rPr>
              <w:t>’</w:t>
            </w:r>
            <w:r w:rsidRPr="003360B5">
              <w:rPr>
                <w:rFonts w:eastAsiaTheme="minorEastAsia"/>
              </w:rPr>
              <w:t xml:space="preserve">s implementation of the </w:t>
            </w:r>
            <w:r w:rsidRPr="009E3CA8">
              <w:rPr>
                <w:rFonts w:eastAsiaTheme="minorEastAsia"/>
                <w:i w:val="0"/>
              </w:rPr>
              <w:t>Review of Quality Assurance</w:t>
            </w:r>
            <w:r w:rsidRPr="003360B5">
              <w:rPr>
                <w:rFonts w:eastAsiaTheme="minorEastAsia"/>
              </w:rPr>
              <w:t xml:space="preserve">.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w:t>
            </w:r>
          </w:p>
        </w:tc>
      </w:tr>
      <w:tr w:rsidR="00E25CC6" w:rsidRPr="003360B5" w:rsidTr="00E447C6">
        <w:trPr>
          <w:cantSplit/>
        </w:trPr>
        <w:tc>
          <w:tcPr>
            <w:tcW w:w="3145" w:type="dxa"/>
            <w:tcBorders>
              <w:top w:val="nil"/>
              <w:left w:val="nil"/>
              <w:bottom w:val="nil"/>
              <w:right w:val="nil"/>
            </w:tcBorders>
          </w:tcPr>
          <w:p w:rsidR="00E25CC6" w:rsidRPr="003360B5" w:rsidRDefault="00E25CC6" w:rsidP="009E3CA8">
            <w:pPr>
              <w:pStyle w:val="OGTabText"/>
              <w:rPr>
                <w:rFonts w:eastAsiaTheme="minorEastAsia"/>
                <w:lang w:eastAsia="en-AU"/>
              </w:rPr>
            </w:pPr>
            <w:r w:rsidRPr="003360B5">
              <w:rPr>
                <w:rFonts w:eastAsiaTheme="minorEastAsia"/>
                <w:lang w:eastAsia="en-AU"/>
              </w:rPr>
              <w:t>Government</w:t>
            </w:r>
            <w:r>
              <w:rPr>
                <w:rFonts w:eastAsiaTheme="minorEastAsia"/>
                <w:lang w:eastAsia="en-AU"/>
              </w:rPr>
              <w:noBreakHyphen/>
            </w:r>
            <w:r w:rsidRPr="003360B5">
              <w:rPr>
                <w:rFonts w:eastAsiaTheme="minorEastAsia"/>
                <w:lang w:eastAsia="en-AU"/>
              </w:rPr>
              <w:t>subsidised student contact hours of training and further education provided</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154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154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181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181</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lower than the 2015</w:t>
            </w:r>
            <w:r w:rsidRPr="003360B5">
              <w:rPr>
                <w:rFonts w:eastAsiaTheme="minorEastAsia"/>
              </w:rPr>
              <w:noBreakHyphen/>
              <w:t>16 target due to past policy changes such as tightened eligibility to subsidised training and foundation courses, and reductions in subsidies. Enrolment numbers have also been impacted by the shift of students to VET FEE</w:t>
            </w:r>
            <w:r w:rsidRPr="003360B5">
              <w:rPr>
                <w:rFonts w:eastAsiaTheme="minorEastAsia"/>
              </w:rPr>
              <w:noBreakHyphen/>
              <w:t>HELP, and fewer enrolments in sub</w:t>
            </w:r>
            <w:r w:rsidRPr="003360B5">
              <w:rPr>
                <w:rFonts w:eastAsiaTheme="minorEastAsia"/>
              </w:rPr>
              <w:noBreakHyphen/>
              <w:t>standard training as part of the Government</w:t>
            </w:r>
            <w:r>
              <w:rPr>
                <w:rFonts w:eastAsiaTheme="minorEastAsia"/>
              </w:rPr>
              <w:t>’</w:t>
            </w:r>
            <w:r w:rsidRPr="003360B5">
              <w:rPr>
                <w:rFonts w:eastAsiaTheme="minorEastAsia"/>
              </w:rPr>
              <w:t xml:space="preserve">s implementation of the Review of Quality Assurance.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w:t>
            </w:r>
          </w:p>
        </w:tc>
      </w:tr>
      <w:tr w:rsidR="00E25CC6" w:rsidRPr="003360B5" w:rsidTr="00E447C6">
        <w:trPr>
          <w:cantSplit/>
        </w:trPr>
        <w:tc>
          <w:tcPr>
            <w:tcW w:w="3145" w:type="dxa"/>
            <w:tcBorders>
              <w:top w:val="nil"/>
              <w:left w:val="nil"/>
              <w:bottom w:val="nil"/>
              <w:right w:val="nil"/>
            </w:tcBorders>
          </w:tcPr>
          <w:p w:rsidR="00E25CC6" w:rsidRPr="003360B5" w:rsidRDefault="00E25CC6" w:rsidP="008855E2">
            <w:pPr>
              <w:pStyle w:val="OGTabText"/>
              <w:keepNext/>
              <w:rPr>
                <w:rFonts w:eastAsiaTheme="minorEastAsia"/>
                <w:lang w:eastAsia="en-AU"/>
              </w:rPr>
            </w:pPr>
            <w:r w:rsidRPr="003360B5">
              <w:rPr>
                <w:rFonts w:eastAsiaTheme="minorEastAsia"/>
                <w:lang w:eastAsia="en-AU"/>
              </w:rPr>
              <w:t>Number of apprenticeship/ traineeship commencements by new employees</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36 100</w:t>
            </w:r>
          </w:p>
        </w:tc>
        <w:tc>
          <w:tcPr>
            <w:tcW w:w="993"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36 100</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40 000</w:t>
            </w:r>
          </w:p>
        </w:tc>
        <w:tc>
          <w:tcPr>
            <w:tcW w:w="908"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40 696</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financial year. The 2015</w:t>
            </w:r>
            <w:r w:rsidRPr="003360B5">
              <w:rPr>
                <w:rFonts w:eastAsiaTheme="minorEastAsia"/>
              </w:rPr>
              <w:noBreakHyphen/>
              <w:t>16 expected outcome is lower than the 2015</w:t>
            </w:r>
            <w:r w:rsidRPr="003360B5">
              <w:rPr>
                <w:rFonts w:eastAsiaTheme="minorEastAsia"/>
              </w:rPr>
              <w:noBreakHyphen/>
              <w:t>16 target, due in part to changes to incentives under the Commonwealth Australian Apprenticeship Incentives Program, which have led to a nation</w:t>
            </w:r>
            <w:r w:rsidRPr="003360B5">
              <w:rPr>
                <w:rFonts w:eastAsiaTheme="minorEastAsia"/>
              </w:rPr>
              <w:noBreakHyphen/>
              <w:t xml:space="preserve">wide decline. Past reductions in Victorian subsidies for several courses associated with traineeships have also contributed to the result.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w:t>
            </w:r>
          </w:p>
        </w:tc>
      </w:tr>
      <w:tr w:rsidR="00E25CC6" w:rsidRPr="003360B5" w:rsidTr="00E447C6">
        <w:trPr>
          <w:cantSplit/>
        </w:trPr>
        <w:tc>
          <w:tcPr>
            <w:tcW w:w="3145" w:type="dxa"/>
            <w:tcBorders>
              <w:top w:val="nil"/>
              <w:left w:val="nil"/>
              <w:bottom w:val="nil"/>
              <w:right w:val="nil"/>
            </w:tcBorders>
          </w:tcPr>
          <w:p w:rsidR="00E25CC6" w:rsidRPr="003360B5" w:rsidRDefault="00E25CC6" w:rsidP="009E3CA8">
            <w:pPr>
              <w:pStyle w:val="OGTabText"/>
              <w:rPr>
                <w:rFonts w:eastAsiaTheme="minorEastAsia"/>
                <w:lang w:eastAsia="en-AU"/>
              </w:rPr>
            </w:pPr>
            <w:r w:rsidRPr="003360B5">
              <w:rPr>
                <w:rFonts w:eastAsiaTheme="minorEastAsia"/>
                <w:lang w:eastAsia="en-AU"/>
              </w:rPr>
              <w:t>Number of government</w:t>
            </w:r>
            <w:r>
              <w:rPr>
                <w:rFonts w:eastAsiaTheme="minorEastAsia"/>
                <w:lang w:eastAsia="en-AU"/>
              </w:rPr>
              <w:noBreakHyphen/>
            </w:r>
            <w:r w:rsidRPr="003360B5">
              <w:rPr>
                <w:rFonts w:eastAsiaTheme="minorEastAsia"/>
                <w:lang w:eastAsia="en-AU"/>
              </w:rPr>
              <w:t>subsidised course enrolments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466 681</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466 681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557 846</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lower than the 2015</w:t>
            </w:r>
            <w:r w:rsidRPr="003360B5">
              <w:rPr>
                <w:rFonts w:eastAsiaTheme="minorEastAsia"/>
              </w:rPr>
              <w:noBreakHyphen/>
              <w:t>16 target due to past policy changes such as tightened eligibility to subsidised training and foundation courses, and reductions in subsidies. Enrolment numbers have also been impacted by the shift of students to VET FEE</w:t>
            </w:r>
            <w:r w:rsidRPr="003360B5">
              <w:rPr>
                <w:rFonts w:eastAsiaTheme="minorEastAsia"/>
              </w:rPr>
              <w:noBreakHyphen/>
              <w:t>HELP, and fewer enrolments in sub</w:t>
            </w:r>
            <w:r w:rsidRPr="003360B5">
              <w:rPr>
                <w:rFonts w:eastAsiaTheme="minorEastAsia"/>
              </w:rPr>
              <w:noBreakHyphen/>
              <w:t>standard training as part of the Government</w:t>
            </w:r>
            <w:r>
              <w:rPr>
                <w:rFonts w:eastAsiaTheme="minorEastAsia"/>
              </w:rPr>
              <w:t>’</w:t>
            </w:r>
            <w:r w:rsidRPr="003360B5">
              <w:rPr>
                <w:rFonts w:eastAsiaTheme="minorEastAsia"/>
              </w:rPr>
              <w:t xml:space="preserve">s implementation of the Review of Quality Assurance.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Number of pre</w:t>
            </w:r>
            <w:r w:rsidRPr="003360B5">
              <w:rPr>
                <w:rFonts w:eastAsiaTheme="minorEastAsia"/>
                <w:lang w:eastAsia="en-AU"/>
              </w:rPr>
              <w:noBreakHyphen/>
              <w:t>accredited module enrolments government subsidised through the Adult Community and Further Education (ACFE) Board – Adult Community Education organisations and Adult Education Institutes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45 000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46 801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45 000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46 242</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5E60BC">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higher than the 2015</w:t>
            </w:r>
            <w:r w:rsidRPr="003360B5">
              <w:rPr>
                <w:rFonts w:eastAsiaTheme="minorEastAsia"/>
              </w:rPr>
              <w:noBreakHyphen/>
              <w:t>16 target, mainly due to additional investment in pre</w:t>
            </w:r>
            <w:r w:rsidRPr="003360B5">
              <w:rPr>
                <w:rFonts w:eastAsiaTheme="minorEastAsia"/>
              </w:rPr>
              <w:noBreakHyphen/>
              <w:t>accredited initiatives through 2015</w:t>
            </w:r>
            <w:r>
              <w:rPr>
                <w:rFonts w:eastAsiaTheme="minorEastAsia"/>
              </w:rPr>
              <w:noBreakHyphen/>
            </w:r>
            <w:r w:rsidRPr="003360B5">
              <w:rPr>
                <w:rFonts w:eastAsiaTheme="minorEastAsia"/>
              </w:rPr>
              <w:t xml:space="preserve">16.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Number of students enrolled in government subsidised courses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377 831</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377 831</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443 687</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lower than the 2015</w:t>
            </w:r>
            <w:r w:rsidRPr="003360B5">
              <w:rPr>
                <w:rFonts w:eastAsiaTheme="minorEastAsia"/>
              </w:rPr>
              <w:noBreakHyphen/>
              <w:t>16 target due to past policy changes such as tightened eligibility to subsidised training and foundation courses, and reductions in subsidies. Enrolment numbers have also been impacted by the shift of students to VET FEE</w:t>
            </w:r>
            <w:r w:rsidRPr="003360B5">
              <w:rPr>
                <w:rFonts w:eastAsiaTheme="minorEastAsia"/>
              </w:rPr>
              <w:noBreakHyphen/>
              <w:t>HELP, and fewer enrolments in sub</w:t>
            </w:r>
            <w:r w:rsidRPr="003360B5">
              <w:rPr>
                <w:rFonts w:eastAsiaTheme="minorEastAsia"/>
              </w:rPr>
              <w:noBreakHyphen/>
              <w:t>standard training as part of the Government</w:t>
            </w:r>
            <w:r>
              <w:rPr>
                <w:rFonts w:eastAsiaTheme="minorEastAsia"/>
              </w:rPr>
              <w:t>’</w:t>
            </w:r>
            <w:r w:rsidRPr="003360B5">
              <w:rPr>
                <w:rFonts w:eastAsiaTheme="minorEastAsia"/>
              </w:rPr>
              <w:t xml:space="preserve">s implementation of the Review of Quality Assurance.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w:t>
            </w:r>
          </w:p>
        </w:tc>
      </w:tr>
      <w:tr w:rsidR="00E25CC6" w:rsidRPr="003360B5" w:rsidTr="00E447C6">
        <w:trPr>
          <w:cantSplit/>
        </w:trPr>
        <w:tc>
          <w:tcPr>
            <w:tcW w:w="3145" w:type="dxa"/>
            <w:tcBorders>
              <w:top w:val="nil"/>
              <w:left w:val="nil"/>
              <w:bottom w:val="nil"/>
              <w:right w:val="nil"/>
            </w:tcBorders>
          </w:tcPr>
          <w:p w:rsidR="00E25CC6" w:rsidRPr="003360B5" w:rsidRDefault="00E25CC6" w:rsidP="006C091D">
            <w:pPr>
              <w:pStyle w:val="OGTabText"/>
              <w:keepNext/>
              <w:rPr>
                <w:rFonts w:eastAsiaTheme="minorEastAsia"/>
                <w:lang w:eastAsia="en-AU"/>
              </w:rPr>
            </w:pPr>
            <w:r w:rsidRPr="003360B5">
              <w:rPr>
                <w:rFonts w:eastAsiaTheme="minorEastAsia"/>
                <w:lang w:eastAsia="en-AU"/>
              </w:rPr>
              <w:t>Number of students without Year 12, Certificate II or above enrolled in foundation courses</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19 775</w:t>
            </w:r>
          </w:p>
        </w:tc>
        <w:tc>
          <w:tcPr>
            <w:tcW w:w="993"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19 775</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26 762</w:t>
            </w:r>
          </w:p>
        </w:tc>
        <w:tc>
          <w:tcPr>
            <w:tcW w:w="908"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lower than the 2015</w:t>
            </w:r>
            <w:r w:rsidRPr="003360B5">
              <w:rPr>
                <w:rFonts w:eastAsiaTheme="minorEastAsia"/>
              </w:rPr>
              <w:noBreakHyphen/>
              <w:t>16 target due to a reduction in foundation course subsidy rates, tighter eligibility rules, the removal of the Certificate I in Vocational Preparation from the foundation course list, and the establishment of the Foundation Skills approved provider list. Enrolment numbers have also been impacted by the shift of students to VET FEE</w:t>
            </w:r>
            <w:r w:rsidRPr="003360B5">
              <w:rPr>
                <w:rFonts w:eastAsiaTheme="minorEastAsia"/>
              </w:rPr>
              <w:noBreakHyphen/>
              <w:t>HELP, and fewer enrolments in sub</w:t>
            </w:r>
            <w:r w:rsidRPr="003360B5">
              <w:rPr>
                <w:rFonts w:eastAsiaTheme="minorEastAsia"/>
              </w:rPr>
              <w:noBreakHyphen/>
              <w:t>standard training as part of the Government</w:t>
            </w:r>
            <w:r>
              <w:rPr>
                <w:rFonts w:eastAsiaTheme="minorEastAsia"/>
              </w:rPr>
              <w:t>’</w:t>
            </w:r>
            <w:r w:rsidRPr="003360B5">
              <w:rPr>
                <w:rFonts w:eastAsiaTheme="minorEastAsia"/>
              </w:rPr>
              <w:t xml:space="preserve">s implementation of the </w:t>
            </w:r>
            <w:r w:rsidRPr="009E3CA8">
              <w:rPr>
                <w:rFonts w:eastAsiaTheme="minorEastAsia"/>
                <w:i w:val="0"/>
              </w:rPr>
              <w:t>Review of Quality Assurance</w:t>
            </w:r>
            <w:r w:rsidRPr="003360B5">
              <w:rPr>
                <w:rFonts w:eastAsiaTheme="minorEastAsia"/>
              </w:rPr>
              <w:t xml:space="preserve">.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Grants to support workforce development, skills sector reform, structural adjustment and job creation initiatives</w:t>
            </w:r>
          </w:p>
        </w:tc>
        <w:tc>
          <w:tcPr>
            <w:tcW w:w="907" w:type="dxa"/>
            <w:tcBorders>
              <w:top w:val="nil"/>
              <w:left w:val="nil"/>
              <w:bottom w:val="nil"/>
              <w:right w:val="nil"/>
            </w:tcBorders>
          </w:tcPr>
          <w:p w:rsidR="00E25CC6" w:rsidRPr="003360B5" w:rsidRDefault="00E25CC6" w:rsidP="007D55B9">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7D55B9">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New performance measure for 2016</w:t>
            </w:r>
            <w:r w:rsidRPr="003360B5">
              <w:rPr>
                <w:rFonts w:eastAsiaTheme="minorEastAsia"/>
              </w:rPr>
              <w:noBreakHyphen/>
              <w:t>17 to reflect Government priorities regarding workforce development and job creation, in addition to student support and vocational education and training.</w:t>
            </w:r>
          </w:p>
        </w:tc>
      </w:tr>
      <w:tr w:rsidR="00E25CC6" w:rsidRPr="003360B5" w:rsidTr="00E447C6">
        <w:trPr>
          <w:cantSplit/>
        </w:trPr>
        <w:tc>
          <w:tcPr>
            <w:tcW w:w="3145" w:type="dxa"/>
            <w:tcBorders>
              <w:top w:val="nil"/>
              <w:left w:val="nil"/>
              <w:bottom w:val="nil"/>
              <w:right w:val="nil"/>
            </w:tcBorders>
          </w:tcPr>
          <w:p w:rsidR="00E25CC6" w:rsidRPr="003360B5" w:rsidRDefault="00E25CC6" w:rsidP="009E3CA8">
            <w:pPr>
              <w:pStyle w:val="OGTabText"/>
              <w:rPr>
                <w:rFonts w:eastAsiaTheme="minorEastAsia"/>
                <w:lang w:eastAsia="en-AU"/>
              </w:rPr>
            </w:pPr>
            <w:r w:rsidRPr="003360B5">
              <w:rPr>
                <w:rFonts w:eastAsiaTheme="minorEastAsia"/>
                <w:lang w:eastAsia="en-AU"/>
              </w:rPr>
              <w:t>Participation rate of 15</w:t>
            </w:r>
            <w:r>
              <w:rPr>
                <w:rFonts w:eastAsiaTheme="minorEastAsia"/>
                <w:lang w:eastAsia="en-AU"/>
              </w:rPr>
              <w:t>–</w:t>
            </w:r>
            <w:r w:rsidRPr="003360B5">
              <w:rPr>
                <w:rFonts w:eastAsiaTheme="minorEastAsia"/>
                <w:lang w:eastAsia="en-AU"/>
              </w:rPr>
              <w:t>24 year</w:t>
            </w:r>
            <w:r>
              <w:rPr>
                <w:rFonts w:eastAsiaTheme="minorEastAsia"/>
                <w:lang w:eastAsia="en-AU"/>
              </w:rPr>
              <w:noBreakHyphen/>
            </w:r>
            <w:r w:rsidRPr="003360B5">
              <w:rPr>
                <w:rFonts w:eastAsiaTheme="minorEastAsia"/>
                <w:lang w:eastAsia="en-AU"/>
              </w:rPr>
              <w:t>olds in government subsidised training and further education in Victoria</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18.7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18.7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22.5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lower than the 2015</w:t>
            </w:r>
            <w:r w:rsidRPr="003360B5">
              <w:rPr>
                <w:rFonts w:eastAsiaTheme="minorEastAsia"/>
              </w:rPr>
              <w:noBreakHyphen/>
              <w:t>16 target due to past policy changes such as tightened eligibility to subsidised training and foundation courses, and reductions in subsidies. Enrolment numbers have also been impacted by the shift of students to VET FEE</w:t>
            </w:r>
            <w:r w:rsidRPr="003360B5">
              <w:rPr>
                <w:rFonts w:eastAsiaTheme="minorEastAsia"/>
              </w:rPr>
              <w:noBreakHyphen/>
              <w:t>HELP, and fewer enrolments in sub</w:t>
            </w:r>
            <w:r w:rsidRPr="003360B5">
              <w:rPr>
                <w:rFonts w:eastAsiaTheme="minorEastAsia"/>
              </w:rPr>
              <w:noBreakHyphen/>
              <w:t>standard training as part of the Government</w:t>
            </w:r>
            <w:r>
              <w:rPr>
                <w:rFonts w:eastAsiaTheme="minorEastAsia"/>
              </w:rPr>
              <w:t>’</w:t>
            </w:r>
            <w:r w:rsidRPr="003360B5">
              <w:rPr>
                <w:rFonts w:eastAsiaTheme="minorEastAsia"/>
              </w:rPr>
              <w:t xml:space="preserve">s implementation of the Review of Quality Assurance.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w:t>
            </w:r>
          </w:p>
        </w:tc>
      </w:tr>
      <w:tr w:rsidR="00E25CC6" w:rsidRPr="003360B5" w:rsidTr="00E447C6">
        <w:trPr>
          <w:cantSplit/>
        </w:trPr>
        <w:tc>
          <w:tcPr>
            <w:tcW w:w="3145" w:type="dxa"/>
            <w:tcBorders>
              <w:top w:val="nil"/>
              <w:left w:val="nil"/>
              <w:bottom w:val="nil"/>
              <w:right w:val="nil"/>
            </w:tcBorders>
          </w:tcPr>
          <w:p w:rsidR="00E25CC6" w:rsidRPr="003360B5" w:rsidRDefault="00E25CC6" w:rsidP="009E3CA8">
            <w:pPr>
              <w:pStyle w:val="OGTabText"/>
              <w:rPr>
                <w:rFonts w:eastAsiaTheme="minorEastAsia"/>
                <w:lang w:eastAsia="en-AU"/>
              </w:rPr>
            </w:pPr>
            <w:r w:rsidRPr="003360B5">
              <w:rPr>
                <w:rFonts w:eastAsiaTheme="minorEastAsia"/>
                <w:lang w:eastAsia="en-AU"/>
              </w:rPr>
              <w:t>Participation rate of 25</w:t>
            </w:r>
            <w:r>
              <w:rPr>
                <w:rFonts w:eastAsiaTheme="minorEastAsia"/>
                <w:lang w:eastAsia="en-AU"/>
              </w:rPr>
              <w:t>–</w:t>
            </w:r>
            <w:r w:rsidRPr="003360B5">
              <w:rPr>
                <w:rFonts w:eastAsiaTheme="minorEastAsia"/>
                <w:lang w:eastAsia="en-AU"/>
              </w:rPr>
              <w:t>64 year</w:t>
            </w:r>
            <w:r>
              <w:rPr>
                <w:rFonts w:eastAsiaTheme="minorEastAsia"/>
                <w:lang w:eastAsia="en-AU"/>
              </w:rPr>
              <w:noBreakHyphen/>
            </w:r>
            <w:r w:rsidRPr="003360B5">
              <w:rPr>
                <w:rFonts w:eastAsiaTheme="minorEastAsia"/>
                <w:lang w:eastAsia="en-AU"/>
              </w:rPr>
              <w:t>olds in government subsidised training and further education in Victoria</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lower than the 2015</w:t>
            </w:r>
            <w:r w:rsidRPr="003360B5">
              <w:rPr>
                <w:rFonts w:eastAsiaTheme="minorEastAsia"/>
              </w:rPr>
              <w:noBreakHyphen/>
              <w:t>16 target due to past policy changes such as tightened eligibility to subsidised training and foundation courses, and reductions in subsidies. Enrolment numbers have also been impacted by the shift of students to VET FEE</w:t>
            </w:r>
            <w:r w:rsidRPr="003360B5">
              <w:rPr>
                <w:rFonts w:eastAsiaTheme="minorEastAsia"/>
              </w:rPr>
              <w:noBreakHyphen/>
              <w:t>HELP, and fewer enrolments in sub</w:t>
            </w:r>
            <w:r w:rsidRPr="003360B5">
              <w:rPr>
                <w:rFonts w:eastAsiaTheme="minorEastAsia"/>
              </w:rPr>
              <w:noBreakHyphen/>
              <w:t>standard training as part of the Government</w:t>
            </w:r>
            <w:r>
              <w:rPr>
                <w:rFonts w:eastAsiaTheme="minorEastAsia"/>
              </w:rPr>
              <w:t>’</w:t>
            </w:r>
            <w:r w:rsidRPr="003360B5">
              <w:rPr>
                <w:rFonts w:eastAsiaTheme="minorEastAsia"/>
              </w:rPr>
              <w:t xml:space="preserve">s implementation of the Review of Quality Assurance. </w:t>
            </w:r>
          </w:p>
          <w:p w:rsidR="00E25CC6" w:rsidRPr="003360B5" w:rsidRDefault="00E25CC6" w:rsidP="00E447C6">
            <w:pPr>
              <w:pStyle w:val="OGNotes"/>
              <w:rPr>
                <w:rFonts w:eastAsiaTheme="minorEastAsia"/>
              </w:rPr>
            </w:pPr>
            <w:r w:rsidRPr="003360B5">
              <w:rPr>
                <w:rFonts w:eastAsiaTheme="minorEastAsia"/>
              </w:rPr>
              <w:t>The lower 2016</w:t>
            </w:r>
            <w:r w:rsidRPr="003360B5">
              <w:rPr>
                <w:rFonts w:eastAsiaTheme="minorEastAsia"/>
              </w:rPr>
              <w:noBreakHyphen/>
              <w:t>17 target reflects the impact of these changes and is based on the 2015</w:t>
            </w:r>
            <w:r w:rsidRPr="003360B5">
              <w:rPr>
                <w:rFonts w:eastAsiaTheme="minorEastAsia"/>
              </w:rPr>
              <w:noBreakHyphen/>
              <w:t>16 expected outcome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Proportion of employers satisfied with the training provided by the Registered Training Organisation for apprenticeship and traineeship completers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83</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6768B8">
            <w:pPr>
              <w:pStyle w:val="OGNotes"/>
              <w:rPr>
                <w:rFonts w:eastAsiaTheme="minorEastAsia"/>
              </w:rPr>
            </w:pPr>
            <w:r w:rsidRPr="003360B5">
              <w:rPr>
                <w:rFonts w:eastAsiaTheme="minorEastAsia"/>
              </w:rPr>
              <w:t>This performance measure relates to the calendar year. The 2015</w:t>
            </w:r>
            <w:r w:rsidRPr="003360B5">
              <w:rPr>
                <w:rFonts w:eastAsiaTheme="minorEastAsia"/>
              </w:rPr>
              <w:noBreakHyphen/>
              <w:t>16 expected outcome is higher than the 2015</w:t>
            </w:r>
            <w:r w:rsidRPr="003360B5">
              <w:rPr>
                <w:rFonts w:eastAsiaTheme="minorEastAsia"/>
              </w:rPr>
              <w:noBreakHyphen/>
              <w:t xml:space="preserve">16 target due to new initiatives in response to the Review of Quality Assurance. </w:t>
            </w:r>
          </w:p>
          <w:p w:rsidR="00E25CC6" w:rsidRPr="003360B5" w:rsidRDefault="00E25CC6" w:rsidP="006768B8">
            <w:pPr>
              <w:pStyle w:val="OGNotes"/>
              <w:rPr>
                <w:rFonts w:eastAsiaTheme="minorEastAsia"/>
              </w:rPr>
            </w:pPr>
            <w:r w:rsidRPr="003360B5">
              <w:rPr>
                <w:rFonts w:eastAsiaTheme="minorEastAsia"/>
              </w:rPr>
              <w:t>The higher 2016</w:t>
            </w:r>
            <w:r w:rsidRPr="003360B5">
              <w:rPr>
                <w:rFonts w:eastAsiaTheme="minorEastAsia"/>
                <w:i w:val="0"/>
              </w:rPr>
              <w:noBreakHyphen/>
            </w:r>
            <w:r w:rsidRPr="003360B5">
              <w:rPr>
                <w:rFonts w:eastAsiaTheme="minorEastAsia"/>
              </w:rPr>
              <w:t>17 target reflects the effect of these new initiatives.</w:t>
            </w:r>
          </w:p>
        </w:tc>
      </w:tr>
      <w:tr w:rsidR="00E25CC6" w:rsidRPr="003360B5" w:rsidTr="00E447C6">
        <w:trPr>
          <w:cantSplit/>
        </w:trPr>
        <w:tc>
          <w:tcPr>
            <w:tcW w:w="3145" w:type="dxa"/>
            <w:tcBorders>
              <w:top w:val="nil"/>
              <w:left w:val="nil"/>
              <w:bottom w:val="nil"/>
              <w:right w:val="nil"/>
            </w:tcBorders>
          </w:tcPr>
          <w:p w:rsidR="00E25CC6" w:rsidRPr="003360B5" w:rsidRDefault="00E25CC6" w:rsidP="006C091D">
            <w:pPr>
              <w:pStyle w:val="OGTabText"/>
              <w:keepNext/>
              <w:rPr>
                <w:rFonts w:eastAsiaTheme="minorEastAsia"/>
                <w:lang w:eastAsia="en-AU"/>
              </w:rPr>
            </w:pPr>
            <w:r w:rsidRPr="003360B5">
              <w:rPr>
                <w:rFonts w:eastAsiaTheme="minorEastAsia"/>
                <w:lang w:eastAsia="en-AU"/>
              </w:rPr>
              <w:t>Proportion of VET completers who are satisfied with their training</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80.8</w:t>
            </w:r>
          </w:p>
        </w:tc>
        <w:tc>
          <w:tcPr>
            <w:tcW w:w="993"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78.4</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87.6</w:t>
            </w:r>
          </w:p>
        </w:tc>
        <w:tc>
          <w:tcPr>
            <w:tcW w:w="908"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0C7ABD">
            <w:pPr>
              <w:pStyle w:val="OGNotes"/>
              <w:rPr>
                <w:rFonts w:eastAsiaTheme="minorEastAsia"/>
                <w:strike/>
              </w:rPr>
            </w:pPr>
            <w:r w:rsidRPr="003360B5">
              <w:rPr>
                <w:rFonts w:eastAsiaTheme="minorEastAsia"/>
              </w:rPr>
              <w:t>This performance measure relates to training completions in the 2014 calendar year. The 2015</w:t>
            </w:r>
            <w:r w:rsidRPr="003360B5">
              <w:rPr>
                <w:rFonts w:eastAsiaTheme="minorEastAsia"/>
              </w:rPr>
              <w:noBreakHyphen/>
              <w:t>16 expected outcome is lower than the 2015</w:t>
            </w:r>
            <w:r w:rsidRPr="003360B5">
              <w:rPr>
                <w:rFonts w:eastAsiaTheme="minorEastAsia"/>
              </w:rPr>
              <w:noBreakHyphen/>
              <w:t>16 target partly as a result of poor provider practices which are now being addressed through the Government</w:t>
            </w:r>
            <w:r>
              <w:rPr>
                <w:rFonts w:eastAsiaTheme="minorEastAsia"/>
              </w:rPr>
              <w:t>’</w:t>
            </w:r>
            <w:r w:rsidRPr="003360B5">
              <w:rPr>
                <w:rFonts w:eastAsiaTheme="minorEastAsia"/>
              </w:rPr>
              <w:t xml:space="preserve">s response to the </w:t>
            </w:r>
            <w:r w:rsidRPr="009E3CA8">
              <w:rPr>
                <w:rFonts w:eastAsiaTheme="minorEastAsia"/>
                <w:i w:val="0"/>
              </w:rPr>
              <w:t>Review of Quality Assurance</w:t>
            </w:r>
            <w:r w:rsidRPr="003360B5">
              <w:rPr>
                <w:rFonts w:eastAsiaTheme="minorEastAsia"/>
              </w:rPr>
              <w:t>. In addition the 2015</w:t>
            </w:r>
            <w:r w:rsidRPr="003360B5">
              <w:rPr>
                <w:rFonts w:eastAsiaTheme="minorEastAsia"/>
              </w:rPr>
              <w:noBreakHyphen/>
              <w:t xml:space="preserve">16 target was estimated based on a small trial survey of VET students who completed training in 2013. </w:t>
            </w:r>
          </w:p>
          <w:p w:rsidR="00E25CC6" w:rsidRPr="003360B5" w:rsidRDefault="00E25CC6" w:rsidP="000C7ABD">
            <w:pPr>
              <w:pStyle w:val="OGNotes"/>
              <w:rPr>
                <w:rFonts w:eastAsiaTheme="minorEastAsia"/>
              </w:rPr>
            </w:pPr>
            <w:r w:rsidRPr="003360B5">
              <w:rPr>
                <w:rFonts w:eastAsiaTheme="minorEastAsia"/>
              </w:rPr>
              <w:t>The lower 2016</w:t>
            </w:r>
            <w:r w:rsidRPr="003360B5">
              <w:rPr>
                <w:rFonts w:eastAsiaTheme="minorEastAsia"/>
              </w:rPr>
              <w:noBreakHyphen/>
              <w:t xml:space="preserve">17 target reflects the expected results based on a broader survey of VET completers.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Proportion of VET completers with an improved employment status after training</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53.2</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50.7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61.7</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0C7ABD">
            <w:pPr>
              <w:pStyle w:val="OGNotes"/>
              <w:rPr>
                <w:rFonts w:eastAsiaTheme="minorEastAsia"/>
                <w:strike/>
              </w:rPr>
            </w:pPr>
            <w:r w:rsidRPr="003360B5">
              <w:rPr>
                <w:rFonts w:eastAsiaTheme="minorEastAsia"/>
              </w:rPr>
              <w:t>This performance measure relates to training completions in the 2014 calendar year. The 2015</w:t>
            </w:r>
            <w:r w:rsidRPr="003360B5">
              <w:rPr>
                <w:rFonts w:eastAsiaTheme="minorEastAsia"/>
              </w:rPr>
              <w:noBreakHyphen/>
              <w:t>16 expected outcome is lower than the 2015</w:t>
            </w:r>
            <w:r w:rsidRPr="003360B5">
              <w:rPr>
                <w:rFonts w:eastAsiaTheme="minorEastAsia"/>
              </w:rPr>
              <w:noBreakHyphen/>
              <w:t>16 target partly as a result of poor provider practices which are now being addressed through the Government</w:t>
            </w:r>
            <w:r>
              <w:rPr>
                <w:rFonts w:eastAsiaTheme="minorEastAsia"/>
              </w:rPr>
              <w:t>’</w:t>
            </w:r>
            <w:r w:rsidRPr="003360B5">
              <w:rPr>
                <w:rFonts w:eastAsiaTheme="minorEastAsia"/>
              </w:rPr>
              <w:t xml:space="preserve">s response to the </w:t>
            </w:r>
            <w:r w:rsidRPr="009E3CA8">
              <w:rPr>
                <w:rFonts w:eastAsiaTheme="minorEastAsia"/>
                <w:i w:val="0"/>
              </w:rPr>
              <w:t>Review of Quality Assurance</w:t>
            </w:r>
            <w:r w:rsidRPr="003360B5">
              <w:rPr>
                <w:rFonts w:eastAsiaTheme="minorEastAsia"/>
              </w:rPr>
              <w:t>. In addition the 2015</w:t>
            </w:r>
            <w:r w:rsidRPr="003360B5">
              <w:rPr>
                <w:rFonts w:eastAsiaTheme="minorEastAsia"/>
              </w:rPr>
              <w:noBreakHyphen/>
              <w:t xml:space="preserve">16 target was estimated based on a small trial survey of VET students who completed training in 2013. </w:t>
            </w:r>
          </w:p>
          <w:p w:rsidR="00E25CC6" w:rsidRPr="003360B5" w:rsidRDefault="00E25CC6" w:rsidP="000C7ABD">
            <w:pPr>
              <w:pStyle w:val="OGNotes"/>
              <w:rPr>
                <w:rFonts w:eastAsiaTheme="minorEastAsia"/>
              </w:rPr>
            </w:pPr>
            <w:r w:rsidRPr="003360B5">
              <w:rPr>
                <w:rFonts w:eastAsiaTheme="minorEastAsia"/>
              </w:rPr>
              <w:t>The lower 2016</w:t>
            </w:r>
            <w:r w:rsidRPr="003360B5">
              <w:rPr>
                <w:rFonts w:eastAsiaTheme="minorEastAsia"/>
              </w:rPr>
              <w:noBreakHyphen/>
              <w:t>17 target reflects the expected results based on a broader survey of VET completers.</w:t>
            </w:r>
          </w:p>
        </w:tc>
      </w:tr>
      <w:tr w:rsidR="00E25CC6" w:rsidRPr="003360B5" w:rsidTr="00E447C6">
        <w:trPr>
          <w:cantSplit/>
        </w:trPr>
        <w:tc>
          <w:tcPr>
            <w:tcW w:w="3145" w:type="dxa"/>
            <w:tcBorders>
              <w:top w:val="nil"/>
              <w:left w:val="nil"/>
              <w:bottom w:val="nil"/>
              <w:right w:val="nil"/>
            </w:tcBorders>
          </w:tcPr>
          <w:p w:rsidR="00E25CC6" w:rsidRPr="003360B5" w:rsidRDefault="00E25CC6" w:rsidP="008855E2">
            <w:pPr>
              <w:pStyle w:val="OGTabText"/>
              <w:keepNext/>
              <w:rPr>
                <w:rFonts w:eastAsiaTheme="minorEastAsia"/>
                <w:lang w:eastAsia="en-AU"/>
              </w:rPr>
            </w:pPr>
            <w:r w:rsidRPr="003360B5">
              <w:rPr>
                <w:rFonts w:eastAsiaTheme="minorEastAsia"/>
                <w:lang w:eastAsia="en-AU"/>
              </w:rPr>
              <w:t>Successful training completions as measured by module load completion rate</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80.7</w:t>
            </w:r>
          </w:p>
        </w:tc>
        <w:tc>
          <w:tcPr>
            <w:tcW w:w="993"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80.7</w:t>
            </w:r>
          </w:p>
        </w:tc>
        <w:tc>
          <w:tcPr>
            <w:tcW w:w="907"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81.5</w:t>
            </w:r>
          </w:p>
        </w:tc>
        <w:tc>
          <w:tcPr>
            <w:tcW w:w="908" w:type="dxa"/>
            <w:tcBorders>
              <w:top w:val="nil"/>
              <w:left w:val="nil"/>
              <w:bottom w:val="nil"/>
              <w:right w:val="nil"/>
            </w:tcBorders>
          </w:tcPr>
          <w:p w:rsidR="00E25CC6" w:rsidRPr="003360B5" w:rsidRDefault="00E25CC6" w:rsidP="008855E2">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81.5</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7E2D14">
            <w:pPr>
              <w:pStyle w:val="OGNotes"/>
              <w:rPr>
                <w:iCs/>
              </w:rPr>
            </w:pPr>
            <w:r w:rsidRPr="003360B5">
              <w:rPr>
                <w:iCs/>
              </w:rPr>
              <w:t>This performance measure relates to the calendar year. The 2015</w:t>
            </w:r>
            <w:r w:rsidRPr="003360B5">
              <w:rPr>
                <w:rFonts w:eastAsiaTheme="minorEastAsia"/>
              </w:rPr>
              <w:noBreakHyphen/>
            </w:r>
            <w:r w:rsidRPr="003360B5">
              <w:rPr>
                <w:iCs/>
              </w:rPr>
              <w:t>16 actual is lower than the 2015</w:t>
            </w:r>
            <w:r w:rsidRPr="003360B5">
              <w:rPr>
                <w:rFonts w:eastAsiaTheme="minorEastAsia"/>
              </w:rPr>
              <w:noBreakHyphen/>
            </w:r>
            <w:r w:rsidRPr="003360B5">
              <w:rPr>
                <w:iCs/>
              </w:rPr>
              <w:t xml:space="preserve">16 target. </w:t>
            </w:r>
          </w:p>
          <w:p w:rsidR="00E25CC6" w:rsidRPr="003360B5" w:rsidRDefault="00E25CC6" w:rsidP="007E2D14">
            <w:pPr>
              <w:pStyle w:val="OGNotes"/>
              <w:rPr>
                <w:rFonts w:eastAsiaTheme="minorEastAsia"/>
              </w:rPr>
            </w:pPr>
            <w:r w:rsidRPr="003360B5">
              <w:rPr>
                <w:iCs/>
              </w:rPr>
              <w:t>The lower 2016</w:t>
            </w:r>
            <w:r w:rsidRPr="003360B5">
              <w:rPr>
                <w:rFonts w:eastAsiaTheme="minorEastAsia"/>
              </w:rPr>
              <w:noBreakHyphen/>
            </w:r>
            <w:r w:rsidRPr="003360B5">
              <w:rPr>
                <w:iCs/>
              </w:rPr>
              <w:t>17 target is based on the 2015</w:t>
            </w:r>
            <w:r w:rsidRPr="003360B5">
              <w:rPr>
                <w:rFonts w:eastAsiaTheme="minorEastAsia"/>
              </w:rPr>
              <w:noBreakHyphen/>
            </w:r>
            <w:r w:rsidRPr="003360B5">
              <w:rPr>
                <w:iCs/>
              </w:rPr>
              <w:t>16 expected outcome which reflects the downward trend in training activity. This is expected to be partially offset by initiatives to lift the volume and quality of training activity.</w:t>
            </w:r>
          </w:p>
        </w:tc>
      </w:tr>
      <w:tr w:rsidR="00E25CC6" w:rsidRPr="003360B5" w:rsidTr="00505F6B">
        <w:trPr>
          <w:cantSplit/>
        </w:trPr>
        <w:tc>
          <w:tcPr>
            <w:tcW w:w="3145" w:type="dxa"/>
            <w:tcBorders>
              <w:top w:val="nil"/>
              <w:left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Cost</w:t>
            </w: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505F6B">
        <w:trPr>
          <w:cantSplit/>
        </w:trPr>
        <w:tc>
          <w:tcPr>
            <w:tcW w:w="3145" w:type="dxa"/>
            <w:tcBorders>
              <w:top w:val="nil"/>
              <w:left w:val="nil"/>
              <w:bottom w:val="single" w:sz="12" w:space="0" w:color="auto"/>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output cost</w:t>
            </w:r>
          </w:p>
        </w:tc>
        <w:tc>
          <w:tcPr>
            <w:tcW w:w="907" w:type="dxa"/>
            <w:tcBorders>
              <w:top w:val="nil"/>
              <w:left w:val="nil"/>
              <w:bottom w:val="single" w:sz="12" w:space="0" w:color="auto"/>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bottom w:val="single" w:sz="12" w:space="0" w:color="auto"/>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2 477.5</w:t>
            </w:r>
          </w:p>
        </w:tc>
        <w:tc>
          <w:tcPr>
            <w:tcW w:w="993" w:type="dxa"/>
            <w:tcBorders>
              <w:top w:val="nil"/>
              <w:left w:val="nil"/>
              <w:bottom w:val="single" w:sz="12"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2 449.7</w:t>
            </w:r>
          </w:p>
        </w:tc>
        <w:tc>
          <w:tcPr>
            <w:tcW w:w="907" w:type="dxa"/>
            <w:tcBorders>
              <w:top w:val="nil"/>
              <w:left w:val="nil"/>
              <w:bottom w:val="single" w:sz="12"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2 476.3</w:t>
            </w:r>
          </w:p>
        </w:tc>
        <w:tc>
          <w:tcPr>
            <w:tcW w:w="908" w:type="dxa"/>
            <w:tcBorders>
              <w:top w:val="nil"/>
              <w:left w:val="nil"/>
              <w:bottom w:val="single" w:sz="12" w:space="0" w:color="auto"/>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2 159.3</w:t>
            </w:r>
          </w:p>
        </w:tc>
      </w:tr>
    </w:tbl>
    <w:p w:rsidR="00E25CC6" w:rsidRPr="003360B5" w:rsidRDefault="00E25CC6" w:rsidP="00505F6B">
      <w:pPr>
        <w:pStyle w:val="Source"/>
      </w:pPr>
      <w:r w:rsidRPr="003360B5">
        <w:rPr>
          <w:rFonts w:eastAsiaTheme="minorHAnsi"/>
        </w:rPr>
        <w:t xml:space="preserve">Source: Department of Education and Training </w:t>
      </w:r>
      <w:r w:rsidRPr="003360B5">
        <w:rPr>
          <w:rFonts w:eastAsiaTheme="minorHAnsi"/>
        </w:rPr>
        <w:fldChar w:fldCharType="begin"/>
      </w:r>
      <w:r w:rsidRPr="003360B5">
        <w:instrText xml:space="preserve"> XE "Department of Education and Training:Training, Higher Education, Workforce Development and Skills" \r "DET_TrainHigherEdWkfrceDevelop" </w:instrText>
      </w:r>
      <w:r w:rsidRPr="003360B5">
        <w:rPr>
          <w:rFonts w:eastAsiaTheme="minorHAnsi"/>
        </w:rPr>
        <w:fldChar w:fldCharType="end"/>
      </w:r>
      <w:r>
        <w:rPr>
          <w:rFonts w:eastAsiaTheme="minorHAnsi"/>
        </w:rPr>
        <w:t xml:space="preserve"> </w:t>
      </w:r>
      <w:r w:rsidRPr="003360B5">
        <w:rPr>
          <w:rFonts w:eastAsiaTheme="minorHAnsi"/>
        </w:rPr>
        <w:fldChar w:fldCharType="begin"/>
      </w:r>
      <w:r w:rsidRPr="003360B5">
        <w:instrText xml:space="preserve"> XE "Education:Training, Higher Education, Workforce Development and Skills" \r "DET_TrainHigherEdWkfrceDevelop" </w:instrText>
      </w:r>
      <w:r w:rsidRPr="003360B5">
        <w:rPr>
          <w:rFonts w:eastAsiaTheme="minorHAnsi"/>
        </w:rPr>
        <w:fldChar w:fldCharType="end"/>
      </w:r>
    </w:p>
    <w:bookmarkEnd w:id="63"/>
    <w:p w:rsidR="00E25CC6" w:rsidRPr="003360B5" w:rsidRDefault="00E25CC6" w:rsidP="00505F6B">
      <w:r w:rsidRPr="003360B5">
        <w:br w:type="page"/>
      </w:r>
    </w:p>
    <w:p w:rsidR="00E25CC6" w:rsidRPr="003360B5" w:rsidRDefault="00E25CC6" w:rsidP="00505F6B">
      <w:pPr>
        <w:pStyle w:val="OGHeading1"/>
      </w:pPr>
      <w:r w:rsidRPr="003360B5">
        <w:t>Support Services Delivery</w:t>
      </w:r>
    </w:p>
    <w:p w:rsidR="00E25CC6" w:rsidRPr="003360B5" w:rsidRDefault="00E25CC6" w:rsidP="00505F6B">
      <w:pPr>
        <w:pStyle w:val="OGText"/>
      </w:pPr>
      <w:bookmarkStart w:id="64" w:name="DET_SupportSvcesDelvy"/>
      <w:r w:rsidRPr="003360B5">
        <w:t>The Support Services Delivery output group primarily covers the Regional Services Group and provides student welfare and support, student transport (excluding transport for special needs students) and health services. This output group contributes towards providing and improving services to support all the Department</w:t>
      </w:r>
      <w:r>
        <w:t>’</w:t>
      </w:r>
      <w:r w:rsidRPr="003360B5">
        <w:t>s objectives of achievement, engagement, wellbeing and productivity.</w:t>
      </w:r>
    </w:p>
    <w:tbl>
      <w:tblPr>
        <w:tblW w:w="7767" w:type="dxa"/>
        <w:tblInd w:w="45" w:type="dxa"/>
        <w:tblLayout w:type="fixed"/>
        <w:tblCellMar>
          <w:left w:w="45" w:type="dxa"/>
          <w:right w:w="45" w:type="dxa"/>
        </w:tblCellMar>
        <w:tblLook w:val="0000" w:firstRow="0" w:lastRow="0" w:firstColumn="0" w:lastColumn="0" w:noHBand="0" w:noVBand="0"/>
      </w:tblPr>
      <w:tblGrid>
        <w:gridCol w:w="3145"/>
        <w:gridCol w:w="907"/>
        <w:gridCol w:w="907"/>
        <w:gridCol w:w="993"/>
        <w:gridCol w:w="907"/>
        <w:gridCol w:w="908"/>
      </w:tblGrid>
      <w:tr w:rsidR="00E25CC6" w:rsidRPr="003360B5" w:rsidTr="00B06FBA">
        <w:trPr>
          <w:cantSplit/>
          <w:tblHeader/>
        </w:trPr>
        <w:tc>
          <w:tcPr>
            <w:tcW w:w="3145"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b/>
                <w:bCs/>
                <w:sz w:val="19"/>
                <w:szCs w:val="22"/>
                <w:lang w:eastAsia="en-AU"/>
              </w:rPr>
              <w:t>Major outputs/deliverables</w:t>
            </w:r>
          </w:p>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center"/>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2016</w:t>
            </w:r>
            <w:r w:rsidRPr="003360B5">
              <w:rPr>
                <w:rFonts w:ascii="Calibri" w:eastAsiaTheme="minorEastAsia" w:hAnsi="Calibri" w:cs="Calibri"/>
                <w:i/>
                <w:iCs/>
                <w:sz w:val="19"/>
                <w:szCs w:val="22"/>
                <w:lang w:eastAsia="en-AU"/>
              </w:rPr>
              <w:noBreakHyphen/>
              <w:t>17 target</w:t>
            </w:r>
          </w:p>
        </w:tc>
        <w:tc>
          <w:tcPr>
            <w:tcW w:w="993"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2014</w:t>
            </w:r>
            <w:r w:rsidRPr="003360B5">
              <w:rPr>
                <w:rFonts w:ascii="Calibri" w:eastAsiaTheme="minorEastAsia" w:hAnsi="Calibri" w:cs="Calibri"/>
                <w:i/>
                <w:iCs/>
                <w:sz w:val="19"/>
                <w:szCs w:val="22"/>
                <w:lang w:eastAsia="en-AU"/>
              </w:rPr>
              <w:noBreakHyphen/>
              <w:t>15 actual</w:t>
            </w:r>
          </w:p>
        </w:tc>
      </w:tr>
      <w:tr w:rsidR="00E25CC6" w:rsidRPr="003360B5" w:rsidTr="00E447C6">
        <w:trPr>
          <w:cantSplit/>
        </w:trPr>
        <w:tc>
          <w:tcPr>
            <w:tcW w:w="7767" w:type="dxa"/>
            <w:gridSpan w:val="6"/>
            <w:tcBorders>
              <w:top w:val="single" w:sz="6" w:space="0" w:color="auto"/>
              <w:left w:val="nil"/>
              <w:bottom w:val="nil"/>
              <w:right w:val="nil"/>
            </w:tcBorders>
          </w:tcPr>
          <w:p w:rsidR="00E25CC6" w:rsidRPr="003360B5" w:rsidRDefault="00E25CC6" w:rsidP="00E447C6">
            <w:pPr>
              <w:pStyle w:val="OGHeading2"/>
              <w:rPr>
                <w:rFonts w:eastAsiaTheme="minorEastAsia"/>
                <w:lang w:eastAsia="en-AU"/>
              </w:rPr>
            </w:pPr>
            <w:r w:rsidRPr="003360B5">
              <w:rPr>
                <w:rFonts w:eastAsiaTheme="minorEastAsia"/>
                <w:lang w:eastAsia="en-AU"/>
              </w:rPr>
              <w:t>Support Services Delivery</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Text"/>
              <w:rPr>
                <w:rFonts w:eastAsiaTheme="minorEastAsia"/>
                <w:lang w:eastAsia="en-AU"/>
              </w:rPr>
            </w:pPr>
            <w:r w:rsidRPr="003360B5">
              <w:rPr>
                <w:rFonts w:eastAsiaTheme="minorEastAsia"/>
                <w:lang w:eastAsia="en-AU"/>
              </w:rPr>
              <w:t>This output includes the Regional Support Group and delivers services for student welfare and support and student transport (excluding transport for special need students). It also covers school nursing services.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Quantity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Eligible Primary School students in receipt of Camps, Sports and Excursions Fund</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139 000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15619F">
            <w:pPr>
              <w:pStyle w:val="OGNotes"/>
              <w:rPr>
                <w:rFonts w:eastAsiaTheme="minorEastAsia"/>
              </w:rPr>
            </w:pPr>
            <w:r w:rsidRPr="003360B5">
              <w:rPr>
                <w:rFonts w:eastAsiaTheme="minorEastAsia"/>
              </w:rPr>
              <w:t>New performance measure for 2016</w:t>
            </w:r>
            <w:r w:rsidRPr="003360B5">
              <w:rPr>
                <w:rFonts w:eastAsiaTheme="minorEastAsia"/>
              </w:rPr>
              <w:noBreakHyphen/>
              <w:t>17 reflects government priorities regarding assisting families, to ensure all Victorian students can take part in school camps, excursions and sporting activities. This performance measure relates to the calendar year. This performance measure includes government and non</w:t>
            </w:r>
            <w:r w:rsidRPr="003360B5">
              <w:rPr>
                <w:rFonts w:eastAsiaTheme="minorEastAsia"/>
              </w:rPr>
              <w:noBreakHyphen/>
              <w:t xml:space="preserve">government schools.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Eligible Secondary School students in receipt of Camps, Sports and Excursions Fund</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81 000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nm</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New performance measure for 2016</w:t>
            </w:r>
            <w:r w:rsidRPr="003360B5">
              <w:rPr>
                <w:rFonts w:eastAsiaTheme="minorEastAsia"/>
              </w:rPr>
              <w:noBreakHyphen/>
              <w:t>17 reflects Government priorities regarding assisting families, to ensure all Victorian students can take part in school camps, excursions and sporting activities.</w:t>
            </w:r>
          </w:p>
          <w:p w:rsidR="00E25CC6" w:rsidRPr="003360B5" w:rsidRDefault="00E25CC6" w:rsidP="00505F6B">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government schools.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Investment in student welfare and support</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274.8</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305.4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261.5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220.4</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refers to government schools only.</w:t>
            </w:r>
          </w:p>
          <w:p w:rsidR="00E25CC6" w:rsidRPr="003360B5" w:rsidRDefault="00E25CC6" w:rsidP="008E3D26">
            <w:pPr>
              <w:pStyle w:val="OGNotes"/>
              <w:rPr>
                <w:rFonts w:eastAsiaTheme="minorEastAsia"/>
              </w:rPr>
            </w:pPr>
            <w:r w:rsidRPr="003360B5">
              <w:rPr>
                <w:rFonts w:eastAsiaTheme="minorEastAsia"/>
              </w:rPr>
              <w:t>The higher 2016</w:t>
            </w:r>
            <w:r w:rsidRPr="003360B5">
              <w:rPr>
                <w:rFonts w:eastAsiaTheme="minorEastAsia"/>
              </w:rPr>
              <w:noBreakHyphen/>
              <w:t>17 target primarily reflects higher estimated carry forward included in 2016</w:t>
            </w:r>
            <w:r w:rsidRPr="003360B5">
              <w:rPr>
                <w:rFonts w:eastAsiaTheme="minorEastAsia"/>
              </w:rPr>
              <w:noBreakHyphen/>
              <w:t>17 than in 2015</w:t>
            </w:r>
            <w:r w:rsidRPr="003360B5">
              <w:rPr>
                <w:rFonts w:eastAsiaTheme="minorEastAsia"/>
              </w:rPr>
              <w:noBreakHyphen/>
              <w:t xml:space="preserve">16 and new funding announced as part of the </w:t>
            </w:r>
            <w:r w:rsidRPr="003360B5">
              <w:rPr>
                <w:rFonts w:eastAsiaTheme="minorEastAsia"/>
                <w:i w:val="0"/>
              </w:rPr>
              <w:t>2016</w:t>
            </w:r>
            <w:r w:rsidRPr="003360B5">
              <w:rPr>
                <w:rFonts w:eastAsiaTheme="minorEastAsia"/>
                <w:i w:val="0"/>
              </w:rPr>
              <w:noBreakHyphen/>
              <w:t>17 Budget</w:t>
            </w:r>
            <w:r w:rsidRPr="003360B5">
              <w:rPr>
                <w:rFonts w:eastAsiaTheme="minorEastAsia"/>
              </w:rPr>
              <w:t xml:space="preserve">. </w:t>
            </w:r>
          </w:p>
          <w:p w:rsidR="00E25CC6" w:rsidRPr="003360B5" w:rsidRDefault="00E25CC6" w:rsidP="008E3D26">
            <w:pPr>
              <w:pStyle w:val="OGNotes"/>
              <w:rPr>
                <w:rFonts w:eastAsiaTheme="minorEastAsia"/>
              </w:rPr>
            </w:pPr>
            <w:r w:rsidRPr="003360B5">
              <w:rPr>
                <w:rFonts w:eastAsiaTheme="minorEastAsia"/>
              </w:rPr>
              <w:t>The higher 2015</w:t>
            </w:r>
            <w:r w:rsidRPr="003360B5">
              <w:rPr>
                <w:rFonts w:eastAsiaTheme="minorEastAsia"/>
              </w:rPr>
              <w:noBreakHyphen/>
              <w:t>16 expected outcome compared with the 2015</w:t>
            </w:r>
            <w:r w:rsidRPr="003360B5">
              <w:rPr>
                <w:rFonts w:eastAsiaTheme="minorEastAsia"/>
              </w:rPr>
              <w:noBreakHyphen/>
              <w:t>16 target primarily reflects rephasing for the Camps, Sports and Excursions fund and higher carry forward from 2014</w:t>
            </w:r>
            <w:r w:rsidRPr="003360B5">
              <w:rPr>
                <w:rFonts w:eastAsiaTheme="minorEastAsia"/>
              </w:rPr>
              <w:noBreakHyphen/>
              <w:t>15 in comparison with the estimated amount reflected in the 2015</w:t>
            </w:r>
            <w:r w:rsidRPr="003360B5">
              <w:rPr>
                <w:rFonts w:eastAsiaTheme="minorEastAsia"/>
              </w:rPr>
              <w:noBreakHyphen/>
              <w:t>16 target.</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Investment in travelling allowances and transport support (not including special needs students)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39.2</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43.8</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44.3</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44.4</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includes government and non</w:t>
            </w:r>
            <w:r w:rsidRPr="003360B5">
              <w:rPr>
                <w:rFonts w:eastAsiaTheme="minorEastAsia"/>
              </w:rPr>
              <w:noBreakHyphen/>
              <w:t>government schools.</w:t>
            </w:r>
          </w:p>
          <w:p w:rsidR="00E25CC6" w:rsidRPr="003360B5" w:rsidRDefault="00E25CC6" w:rsidP="00656BCC">
            <w:pPr>
              <w:pStyle w:val="OGNotes"/>
              <w:rPr>
                <w:rFonts w:eastAsiaTheme="minorEastAsia"/>
              </w:rPr>
            </w:pPr>
            <w:r w:rsidRPr="003360B5">
              <w:rPr>
                <w:rFonts w:eastAsiaTheme="minorEastAsia"/>
              </w:rPr>
              <w:t>The lower 2016</w:t>
            </w:r>
            <w:r w:rsidRPr="003360B5">
              <w:rPr>
                <w:rFonts w:eastAsiaTheme="minorEastAsia"/>
              </w:rPr>
              <w:noBreakHyphen/>
              <w:t xml:space="preserve">17 target primarily reflects the continued transition of the metropolitan boundary change for assessing conveyance allowance eligibility. </w:t>
            </w:r>
          </w:p>
          <w:p w:rsidR="00E25CC6" w:rsidRPr="003360B5" w:rsidRDefault="00E25CC6" w:rsidP="001965DD">
            <w:pPr>
              <w:pStyle w:val="OGNotes"/>
              <w:rPr>
                <w:rFonts w:eastAsiaTheme="minorEastAsia"/>
              </w:rPr>
            </w:pPr>
            <w:r w:rsidRPr="003360B5">
              <w:rPr>
                <w:rFonts w:eastAsiaTheme="minorEastAsia"/>
              </w:rPr>
              <w:t>The 2015</w:t>
            </w:r>
            <w:r w:rsidRPr="003360B5">
              <w:rPr>
                <w:rFonts w:eastAsiaTheme="minorEastAsia"/>
                <w:i w:val="0"/>
              </w:rPr>
              <w:noBreakHyphen/>
            </w:r>
            <w:r w:rsidRPr="003360B5">
              <w:rPr>
                <w:rFonts w:eastAsiaTheme="minorEastAsia"/>
              </w:rPr>
              <w:t>16 expected outcome is lower than the 2015</w:t>
            </w:r>
            <w:r w:rsidRPr="003360B5">
              <w:rPr>
                <w:rFonts w:eastAsiaTheme="minorEastAsia"/>
                <w:i w:val="0"/>
              </w:rPr>
              <w:noBreakHyphen/>
            </w:r>
            <w:r w:rsidRPr="003360B5">
              <w:rPr>
                <w:rFonts w:eastAsiaTheme="minorEastAsia"/>
              </w:rPr>
              <w:t xml:space="preserve">16 target primarily </w:t>
            </w:r>
            <w:r>
              <w:rPr>
                <w:rFonts w:eastAsiaTheme="minorEastAsia"/>
              </w:rPr>
              <w:t>due to</w:t>
            </w:r>
            <w:r w:rsidRPr="003360B5">
              <w:rPr>
                <w:rFonts w:eastAsiaTheme="minorEastAsia"/>
              </w:rPr>
              <w:t xml:space="preserve"> rephasing the Ticket Subsidy budget to better match service delivery.</w:t>
            </w:r>
          </w:p>
        </w:tc>
      </w:tr>
      <w:tr w:rsidR="00E25CC6" w:rsidRPr="003360B5" w:rsidTr="00E447C6">
        <w:trPr>
          <w:cantSplit/>
        </w:trPr>
        <w:tc>
          <w:tcPr>
            <w:tcW w:w="3145" w:type="dxa"/>
            <w:tcBorders>
              <w:top w:val="nil"/>
              <w:left w:val="nil"/>
              <w:bottom w:val="nil"/>
              <w:right w:val="nil"/>
            </w:tcBorders>
          </w:tcPr>
          <w:p w:rsidR="00E25CC6" w:rsidRPr="003360B5" w:rsidRDefault="00E25CC6" w:rsidP="00656BCC">
            <w:pPr>
              <w:pStyle w:val="OGTabText"/>
              <w:keepNext/>
              <w:rPr>
                <w:rFonts w:eastAsiaTheme="minorEastAsia"/>
                <w:lang w:eastAsia="en-AU"/>
              </w:rPr>
            </w:pPr>
            <w:r w:rsidRPr="003360B5">
              <w:rPr>
                <w:rFonts w:eastAsiaTheme="minorEastAsia"/>
                <w:lang w:eastAsia="en-AU"/>
              </w:rPr>
              <w:t>Prep</w:t>
            </w:r>
            <w:r w:rsidRPr="003360B5">
              <w:rPr>
                <w:rFonts w:eastAsiaTheme="minorEastAsia"/>
                <w:lang w:eastAsia="en-AU"/>
              </w:rPr>
              <w:noBreakHyphen/>
              <w:t>aged students assessed by school nurses</w:t>
            </w:r>
          </w:p>
        </w:tc>
        <w:tc>
          <w:tcPr>
            <w:tcW w:w="907" w:type="dxa"/>
            <w:tcBorders>
              <w:top w:val="nil"/>
              <w:left w:val="nil"/>
              <w:bottom w:val="nil"/>
              <w:right w:val="nil"/>
            </w:tcBorders>
          </w:tcPr>
          <w:p w:rsidR="00E25CC6" w:rsidRPr="003360B5" w:rsidRDefault="00E25CC6" w:rsidP="00656BCC">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60 000</w:t>
            </w:r>
          </w:p>
        </w:tc>
        <w:tc>
          <w:tcPr>
            <w:tcW w:w="993" w:type="dxa"/>
            <w:tcBorders>
              <w:top w:val="nil"/>
              <w:left w:val="nil"/>
              <w:bottom w:val="nil"/>
              <w:right w:val="nil"/>
            </w:tcBorders>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63 330</w:t>
            </w:r>
          </w:p>
        </w:tc>
        <w:tc>
          <w:tcPr>
            <w:tcW w:w="907" w:type="dxa"/>
            <w:tcBorders>
              <w:top w:val="nil"/>
              <w:left w:val="nil"/>
              <w:bottom w:val="nil"/>
              <w:right w:val="nil"/>
            </w:tcBorders>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57 500</w:t>
            </w:r>
          </w:p>
        </w:tc>
        <w:tc>
          <w:tcPr>
            <w:tcW w:w="908" w:type="dxa"/>
            <w:tcBorders>
              <w:top w:val="nil"/>
              <w:left w:val="nil"/>
              <w:bottom w:val="nil"/>
              <w:right w:val="nil"/>
            </w:tcBorders>
          </w:tcPr>
          <w:p w:rsidR="00E25CC6" w:rsidRPr="003360B5" w:rsidRDefault="00E25CC6" w:rsidP="00656BCC">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63 412</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505F6B">
            <w:pPr>
              <w:pStyle w:val="OGNotes"/>
              <w:rPr>
                <w:rFonts w:eastAsiaTheme="minorEastAsia"/>
              </w:rPr>
            </w:pPr>
            <w:r w:rsidRPr="003360B5">
              <w:rPr>
                <w:rFonts w:eastAsiaTheme="minorEastAsia"/>
              </w:rPr>
              <w:t>This performance measure relates to the calendar year. This performance measure includes government and non</w:t>
            </w:r>
            <w:r w:rsidRPr="003360B5">
              <w:rPr>
                <w:rFonts w:eastAsiaTheme="minorEastAsia"/>
              </w:rPr>
              <w:noBreakHyphen/>
              <w:t xml:space="preserve">government schools. </w:t>
            </w:r>
          </w:p>
          <w:p w:rsidR="00E25CC6" w:rsidRPr="003360B5" w:rsidRDefault="00E25CC6" w:rsidP="008E3D26">
            <w:pPr>
              <w:pStyle w:val="OGNotes"/>
              <w:rPr>
                <w:rFonts w:eastAsiaTheme="minorEastAsia"/>
              </w:rPr>
            </w:pPr>
            <w:r w:rsidRPr="003360B5">
              <w:rPr>
                <w:rFonts w:eastAsiaTheme="minorEastAsia"/>
              </w:rPr>
              <w:t>The 2015</w:t>
            </w:r>
            <w:r w:rsidRPr="003360B5">
              <w:rPr>
                <w:rFonts w:eastAsiaTheme="minorEastAsia"/>
                <w:i w:val="0"/>
              </w:rPr>
              <w:noBreakHyphen/>
            </w:r>
            <w:r w:rsidRPr="003360B5">
              <w:rPr>
                <w:rFonts w:eastAsiaTheme="minorEastAsia"/>
              </w:rPr>
              <w:t>16 expected outcome is higher than the 2015</w:t>
            </w:r>
            <w:r w:rsidRPr="003360B5">
              <w:rPr>
                <w:rFonts w:eastAsiaTheme="minorEastAsia"/>
                <w:i w:val="0"/>
              </w:rPr>
              <w:noBreakHyphen/>
            </w:r>
            <w:r w:rsidRPr="003360B5">
              <w:rPr>
                <w:rFonts w:eastAsiaTheme="minorEastAsia"/>
              </w:rPr>
              <w:t>16 target reflecting population growth and increased demand on services of the Primary School Nursing Program. This trend is expected to continue and the 2016</w:t>
            </w:r>
            <w:r w:rsidRPr="003360B5">
              <w:rPr>
                <w:rFonts w:eastAsiaTheme="minorEastAsia"/>
              </w:rPr>
              <w:noBreakHyphen/>
              <w:t>17 target has been increased to reflect this.</w:t>
            </w:r>
          </w:p>
        </w:tc>
      </w:tr>
      <w:tr w:rsidR="00E25CC6" w:rsidRPr="003360B5" w:rsidTr="00E447C6">
        <w:trPr>
          <w:cantSplit/>
        </w:trPr>
        <w:tc>
          <w:tcPr>
            <w:tcW w:w="3145" w:type="dxa"/>
            <w:tcBorders>
              <w:top w:val="nil"/>
              <w:left w:val="nil"/>
              <w:bottom w:val="nil"/>
              <w:right w:val="nil"/>
            </w:tcBorders>
          </w:tcPr>
          <w:p w:rsidR="00E25CC6" w:rsidRPr="003360B5" w:rsidRDefault="00E25CC6" w:rsidP="006C091D">
            <w:pPr>
              <w:pStyle w:val="OGTabText"/>
              <w:keepNext/>
              <w:rPr>
                <w:rFonts w:eastAsiaTheme="minorEastAsia"/>
                <w:lang w:eastAsia="en-AU"/>
              </w:rPr>
            </w:pPr>
            <w:r w:rsidRPr="003360B5">
              <w:rPr>
                <w:rFonts w:eastAsiaTheme="minorEastAsia"/>
                <w:lang w:eastAsia="en-AU"/>
              </w:rPr>
              <w:t>School students (government) supported by conveyance allowance</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9 600</w:t>
            </w:r>
          </w:p>
        </w:tc>
        <w:tc>
          <w:tcPr>
            <w:tcW w:w="993"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9 503</w:t>
            </w:r>
          </w:p>
        </w:tc>
        <w:tc>
          <w:tcPr>
            <w:tcW w:w="907"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9 700</w:t>
            </w:r>
          </w:p>
        </w:tc>
        <w:tc>
          <w:tcPr>
            <w:tcW w:w="908" w:type="dxa"/>
            <w:tcBorders>
              <w:top w:val="nil"/>
              <w:left w:val="nil"/>
              <w:bottom w:val="nil"/>
              <w:right w:val="nil"/>
            </w:tcBorders>
          </w:tcPr>
          <w:p w:rsidR="00E25CC6" w:rsidRPr="003360B5" w:rsidRDefault="00E25CC6" w:rsidP="006C091D">
            <w:pPr>
              <w:keepNext/>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9 815</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097E64">
            <w:pPr>
              <w:pStyle w:val="OGNotes"/>
              <w:rPr>
                <w:rFonts w:eastAsiaTheme="minorEastAsia"/>
              </w:rPr>
            </w:pPr>
            <w:r w:rsidRPr="003360B5">
              <w:rPr>
                <w:rFonts w:eastAsiaTheme="minorEastAsia"/>
              </w:rPr>
              <w:t xml:space="preserve">This performance measure relates to the calendar year. </w:t>
            </w:r>
          </w:p>
          <w:p w:rsidR="00E25CC6" w:rsidRPr="003360B5" w:rsidRDefault="00E25CC6" w:rsidP="008E3D26">
            <w:pPr>
              <w:pStyle w:val="OGNotes"/>
              <w:rPr>
                <w:rFonts w:eastAsiaTheme="minorEastAsia"/>
              </w:rPr>
            </w:pPr>
            <w:r w:rsidRPr="003360B5">
              <w:rPr>
                <w:rFonts w:eastAsiaTheme="minorEastAsia"/>
              </w:rPr>
              <w:t>The lower 2016</w:t>
            </w:r>
            <w:r w:rsidRPr="003360B5">
              <w:rPr>
                <w:rFonts w:eastAsiaTheme="minorEastAsia"/>
              </w:rPr>
              <w:noBreakHyphen/>
              <w:t>17 target reflects the introduction of an online application system which has enabled greater accuracy.</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School students (non</w:t>
            </w:r>
            <w:r w:rsidRPr="003360B5">
              <w:rPr>
                <w:rFonts w:eastAsiaTheme="minorEastAsia"/>
                <w:lang w:eastAsia="en-AU"/>
              </w:rPr>
              <w:noBreakHyphen/>
              <w:t>government) supported by conveyance allowance</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29 800</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29 990</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30 000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30 286</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097E64">
            <w:pPr>
              <w:pStyle w:val="OGNotes"/>
              <w:rPr>
                <w:rFonts w:eastAsiaTheme="minorEastAsia"/>
              </w:rPr>
            </w:pPr>
            <w:r w:rsidRPr="003360B5">
              <w:rPr>
                <w:rFonts w:eastAsiaTheme="minorEastAsia"/>
              </w:rPr>
              <w:t xml:space="preserve">This performance measure relates to the calendar year. </w:t>
            </w:r>
          </w:p>
          <w:p w:rsidR="00E25CC6" w:rsidRPr="003360B5" w:rsidRDefault="00E25CC6" w:rsidP="008E3D26">
            <w:pPr>
              <w:pStyle w:val="OGNotes"/>
              <w:rPr>
                <w:rFonts w:eastAsiaTheme="minorEastAsia"/>
              </w:rPr>
            </w:pPr>
            <w:r w:rsidRPr="003360B5">
              <w:rPr>
                <w:rFonts w:eastAsiaTheme="minorEastAsia"/>
              </w:rPr>
              <w:t>The lower 2016</w:t>
            </w:r>
            <w:r w:rsidRPr="003360B5">
              <w:rPr>
                <w:rFonts w:eastAsiaTheme="minorEastAsia"/>
              </w:rPr>
              <w:noBreakHyphen/>
              <w:t xml:space="preserve">17 target reflects the introduction of an online application system which has enabled greater accuracy.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Schools allocated a nurse through the Secondary School Nursing Program</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193</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200</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193</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193</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097E64">
            <w:pPr>
              <w:pStyle w:val="OGNotes"/>
              <w:rPr>
                <w:rFonts w:eastAsiaTheme="minorEastAsia"/>
              </w:rPr>
            </w:pPr>
            <w:r w:rsidRPr="003360B5">
              <w:rPr>
                <w:rFonts w:eastAsiaTheme="minorEastAsia"/>
              </w:rPr>
              <w:t xml:space="preserve">This performance measure relates to the calendar year. This performance measure refers to government schools only. </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Schools funded for primary welfare officers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806</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806</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806</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806</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School satisfaction with student support services</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87.4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92.4</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505F6B">
            <w:pPr>
              <w:pStyle w:val="OGNotes"/>
              <w:rPr>
                <w:rFonts w:eastAsiaTheme="minorEastAsia"/>
              </w:rPr>
            </w:pPr>
            <w:r w:rsidRPr="003360B5">
              <w:rPr>
                <w:rFonts w:eastAsiaTheme="minorEastAsia"/>
              </w:rPr>
              <w:t>This performance measure relates to the calendar year. This performance measure refers to government schools only. The methodology for calculating the level of school satisfaction (relative to dissatisfaction) was tightened in 2015 to ensure that it better reflected the intent of the measure.</w:t>
            </w:r>
          </w:p>
        </w:tc>
      </w:tr>
      <w:tr w:rsidR="00E25CC6" w:rsidRPr="003360B5" w:rsidTr="00505F6B">
        <w:trPr>
          <w:cantSplit/>
        </w:trPr>
        <w:tc>
          <w:tcPr>
            <w:tcW w:w="3145" w:type="dxa"/>
            <w:tcBorders>
              <w:top w:val="nil"/>
              <w:left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Cost</w:t>
            </w: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3635AA">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output cost</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313.9</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349.2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305.8</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276.4</w:t>
            </w:r>
          </w:p>
        </w:tc>
      </w:tr>
      <w:tr w:rsidR="00E25CC6" w:rsidRPr="003360B5" w:rsidTr="00C34F28">
        <w:trPr>
          <w:cantSplit/>
        </w:trPr>
        <w:tc>
          <w:tcPr>
            <w:tcW w:w="7767" w:type="dxa"/>
            <w:gridSpan w:val="6"/>
            <w:tcBorders>
              <w:top w:val="nil"/>
              <w:left w:val="nil"/>
              <w:bottom w:val="single" w:sz="12" w:space="0" w:color="auto"/>
              <w:right w:val="nil"/>
            </w:tcBorders>
          </w:tcPr>
          <w:p w:rsidR="00E25CC6" w:rsidRPr="003360B5" w:rsidRDefault="00E25CC6" w:rsidP="009B4A0F">
            <w:pPr>
              <w:pStyle w:val="OGNotes"/>
              <w:rPr>
                <w:rFonts w:eastAsiaTheme="minorEastAsia"/>
              </w:rPr>
            </w:pPr>
            <w:r w:rsidRPr="003360B5">
              <w:rPr>
                <w:rFonts w:eastAsiaTheme="minorEastAsia"/>
              </w:rPr>
              <w:t>The higher 2015</w:t>
            </w:r>
            <w:r w:rsidRPr="003360B5">
              <w:rPr>
                <w:rFonts w:eastAsiaTheme="minorEastAsia"/>
              </w:rPr>
              <w:noBreakHyphen/>
              <w:t>16 expected outcome compared with the 2015</w:t>
            </w:r>
            <w:r w:rsidRPr="003360B5">
              <w:rPr>
                <w:rFonts w:eastAsiaTheme="minorEastAsia"/>
              </w:rPr>
              <w:noBreakHyphen/>
              <w:t>16 target primarily reflects rephasing for the Camps, Sports and Excursions fund and higher carry forward from 2014</w:t>
            </w:r>
            <w:r w:rsidRPr="003360B5">
              <w:rPr>
                <w:rFonts w:eastAsiaTheme="minorEastAsia"/>
              </w:rPr>
              <w:noBreakHyphen/>
              <w:t>15 in comparison with the estimated amount reflected in the 2015</w:t>
            </w:r>
            <w:r w:rsidRPr="003360B5">
              <w:rPr>
                <w:rFonts w:eastAsiaTheme="minorEastAsia"/>
              </w:rPr>
              <w:noBreakHyphen/>
              <w:t>16 target.</w:t>
            </w:r>
          </w:p>
        </w:tc>
      </w:tr>
    </w:tbl>
    <w:p w:rsidR="00E25CC6" w:rsidRPr="003360B5" w:rsidRDefault="00E25CC6" w:rsidP="00505F6B">
      <w:pPr>
        <w:pStyle w:val="Source"/>
      </w:pPr>
      <w:r w:rsidRPr="003360B5">
        <w:rPr>
          <w:rFonts w:eastAsiaTheme="minorHAnsi"/>
        </w:rPr>
        <w:t xml:space="preserve">Source: Department of Education and Training </w:t>
      </w:r>
      <w:r w:rsidRPr="003360B5">
        <w:rPr>
          <w:rFonts w:eastAsiaTheme="minorHAnsi"/>
        </w:rPr>
        <w:fldChar w:fldCharType="begin"/>
      </w:r>
      <w:r w:rsidRPr="003360B5">
        <w:instrText xml:space="preserve"> XE "Department of Education and Training:Support Services Delivery" \r "DET_SupportSvcesDelvy" </w:instrText>
      </w:r>
      <w:r w:rsidRPr="003360B5">
        <w:rPr>
          <w:rFonts w:eastAsiaTheme="minorHAnsi"/>
        </w:rPr>
        <w:fldChar w:fldCharType="end"/>
      </w:r>
      <w:r>
        <w:rPr>
          <w:rFonts w:eastAsiaTheme="minorHAnsi"/>
        </w:rPr>
        <w:t xml:space="preserve"> </w:t>
      </w:r>
      <w:r w:rsidRPr="003360B5">
        <w:rPr>
          <w:rFonts w:eastAsiaTheme="minorHAnsi"/>
        </w:rPr>
        <w:fldChar w:fldCharType="begin"/>
      </w:r>
      <w:r w:rsidRPr="003360B5">
        <w:instrText xml:space="preserve"> XE "Education:Support Services Delivery" \r "DET_SupportSvcesDelvy" </w:instrText>
      </w:r>
      <w:r w:rsidRPr="003360B5">
        <w:rPr>
          <w:rFonts w:eastAsiaTheme="minorHAnsi"/>
        </w:rPr>
        <w:fldChar w:fldCharType="end"/>
      </w:r>
    </w:p>
    <w:bookmarkEnd w:id="64"/>
    <w:p w:rsidR="00E25CC6" w:rsidRPr="003360B5" w:rsidRDefault="00E25CC6" w:rsidP="00505F6B">
      <w:r w:rsidRPr="003360B5">
        <w:br w:type="page"/>
      </w:r>
    </w:p>
    <w:p w:rsidR="00E25CC6" w:rsidRPr="003360B5" w:rsidRDefault="00E25CC6" w:rsidP="00505F6B">
      <w:pPr>
        <w:pStyle w:val="OGHeading1"/>
      </w:pPr>
      <w:r w:rsidRPr="003360B5">
        <w:t>Support for Students with Disabilities</w:t>
      </w:r>
    </w:p>
    <w:p w:rsidR="00E25CC6" w:rsidRPr="003360B5" w:rsidRDefault="00E25CC6" w:rsidP="00505F6B">
      <w:pPr>
        <w:pStyle w:val="OGText"/>
      </w:pPr>
      <w:bookmarkStart w:id="65" w:name="DET_SupportStudDisability"/>
      <w:r w:rsidRPr="003360B5">
        <w:t>The Support for Students with Disabilities output group covers the program for students with disabilities, transport, welfare and support services for students with special needs. This output group contributes towards providing and improving services to support all the Department</w:t>
      </w:r>
      <w:r>
        <w:t>’</w:t>
      </w:r>
      <w:r w:rsidRPr="003360B5">
        <w:t>s objectives of achievement, engagement, wellbeing and productivity.</w:t>
      </w:r>
    </w:p>
    <w:tbl>
      <w:tblPr>
        <w:tblW w:w="7767" w:type="dxa"/>
        <w:tblInd w:w="45" w:type="dxa"/>
        <w:tblLayout w:type="fixed"/>
        <w:tblCellMar>
          <w:left w:w="45" w:type="dxa"/>
          <w:right w:w="45" w:type="dxa"/>
        </w:tblCellMar>
        <w:tblLook w:val="0000" w:firstRow="0" w:lastRow="0" w:firstColumn="0" w:lastColumn="0" w:noHBand="0" w:noVBand="0"/>
      </w:tblPr>
      <w:tblGrid>
        <w:gridCol w:w="3145"/>
        <w:gridCol w:w="907"/>
        <w:gridCol w:w="907"/>
        <w:gridCol w:w="993"/>
        <w:gridCol w:w="907"/>
        <w:gridCol w:w="908"/>
      </w:tblGrid>
      <w:tr w:rsidR="00E25CC6" w:rsidRPr="003360B5" w:rsidTr="00B06FBA">
        <w:trPr>
          <w:cantSplit/>
          <w:tblHeader/>
        </w:trPr>
        <w:tc>
          <w:tcPr>
            <w:tcW w:w="3145"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b/>
                <w:bCs/>
                <w:sz w:val="19"/>
                <w:szCs w:val="22"/>
                <w:lang w:eastAsia="en-AU"/>
              </w:rPr>
              <w:t>Major outputs/deliverables</w:t>
            </w:r>
          </w:p>
          <w:p w:rsidR="00E25CC6" w:rsidRPr="003360B5" w:rsidRDefault="00E25CC6" w:rsidP="00B06FBA">
            <w:pPr>
              <w:autoSpaceDE w:val="0"/>
              <w:autoSpaceDN w:val="0"/>
              <w:adjustRightInd w:val="0"/>
              <w:spacing w:after="0"/>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center"/>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2016</w:t>
            </w:r>
            <w:r w:rsidRPr="003360B5">
              <w:rPr>
                <w:rFonts w:ascii="Calibri" w:eastAsiaTheme="minorEastAsia" w:hAnsi="Calibri" w:cs="Calibri"/>
                <w:i/>
                <w:iCs/>
                <w:sz w:val="19"/>
                <w:szCs w:val="22"/>
                <w:lang w:eastAsia="en-AU"/>
              </w:rPr>
              <w:noBreakHyphen/>
              <w:t>17 target</w:t>
            </w:r>
          </w:p>
        </w:tc>
        <w:tc>
          <w:tcPr>
            <w:tcW w:w="993"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2015</w:t>
            </w:r>
            <w:r w:rsidRPr="003360B5">
              <w:rPr>
                <w:rFonts w:ascii="Calibri" w:eastAsiaTheme="minorEastAsia"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3360B5" w:rsidRDefault="00E25CC6" w:rsidP="00B06FBA">
            <w:pPr>
              <w:autoSpaceDE w:val="0"/>
              <w:autoSpaceDN w:val="0"/>
              <w:adjustRightInd w:val="0"/>
              <w:spacing w:after="0"/>
              <w:jc w:val="right"/>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2014</w:t>
            </w:r>
            <w:r w:rsidRPr="003360B5">
              <w:rPr>
                <w:rFonts w:ascii="Calibri" w:eastAsiaTheme="minorEastAsia" w:hAnsi="Calibri" w:cs="Calibri"/>
                <w:i/>
                <w:iCs/>
                <w:sz w:val="19"/>
                <w:szCs w:val="22"/>
                <w:lang w:eastAsia="en-AU"/>
              </w:rPr>
              <w:noBreakHyphen/>
              <w:t>15 actual</w:t>
            </w:r>
          </w:p>
        </w:tc>
      </w:tr>
      <w:tr w:rsidR="00E25CC6" w:rsidRPr="003360B5" w:rsidTr="00E447C6">
        <w:trPr>
          <w:cantSplit/>
        </w:trPr>
        <w:tc>
          <w:tcPr>
            <w:tcW w:w="7767" w:type="dxa"/>
            <w:gridSpan w:val="6"/>
            <w:tcBorders>
              <w:top w:val="single" w:sz="6" w:space="0" w:color="auto"/>
              <w:left w:val="nil"/>
              <w:bottom w:val="nil"/>
              <w:right w:val="nil"/>
            </w:tcBorders>
          </w:tcPr>
          <w:p w:rsidR="00E25CC6" w:rsidRPr="003360B5" w:rsidRDefault="00E25CC6" w:rsidP="00E447C6">
            <w:pPr>
              <w:pStyle w:val="OGHeading2"/>
              <w:rPr>
                <w:rFonts w:eastAsiaTheme="minorEastAsia"/>
                <w:lang w:eastAsia="en-AU"/>
              </w:rPr>
            </w:pPr>
            <w:r w:rsidRPr="003360B5">
              <w:rPr>
                <w:rFonts w:eastAsiaTheme="minorEastAsia"/>
                <w:lang w:eastAsia="en-AU"/>
              </w:rPr>
              <w:t>Support for Students with Disabilities</w:t>
            </w:r>
          </w:p>
        </w:tc>
      </w:tr>
      <w:tr w:rsidR="00E25CC6" w:rsidRPr="003360B5" w:rsidTr="00136589">
        <w:trPr>
          <w:cantSplit/>
        </w:trPr>
        <w:tc>
          <w:tcPr>
            <w:tcW w:w="7767" w:type="dxa"/>
            <w:gridSpan w:val="6"/>
            <w:tcBorders>
              <w:top w:val="nil"/>
              <w:left w:val="nil"/>
              <w:bottom w:val="single" w:sz="6" w:space="0" w:color="auto"/>
              <w:right w:val="nil"/>
            </w:tcBorders>
          </w:tcPr>
          <w:p w:rsidR="00E25CC6" w:rsidRPr="003360B5" w:rsidRDefault="00E25CC6" w:rsidP="006768B8">
            <w:pPr>
              <w:pStyle w:val="OGText"/>
              <w:rPr>
                <w:rFonts w:eastAsiaTheme="minorEastAsia" w:cs="Calibri"/>
                <w:sz w:val="19"/>
                <w:szCs w:val="22"/>
                <w:lang w:eastAsia="en-AU"/>
              </w:rPr>
            </w:pPr>
            <w:r w:rsidRPr="003360B5">
              <w:rPr>
                <w:rFonts w:eastAsiaTheme="minorEastAsia"/>
                <w:lang w:eastAsia="en-AU"/>
              </w:rPr>
              <w:t>This output includes delivery of services for the Program for Students with Disabilities and transport, welfare and support services for students with special needs.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Quantity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Eligible special school students provided with appropriate travel</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9 217</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8 847</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8 900</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8 487</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 xml:space="preserve">This performance measure relates to the calendar year. This performance measure refers to government schools only. </w:t>
            </w:r>
          </w:p>
          <w:p w:rsidR="00E25CC6" w:rsidRPr="003360B5" w:rsidRDefault="00E25CC6" w:rsidP="00EF7439">
            <w:pPr>
              <w:pStyle w:val="OGNotes"/>
              <w:rPr>
                <w:rFonts w:eastAsiaTheme="minorEastAsia"/>
              </w:rPr>
            </w:pPr>
            <w:r w:rsidRPr="003360B5">
              <w:rPr>
                <w:rFonts w:eastAsiaTheme="minorEastAsia"/>
              </w:rPr>
              <w:t>The higher 2016</w:t>
            </w:r>
            <w:r w:rsidRPr="003360B5">
              <w:rPr>
                <w:rFonts w:eastAsiaTheme="minorEastAsia"/>
              </w:rPr>
              <w:noBreakHyphen/>
              <w:t>17 target reflects population growth.</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Students funded under the disabilities program in government schools as a proportion of the total student population</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4.2</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4.2</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4.1</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4.1</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 xml:space="preserve">This performance measure relates to the calendar year. This performance measure refers to government schools only. </w:t>
            </w:r>
          </w:p>
          <w:p w:rsidR="00E25CC6" w:rsidRPr="003360B5" w:rsidRDefault="00E25CC6" w:rsidP="00505F6B">
            <w:pPr>
              <w:pStyle w:val="OGNotes"/>
              <w:rPr>
                <w:rFonts w:eastAsiaTheme="minorEastAsia"/>
              </w:rPr>
            </w:pPr>
            <w:r w:rsidRPr="003360B5">
              <w:rPr>
                <w:rFonts w:eastAsiaTheme="minorEastAsia"/>
              </w:rPr>
              <w:t>The higher 2016</w:t>
            </w:r>
            <w:r w:rsidRPr="003360B5">
              <w:rPr>
                <w:rFonts w:eastAsiaTheme="minorEastAsia"/>
              </w:rPr>
              <w:noBreakHyphen/>
              <w:t>17 target reflects an increased proportion of students supported through the Program for Students with Disabilities.</w:t>
            </w: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E447C6">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Parent satisfaction with special education on a 100</w:t>
            </w:r>
            <w:r w:rsidRPr="003360B5">
              <w:rPr>
                <w:rFonts w:eastAsiaTheme="minorEastAsia"/>
                <w:lang w:eastAsia="en-AU"/>
              </w:rPr>
              <w:noBreakHyphen/>
              <w:t>point scale</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100</w:t>
            </w:r>
            <w:r w:rsidRPr="003360B5">
              <w:rPr>
                <w:rFonts w:ascii="Calibri" w:eastAsiaTheme="minorEastAsia" w:hAnsi="Calibri" w:cs="Calibri"/>
                <w:sz w:val="19"/>
                <w:szCs w:val="22"/>
                <w:lang w:eastAsia="en-AU"/>
              </w:rPr>
              <w:noBreakHyphen/>
              <w:t>point scale</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85</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86</w:t>
            </w:r>
          </w:p>
        </w:tc>
      </w:tr>
      <w:tr w:rsidR="00E25CC6" w:rsidRPr="003360B5" w:rsidTr="00E447C6">
        <w:trPr>
          <w:cantSplit/>
        </w:trPr>
        <w:tc>
          <w:tcPr>
            <w:tcW w:w="7767" w:type="dxa"/>
            <w:gridSpan w:val="6"/>
            <w:tcBorders>
              <w:top w:val="nil"/>
              <w:left w:val="nil"/>
              <w:bottom w:val="single" w:sz="6" w:space="0" w:color="auto"/>
              <w:right w:val="nil"/>
            </w:tcBorders>
          </w:tcPr>
          <w:p w:rsidR="00E25CC6" w:rsidRPr="003360B5" w:rsidRDefault="00E25CC6" w:rsidP="00E447C6">
            <w:pPr>
              <w:pStyle w:val="OGNotes"/>
              <w:rPr>
                <w:rFonts w:eastAsiaTheme="minorEastAsia"/>
              </w:rPr>
            </w:pPr>
            <w:r w:rsidRPr="003360B5">
              <w:rPr>
                <w:rFonts w:eastAsiaTheme="minorEastAsia"/>
              </w:rPr>
              <w:t>This performance measure relates to the calendar year. This performance measure refers to government schools only. Data is drawn from the Parent Opinion Survey, where a higher score represents a higher level of satisfaction.</w:t>
            </w:r>
          </w:p>
        </w:tc>
      </w:tr>
      <w:tr w:rsidR="00E25CC6" w:rsidRPr="003360B5" w:rsidTr="00505F6B">
        <w:trPr>
          <w:cantSplit/>
        </w:trPr>
        <w:tc>
          <w:tcPr>
            <w:tcW w:w="3145" w:type="dxa"/>
            <w:tcBorders>
              <w:top w:val="nil"/>
              <w:left w:val="nil"/>
              <w:right w:val="nil"/>
            </w:tcBorders>
          </w:tcPr>
          <w:p w:rsidR="00E25CC6" w:rsidRPr="003360B5" w:rsidRDefault="00E25CC6" w:rsidP="00E447C6">
            <w:pPr>
              <w:autoSpaceDE w:val="0"/>
              <w:autoSpaceDN w:val="0"/>
              <w:adjustRightInd w:val="0"/>
              <w:spacing w:after="0"/>
              <w:ind w:left="227" w:hanging="227"/>
              <w:rPr>
                <w:rFonts w:ascii="Calibri" w:eastAsiaTheme="minorEastAsia" w:hAnsi="Calibri" w:cs="Calibri"/>
                <w:i/>
                <w:iCs/>
                <w:sz w:val="19"/>
                <w:szCs w:val="22"/>
                <w:lang w:eastAsia="en-AU"/>
              </w:rPr>
            </w:pPr>
            <w:r w:rsidRPr="003360B5">
              <w:rPr>
                <w:rFonts w:ascii="Calibri" w:eastAsiaTheme="minorEastAsia" w:hAnsi="Calibri" w:cs="Calibri"/>
                <w:i/>
                <w:iCs/>
                <w:sz w:val="19"/>
                <w:szCs w:val="22"/>
                <w:lang w:eastAsia="en-AU"/>
              </w:rPr>
              <w:t>Cost</w:t>
            </w: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93"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right w:val="nil"/>
            </w:tcBorders>
          </w:tcPr>
          <w:p w:rsidR="00E25CC6" w:rsidRPr="003360B5" w:rsidRDefault="00E25CC6" w:rsidP="00E447C6">
            <w:pPr>
              <w:autoSpaceDE w:val="0"/>
              <w:autoSpaceDN w:val="0"/>
              <w:adjustRightInd w:val="0"/>
              <w:spacing w:after="0"/>
              <w:rPr>
                <w:rFonts w:ascii="Calibri" w:eastAsiaTheme="minorEastAsia" w:hAnsi="Calibri" w:cs="Calibri"/>
                <w:sz w:val="19"/>
                <w:szCs w:val="22"/>
                <w:lang w:eastAsia="en-AU"/>
              </w:rPr>
            </w:pPr>
          </w:p>
        </w:tc>
      </w:tr>
      <w:tr w:rsidR="00E25CC6" w:rsidRPr="003360B5" w:rsidTr="009E5C33">
        <w:trPr>
          <w:cantSplit/>
        </w:trPr>
        <w:tc>
          <w:tcPr>
            <w:tcW w:w="3145" w:type="dxa"/>
            <w:tcBorders>
              <w:top w:val="nil"/>
              <w:left w:val="nil"/>
              <w:bottom w:val="nil"/>
              <w:right w:val="nil"/>
            </w:tcBorders>
          </w:tcPr>
          <w:p w:rsidR="00E25CC6" w:rsidRPr="003360B5" w:rsidRDefault="00E25CC6" w:rsidP="00E447C6">
            <w:pPr>
              <w:pStyle w:val="OGTabText"/>
              <w:rPr>
                <w:rFonts w:eastAsiaTheme="minorEastAsia"/>
                <w:lang w:eastAsia="en-AU"/>
              </w:rPr>
            </w:pPr>
            <w:r w:rsidRPr="003360B5">
              <w:rPr>
                <w:rFonts w:eastAsiaTheme="minorEastAsia"/>
                <w:lang w:eastAsia="en-AU"/>
              </w:rPr>
              <w:t>Total output cost</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center"/>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932.4</w:t>
            </w:r>
          </w:p>
        </w:tc>
        <w:tc>
          <w:tcPr>
            <w:tcW w:w="993"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867.4</w:t>
            </w:r>
          </w:p>
        </w:tc>
        <w:tc>
          <w:tcPr>
            <w:tcW w:w="907"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860.4</w:t>
            </w:r>
          </w:p>
        </w:tc>
        <w:tc>
          <w:tcPr>
            <w:tcW w:w="908" w:type="dxa"/>
            <w:tcBorders>
              <w:top w:val="nil"/>
              <w:left w:val="nil"/>
              <w:bottom w:val="nil"/>
              <w:right w:val="nil"/>
            </w:tcBorders>
          </w:tcPr>
          <w:p w:rsidR="00E25CC6" w:rsidRPr="003360B5" w:rsidRDefault="00E25CC6" w:rsidP="00E447C6">
            <w:pPr>
              <w:autoSpaceDE w:val="0"/>
              <w:autoSpaceDN w:val="0"/>
              <w:adjustRightInd w:val="0"/>
              <w:spacing w:after="0"/>
              <w:jc w:val="right"/>
              <w:rPr>
                <w:rFonts w:ascii="Calibri" w:eastAsiaTheme="minorEastAsia" w:hAnsi="Calibri" w:cs="Calibri"/>
                <w:sz w:val="19"/>
                <w:szCs w:val="22"/>
                <w:lang w:eastAsia="en-AU"/>
              </w:rPr>
            </w:pPr>
            <w:r w:rsidRPr="003360B5">
              <w:rPr>
                <w:rFonts w:ascii="Calibri" w:eastAsiaTheme="minorEastAsia" w:hAnsi="Calibri" w:cs="Calibri"/>
                <w:sz w:val="19"/>
                <w:szCs w:val="22"/>
                <w:lang w:eastAsia="en-AU"/>
              </w:rPr>
              <w:t>817.5</w:t>
            </w:r>
          </w:p>
        </w:tc>
      </w:tr>
      <w:tr w:rsidR="00E25CC6" w:rsidRPr="003360B5" w:rsidTr="00C34F28">
        <w:trPr>
          <w:cantSplit/>
        </w:trPr>
        <w:tc>
          <w:tcPr>
            <w:tcW w:w="7767" w:type="dxa"/>
            <w:gridSpan w:val="6"/>
            <w:tcBorders>
              <w:top w:val="nil"/>
              <w:left w:val="nil"/>
              <w:bottom w:val="single" w:sz="12" w:space="0" w:color="auto"/>
              <w:right w:val="nil"/>
            </w:tcBorders>
          </w:tcPr>
          <w:p w:rsidR="00E25CC6" w:rsidRPr="003360B5" w:rsidRDefault="00E25CC6" w:rsidP="00470881">
            <w:pPr>
              <w:pStyle w:val="OGNotes"/>
              <w:rPr>
                <w:rFonts w:eastAsiaTheme="minorEastAsia"/>
              </w:rPr>
            </w:pPr>
            <w:r w:rsidRPr="003360B5">
              <w:rPr>
                <w:rFonts w:eastAsiaTheme="minorEastAsia"/>
              </w:rPr>
              <w:t>The higher 2016</w:t>
            </w:r>
            <w:r w:rsidRPr="003360B5">
              <w:rPr>
                <w:rFonts w:eastAsiaTheme="minorEastAsia"/>
              </w:rPr>
              <w:noBreakHyphen/>
              <w:t>17 target compared with the 2015</w:t>
            </w:r>
            <w:r w:rsidRPr="003360B5">
              <w:rPr>
                <w:rFonts w:eastAsiaTheme="minorEastAsia"/>
              </w:rPr>
              <w:noBreakHyphen/>
              <w:t xml:space="preserve">16 target primarily reflects increase in existing base funding, indexation and new funding announced as part of the </w:t>
            </w:r>
            <w:r w:rsidRPr="003360B5">
              <w:rPr>
                <w:rFonts w:eastAsiaTheme="minorEastAsia"/>
                <w:i w:val="0"/>
              </w:rPr>
              <w:t>2016</w:t>
            </w:r>
            <w:r w:rsidRPr="003360B5">
              <w:rPr>
                <w:rFonts w:eastAsiaTheme="minorEastAsia"/>
                <w:i w:val="0"/>
              </w:rPr>
              <w:noBreakHyphen/>
              <w:t>17 Budget</w:t>
            </w:r>
            <w:r w:rsidRPr="003360B5">
              <w:rPr>
                <w:rFonts w:eastAsiaTheme="minorEastAsia"/>
              </w:rPr>
              <w:t>.</w:t>
            </w:r>
          </w:p>
        </w:tc>
      </w:tr>
    </w:tbl>
    <w:p w:rsidR="00E25CC6" w:rsidRPr="003360B5" w:rsidRDefault="00E25CC6" w:rsidP="00505F6B">
      <w:pPr>
        <w:pStyle w:val="Source"/>
        <w:rPr>
          <w:rFonts w:eastAsiaTheme="minorHAnsi"/>
        </w:rPr>
      </w:pPr>
      <w:r w:rsidRPr="003360B5">
        <w:rPr>
          <w:rFonts w:eastAsiaTheme="minorHAnsi"/>
        </w:rPr>
        <w:t xml:space="preserve">Source: Department of Education and Training </w:t>
      </w:r>
      <w:r w:rsidRPr="003360B5">
        <w:rPr>
          <w:rFonts w:eastAsiaTheme="minorHAnsi"/>
        </w:rPr>
        <w:fldChar w:fldCharType="begin"/>
      </w:r>
      <w:r w:rsidRPr="003360B5">
        <w:instrText xml:space="preserve"> XE "Department of Education and Training:Support for Students with Disabilities" \r "DET_SupportStudDisability" </w:instrText>
      </w:r>
      <w:r w:rsidRPr="003360B5">
        <w:rPr>
          <w:rFonts w:eastAsiaTheme="minorHAnsi"/>
        </w:rPr>
        <w:fldChar w:fldCharType="end"/>
      </w:r>
      <w:r>
        <w:rPr>
          <w:rFonts w:eastAsiaTheme="minorHAnsi"/>
        </w:rPr>
        <w:t xml:space="preserve"> </w:t>
      </w:r>
      <w:r w:rsidRPr="003360B5">
        <w:rPr>
          <w:rFonts w:eastAsiaTheme="minorHAnsi"/>
        </w:rPr>
        <w:fldChar w:fldCharType="begin"/>
      </w:r>
      <w:r w:rsidRPr="003360B5">
        <w:instrText xml:space="preserve"> XE "Education:Support for Students with Disabilities" \r "DET_SupportStudDisability" </w:instrText>
      </w:r>
      <w:r w:rsidRPr="003360B5">
        <w:rPr>
          <w:rFonts w:eastAsiaTheme="minorHAnsi"/>
        </w:rPr>
        <w:fldChar w:fldCharType="end"/>
      </w:r>
      <w:r>
        <w:rPr>
          <w:rFonts w:eastAsiaTheme="minorHAnsi"/>
        </w:rPr>
        <w:t xml:space="preserve"> </w:t>
      </w:r>
      <w:r>
        <w:rPr>
          <w:rFonts w:eastAsiaTheme="minorHAnsi"/>
        </w:rPr>
        <w:fldChar w:fldCharType="begin"/>
      </w:r>
      <w:r>
        <w:instrText xml:space="preserve"> XE "</w:instrText>
      </w:r>
      <w:r w:rsidRPr="00C46278">
        <w:instrText>Disability Services</w:instrText>
      </w:r>
      <w:r>
        <w:instrText xml:space="preserve">" \r "DET_SupportStudDisability" </w:instrText>
      </w:r>
      <w:r>
        <w:rPr>
          <w:rFonts w:eastAsiaTheme="minorHAnsi"/>
        </w:rPr>
        <w:fldChar w:fldCharType="end"/>
      </w:r>
    </w:p>
    <w:bookmarkEnd w:id="65"/>
    <w:p w:rsidR="00E25CC6" w:rsidRPr="003360B5" w:rsidRDefault="00E25CC6" w:rsidP="0099071A">
      <w:pPr>
        <w:spacing w:after="0"/>
        <w:rPr>
          <w:rFonts w:eastAsiaTheme="minorHAnsi"/>
        </w:rPr>
      </w:pPr>
    </w:p>
    <w:p w:rsidR="00E25CC6" w:rsidRPr="003360B5" w:rsidRDefault="00E25CC6" w:rsidP="0099071A">
      <w:pPr>
        <w:spacing w:after="0"/>
        <w:rPr>
          <w:rFonts w:eastAsiaTheme="minorHAnsi"/>
        </w:rPr>
      </w:pPr>
    </w:p>
    <w:p w:rsidR="00E25CC6" w:rsidRDefault="00E25CC6" w:rsidP="00243370">
      <w:pPr>
        <w:rPr>
          <w:rFonts w:eastAsiaTheme="minorHAnsi"/>
        </w:rPr>
        <w:sectPr w:rsidR="00E25CC6" w:rsidSect="00007537">
          <w:footerReference w:type="even" r:id="rId27"/>
          <w:footerReference w:type="default" r:id="rId28"/>
          <w:pgSz w:w="9979" w:h="14181" w:code="138"/>
          <w:pgMar w:top="1140" w:right="1140" w:bottom="1140" w:left="1140" w:header="720" w:footer="431" w:gutter="0"/>
          <w:cols w:space="708"/>
          <w:docGrid w:linePitch="360"/>
        </w:sectPr>
      </w:pPr>
    </w:p>
    <w:p w:rsidR="00E25CC6" w:rsidRDefault="00E25CC6" w:rsidP="009B15FF">
      <w:pPr>
        <w:pStyle w:val="Heading1"/>
        <w:rPr>
          <w:rFonts w:eastAsiaTheme="minorHAnsi"/>
        </w:rPr>
      </w:pPr>
      <w:bookmarkStart w:id="66" w:name="_Toc449109440"/>
      <w:r>
        <w:rPr>
          <w:rFonts w:eastAsiaTheme="minorHAnsi"/>
        </w:rPr>
        <w:t xml:space="preserve">Department of </w:t>
      </w:r>
      <w:r>
        <w:t>Environment, Land, Water and Planning</w:t>
      </w:r>
      <w:bookmarkEnd w:id="66"/>
    </w:p>
    <w:p w:rsidR="00E25CC6" w:rsidRDefault="00E25CC6" w:rsidP="000118DE">
      <w:pPr>
        <w:pStyle w:val="Heading2"/>
        <w:rPr>
          <w:rFonts w:eastAsiaTheme="minorHAnsi"/>
        </w:rPr>
      </w:pPr>
      <w:r>
        <w:rPr>
          <w:rFonts w:eastAsiaTheme="minorHAnsi"/>
        </w:rPr>
        <w:t>Ministerial portfolios</w:t>
      </w:r>
    </w:p>
    <w:p w:rsidR="00E25CC6" w:rsidRDefault="00E25CC6" w:rsidP="000118DE">
      <w:pPr>
        <w:rPr>
          <w:rFonts w:eastAsiaTheme="minorHAnsi"/>
        </w:rPr>
      </w:pPr>
      <w:r w:rsidRPr="00D777BC">
        <w:rPr>
          <w:rFonts w:eastAsiaTheme="minorHAnsi"/>
        </w:rPr>
        <w:t>The Department supports the ministerial portfolios of Environment, Climate Change and Water, Planning and Local Government.</w:t>
      </w:r>
    </w:p>
    <w:p w:rsidR="00E25CC6" w:rsidRDefault="00E25CC6" w:rsidP="000118DE">
      <w:pPr>
        <w:pStyle w:val="Heading2"/>
        <w:rPr>
          <w:rFonts w:eastAsiaTheme="minorHAnsi"/>
        </w:rPr>
      </w:pPr>
      <w:r>
        <w:rPr>
          <w:rFonts w:eastAsiaTheme="minorHAnsi"/>
        </w:rPr>
        <w:t>Departmental mission statement</w:t>
      </w:r>
    </w:p>
    <w:p w:rsidR="00E25CC6" w:rsidRDefault="00E25CC6" w:rsidP="00D777BC">
      <w:pPr>
        <w:rPr>
          <w:rFonts w:eastAsiaTheme="minorHAnsi"/>
        </w:rPr>
      </w:pPr>
      <w:r w:rsidRPr="00D777BC">
        <w:rPr>
          <w:rFonts w:eastAsiaTheme="minorHAnsi"/>
        </w:rPr>
        <w:t>The Department of Environment, Land, Water and Planning</w:t>
      </w:r>
      <w:r>
        <w:rPr>
          <w:rFonts w:eastAsiaTheme="minorHAnsi"/>
        </w:rPr>
        <w:t>’</w:t>
      </w:r>
      <w:r w:rsidRPr="00D777BC">
        <w:rPr>
          <w:rFonts w:eastAsiaTheme="minorHAnsi"/>
        </w:rPr>
        <w:t>s mission is to create liveable, sustainable, inclusive communities and thriving environments. It will do this by placing the community at the centre of all that we do, and by delivering integrated and innovative policy and place</w:t>
      </w:r>
      <w:r>
        <w:rPr>
          <w:rFonts w:eastAsiaTheme="minorHAnsi"/>
        </w:rPr>
        <w:noBreakHyphen/>
      </w:r>
      <w:r w:rsidRPr="00D777BC">
        <w:rPr>
          <w:rFonts w:eastAsiaTheme="minorHAnsi"/>
        </w:rPr>
        <w:t>based services that respond to community needs. This approach will help protect, enhance and strengthen the resilience of our quality built and natural environments, assets and resources.</w:t>
      </w:r>
    </w:p>
    <w:p w:rsidR="00E25CC6" w:rsidRDefault="00E25CC6" w:rsidP="000118DE">
      <w:pPr>
        <w:pStyle w:val="Heading2"/>
        <w:rPr>
          <w:rFonts w:eastAsiaTheme="minorHAnsi"/>
        </w:rPr>
      </w:pPr>
      <w:r>
        <w:rPr>
          <w:rFonts w:eastAsiaTheme="minorHAnsi"/>
        </w:rPr>
        <w:t>Departmental objectives, indicators and outputs</w:t>
      </w:r>
    </w:p>
    <w:p w:rsidR="00E25CC6" w:rsidRDefault="00E25CC6" w:rsidP="000118DE">
      <w:pPr>
        <w:rPr>
          <w:rFonts w:eastAsiaTheme="minorHAnsi"/>
        </w:rPr>
      </w:pPr>
      <w:r w:rsidRPr="00D777BC">
        <w:rPr>
          <w:rFonts w:eastAsiaTheme="minorHAnsi"/>
        </w:rPr>
        <w:t>The Department of Environment, Land, Water and Planning</w:t>
      </w:r>
      <w:r>
        <w:rPr>
          <w:rFonts w:eastAsiaTheme="minorHAnsi"/>
        </w:rPr>
        <w:t>’</w:t>
      </w:r>
      <w:r w:rsidRPr="00D777BC">
        <w:rPr>
          <w:rFonts w:eastAsiaTheme="minorHAnsi"/>
        </w:rPr>
        <w:t>s objectives, indicators, and linked outputs are listed below</w:t>
      </w:r>
      <w:r>
        <w:rPr>
          <w:rFonts w:eastAsiaTheme="minorHAnsi"/>
        </w:rPr>
        <w:t>.</w:t>
      </w:r>
    </w:p>
    <w:tbl>
      <w:tblPr>
        <w:tblW w:w="5000" w:type="pct"/>
        <w:tblBorders>
          <w:bottom w:val="single" w:sz="12" w:space="0" w:color="auto"/>
          <w:insideH w:val="single" w:sz="6" w:space="0" w:color="auto"/>
        </w:tblBorders>
        <w:tblCellMar>
          <w:left w:w="43" w:type="dxa"/>
          <w:right w:w="43" w:type="dxa"/>
        </w:tblCellMar>
        <w:tblLook w:val="04A0" w:firstRow="1" w:lastRow="0" w:firstColumn="1" w:lastColumn="0" w:noHBand="0" w:noVBand="1"/>
      </w:tblPr>
      <w:tblGrid>
        <w:gridCol w:w="2452"/>
        <w:gridCol w:w="2834"/>
        <w:gridCol w:w="2499"/>
      </w:tblGrid>
      <w:tr w:rsidR="00E25CC6" w:rsidTr="00D777BC">
        <w:trPr>
          <w:cantSplit/>
          <w:trHeight w:val="240"/>
          <w:tblHeader/>
        </w:trPr>
        <w:tc>
          <w:tcPr>
            <w:tcW w:w="1575" w:type="pct"/>
            <w:shd w:val="clear" w:color="auto" w:fill="000000"/>
          </w:tcPr>
          <w:p w:rsidR="00E25CC6" w:rsidRPr="00975E17" w:rsidRDefault="00E25CC6" w:rsidP="00D777BC">
            <w:pPr>
              <w:pStyle w:val="Tabletextheadingcentred"/>
              <w:jc w:val="left"/>
            </w:pPr>
            <w:r w:rsidRPr="00975E17">
              <w:t>Departmental objectives</w:t>
            </w:r>
          </w:p>
        </w:tc>
        <w:tc>
          <w:tcPr>
            <w:tcW w:w="1820" w:type="pct"/>
            <w:shd w:val="clear" w:color="auto" w:fill="000000"/>
          </w:tcPr>
          <w:p w:rsidR="00E25CC6" w:rsidRPr="00975E17" w:rsidRDefault="00E25CC6" w:rsidP="00D777BC">
            <w:pPr>
              <w:pStyle w:val="Tabletextheadingcentred"/>
              <w:jc w:val="left"/>
            </w:pPr>
            <w:r w:rsidRPr="00975E17">
              <w:t>Indicators</w:t>
            </w:r>
          </w:p>
        </w:tc>
        <w:tc>
          <w:tcPr>
            <w:tcW w:w="1605" w:type="pct"/>
            <w:shd w:val="clear" w:color="auto" w:fill="000000" w:themeFill="text1"/>
          </w:tcPr>
          <w:p w:rsidR="00E25CC6" w:rsidRPr="00DD1288" w:rsidRDefault="00E25CC6" w:rsidP="00DC2DE8">
            <w:pPr>
              <w:pStyle w:val="Tabletextheadingcentred"/>
              <w:jc w:val="left"/>
            </w:pPr>
            <w:r w:rsidRPr="00254167">
              <w:rPr>
                <w:color w:val="FFFFFF" w:themeColor="background1"/>
              </w:rPr>
              <w:t>Output</w:t>
            </w:r>
            <w:r>
              <w:rPr>
                <w:color w:val="FFFFFF" w:themeColor="background1"/>
              </w:rPr>
              <w:t>s</w:t>
            </w:r>
          </w:p>
        </w:tc>
      </w:tr>
      <w:tr w:rsidR="00E25CC6" w:rsidTr="00D777BC">
        <w:trPr>
          <w:cantSplit/>
          <w:trHeight w:val="1139"/>
        </w:trPr>
        <w:tc>
          <w:tcPr>
            <w:tcW w:w="1575" w:type="pct"/>
            <w:tcBorders>
              <w:bottom w:val="single" w:sz="6" w:space="0" w:color="auto"/>
            </w:tcBorders>
            <w:shd w:val="clear" w:color="auto" w:fill="auto"/>
          </w:tcPr>
          <w:p w:rsidR="00E25CC6" w:rsidRPr="00D777BC" w:rsidRDefault="00E25CC6" w:rsidP="00D777BC">
            <w:pPr>
              <w:pStyle w:val="Tabletextcentred"/>
              <w:jc w:val="left"/>
              <w:rPr>
                <w:b/>
              </w:rPr>
            </w:pPr>
            <w:r>
              <w:rPr>
                <w:b/>
              </w:rPr>
              <w:t>A quality built environment</w:t>
            </w:r>
          </w:p>
        </w:tc>
        <w:tc>
          <w:tcPr>
            <w:tcW w:w="1820" w:type="pct"/>
            <w:tcBorders>
              <w:bottom w:val="single" w:sz="6" w:space="0" w:color="auto"/>
            </w:tcBorders>
          </w:tcPr>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 xml:space="preserve">Efficient provision of timely and authoritative information </w:t>
            </w:r>
            <w:r>
              <w:rPr>
                <w:rFonts w:asciiTheme="minorHAnsi" w:hAnsiTheme="minorHAnsi" w:cstheme="minorHAnsi"/>
                <w:szCs w:val="20"/>
              </w:rPr>
              <w:t>on population growth and change</w:t>
            </w:r>
          </w:p>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Public participation in planning, bu</w:t>
            </w:r>
            <w:r>
              <w:rPr>
                <w:rFonts w:asciiTheme="minorHAnsi" w:hAnsiTheme="minorHAnsi" w:cstheme="minorHAnsi"/>
                <w:szCs w:val="20"/>
              </w:rPr>
              <w:t>ilding and heritage initiatives </w:t>
            </w:r>
          </w:p>
          <w:p w:rsidR="00E25CC6" w:rsidRPr="000B58D1" w:rsidRDefault="00E25CC6" w:rsidP="00D777BC">
            <w:pPr>
              <w:pStyle w:val="Tabletextcentred"/>
              <w:jc w:val="left"/>
            </w:pPr>
            <w:r w:rsidRPr="00530B7E">
              <w:rPr>
                <w:rFonts w:asciiTheme="minorHAnsi" w:hAnsiTheme="minorHAnsi" w:cstheme="minorHAnsi"/>
                <w:szCs w:val="20"/>
              </w:rPr>
              <w:t>Efficient administration of Victoria</w:t>
            </w:r>
            <w:r>
              <w:rPr>
                <w:rFonts w:asciiTheme="minorHAnsi" w:hAnsiTheme="minorHAnsi" w:cstheme="minorHAnsi"/>
                <w:szCs w:val="20"/>
              </w:rPr>
              <w:t>’</w:t>
            </w:r>
            <w:r w:rsidRPr="00530B7E">
              <w:rPr>
                <w:rFonts w:asciiTheme="minorHAnsi" w:hAnsiTheme="minorHAnsi" w:cstheme="minorHAnsi"/>
                <w:szCs w:val="20"/>
              </w:rPr>
              <w:t>s planning, building and heritage systems</w:t>
            </w:r>
          </w:p>
        </w:tc>
        <w:tc>
          <w:tcPr>
            <w:tcW w:w="1605" w:type="pct"/>
            <w:tcBorders>
              <w:bottom w:val="single" w:sz="6" w:space="0" w:color="auto"/>
            </w:tcBorders>
          </w:tcPr>
          <w:p w:rsidR="00E25CC6" w:rsidRPr="00DE0333" w:rsidRDefault="00E25CC6" w:rsidP="00D777BC">
            <w:pPr>
              <w:pStyle w:val="Tabletextcentred"/>
              <w:jc w:val="left"/>
            </w:pPr>
            <w:r>
              <w:t>Planning, Building and Heritage</w:t>
            </w:r>
          </w:p>
        </w:tc>
      </w:tr>
      <w:tr w:rsidR="00E25CC6" w:rsidTr="00D777BC">
        <w:trPr>
          <w:cantSplit/>
          <w:trHeight w:val="733"/>
        </w:trPr>
        <w:tc>
          <w:tcPr>
            <w:tcW w:w="1575" w:type="pct"/>
            <w:tcBorders>
              <w:bottom w:val="single" w:sz="6" w:space="0" w:color="auto"/>
            </w:tcBorders>
            <w:shd w:val="clear" w:color="auto" w:fill="auto"/>
          </w:tcPr>
          <w:p w:rsidR="00E25CC6" w:rsidRPr="00D777BC" w:rsidRDefault="00E25CC6" w:rsidP="00D777BC">
            <w:pPr>
              <w:pStyle w:val="Tabletextcentred"/>
              <w:jc w:val="left"/>
              <w:rPr>
                <w:b/>
              </w:rPr>
            </w:pPr>
            <w:r>
              <w:rPr>
                <w:b/>
              </w:rPr>
              <w:t>Healthy, resilient and biodiverse environment</w:t>
            </w:r>
          </w:p>
        </w:tc>
        <w:tc>
          <w:tcPr>
            <w:tcW w:w="1820" w:type="pct"/>
            <w:tcBorders>
              <w:bottom w:val="single" w:sz="6" w:space="0" w:color="auto"/>
            </w:tcBorders>
          </w:tcPr>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Participation in community</w:t>
            </w:r>
            <w:r>
              <w:rPr>
                <w:rFonts w:asciiTheme="minorHAnsi" w:hAnsiTheme="minorHAnsi" w:cstheme="minorHAnsi"/>
                <w:szCs w:val="20"/>
              </w:rPr>
              <w:noBreakHyphen/>
            </w:r>
            <w:r w:rsidRPr="00530B7E">
              <w:rPr>
                <w:rFonts w:asciiTheme="minorHAnsi" w:hAnsiTheme="minorHAnsi" w:cstheme="minorHAnsi"/>
                <w:szCs w:val="20"/>
              </w:rPr>
              <w:t>based environmental programs</w:t>
            </w:r>
          </w:p>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Level of support from key stakeholders for environmental and adaptation policy development and implementation</w:t>
            </w:r>
          </w:p>
          <w:p w:rsidR="00E25CC6" w:rsidRPr="000B58D1" w:rsidRDefault="00E25CC6" w:rsidP="00D777BC">
            <w:pPr>
              <w:pStyle w:val="Tabletextcentred"/>
              <w:jc w:val="left"/>
            </w:pPr>
            <w:r w:rsidRPr="00530B7E">
              <w:rPr>
                <w:rFonts w:asciiTheme="minorHAnsi" w:hAnsiTheme="minorHAnsi" w:cstheme="minorHAnsi"/>
                <w:szCs w:val="20"/>
              </w:rPr>
              <w:t>Reduction in pollutants from priority hotspots</w:t>
            </w:r>
          </w:p>
        </w:tc>
        <w:tc>
          <w:tcPr>
            <w:tcW w:w="1605" w:type="pct"/>
            <w:tcBorders>
              <w:bottom w:val="single" w:sz="6" w:space="0" w:color="auto"/>
            </w:tcBorders>
          </w:tcPr>
          <w:p w:rsidR="00E25CC6" w:rsidRPr="00070678" w:rsidRDefault="00E25CC6" w:rsidP="00D777BC">
            <w:pPr>
              <w:pStyle w:val="Tabletextcentred"/>
              <w:jc w:val="left"/>
              <w:rPr>
                <w:rFonts w:asciiTheme="minorHAnsi" w:hAnsiTheme="minorHAnsi" w:cstheme="minorHAnsi"/>
                <w:szCs w:val="20"/>
              </w:rPr>
            </w:pPr>
            <w:r w:rsidRPr="00070678">
              <w:rPr>
                <w:rFonts w:asciiTheme="minorHAnsi" w:hAnsiTheme="minorHAnsi" w:cstheme="minorHAnsi"/>
                <w:szCs w:val="20"/>
              </w:rPr>
              <w:t>Environment, Biodiversity and Climate Change</w:t>
            </w:r>
          </w:p>
          <w:p w:rsidR="00E25CC6" w:rsidRPr="00DE0333" w:rsidRDefault="00E25CC6" w:rsidP="00D777BC">
            <w:pPr>
              <w:pStyle w:val="Tabletextcentred"/>
              <w:jc w:val="left"/>
            </w:pPr>
            <w:r w:rsidRPr="00974119">
              <w:rPr>
                <w:rFonts w:asciiTheme="minorHAnsi" w:hAnsiTheme="minorHAnsi" w:cstheme="minorHAnsi"/>
                <w:szCs w:val="20"/>
              </w:rPr>
              <w:t>Statutory Activities and Environment Protection</w:t>
            </w:r>
          </w:p>
        </w:tc>
      </w:tr>
      <w:tr w:rsidR="00E25CC6" w:rsidTr="00D777BC">
        <w:trPr>
          <w:cantSplit/>
          <w:trHeight w:val="733"/>
        </w:trPr>
        <w:tc>
          <w:tcPr>
            <w:tcW w:w="1575" w:type="pct"/>
            <w:tcBorders>
              <w:top w:val="single" w:sz="6" w:space="0" w:color="auto"/>
              <w:bottom w:val="single" w:sz="6" w:space="0" w:color="auto"/>
              <w:right w:val="nil"/>
            </w:tcBorders>
            <w:shd w:val="clear" w:color="auto" w:fill="auto"/>
          </w:tcPr>
          <w:p w:rsidR="00E25CC6" w:rsidRPr="00070678" w:rsidRDefault="00E25CC6" w:rsidP="00D777BC">
            <w:pPr>
              <w:pStyle w:val="Tabletextcentred"/>
              <w:jc w:val="left"/>
              <w:rPr>
                <w:b/>
              </w:rPr>
            </w:pPr>
            <w:r>
              <w:rPr>
                <w:b/>
              </w:rPr>
              <w:t>Productive and effective land management</w:t>
            </w:r>
          </w:p>
        </w:tc>
        <w:tc>
          <w:tcPr>
            <w:tcW w:w="1820" w:type="pct"/>
            <w:tcBorders>
              <w:top w:val="single" w:sz="6" w:space="0" w:color="auto"/>
              <w:left w:val="nil"/>
              <w:bottom w:val="single" w:sz="6" w:space="0" w:color="auto"/>
              <w:right w:val="nil"/>
            </w:tcBorders>
          </w:tcPr>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Efficient provision of timely and authoritative land administration and property information services</w:t>
            </w:r>
          </w:p>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Number of visits to the public land estate managed by the Department</w:t>
            </w:r>
            <w:r>
              <w:rPr>
                <w:rFonts w:asciiTheme="minorHAnsi" w:hAnsiTheme="minorHAnsi" w:cstheme="minorHAnsi"/>
                <w:szCs w:val="20"/>
              </w:rPr>
              <w:t>’</w:t>
            </w:r>
            <w:r w:rsidRPr="00530B7E">
              <w:rPr>
                <w:rFonts w:asciiTheme="minorHAnsi" w:hAnsiTheme="minorHAnsi" w:cstheme="minorHAnsi"/>
                <w:szCs w:val="20"/>
              </w:rPr>
              <w:t>s portfolio agencies: Parks Victoria</w:t>
            </w:r>
          </w:p>
          <w:p w:rsidR="00E25CC6" w:rsidRPr="00070678"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Bay a</w:t>
            </w:r>
            <w:r>
              <w:rPr>
                <w:rFonts w:asciiTheme="minorHAnsi" w:hAnsiTheme="minorHAnsi" w:cstheme="minorHAnsi"/>
                <w:szCs w:val="20"/>
              </w:rPr>
              <w:t xml:space="preserve">nd park assets rated in average </w:t>
            </w:r>
            <w:r w:rsidRPr="00530B7E">
              <w:rPr>
                <w:rFonts w:asciiTheme="minorHAnsi" w:hAnsiTheme="minorHAnsi" w:cstheme="minorHAnsi"/>
                <w:szCs w:val="20"/>
              </w:rPr>
              <w:t>to excellent condition</w:t>
            </w:r>
          </w:p>
        </w:tc>
        <w:tc>
          <w:tcPr>
            <w:tcW w:w="1605" w:type="pct"/>
            <w:tcBorders>
              <w:top w:val="single" w:sz="6" w:space="0" w:color="auto"/>
              <w:left w:val="nil"/>
              <w:bottom w:val="single" w:sz="6" w:space="0" w:color="auto"/>
            </w:tcBorders>
          </w:tcPr>
          <w:p w:rsidR="00E25CC6" w:rsidRDefault="00E25CC6" w:rsidP="00D777BC">
            <w:pPr>
              <w:pStyle w:val="Tabletextcentred"/>
              <w:jc w:val="left"/>
              <w:rPr>
                <w:rFonts w:asciiTheme="minorHAnsi" w:hAnsiTheme="minorHAnsi" w:cstheme="minorHAnsi"/>
                <w:szCs w:val="20"/>
              </w:rPr>
            </w:pPr>
            <w:r>
              <w:rPr>
                <w:rFonts w:asciiTheme="minorHAnsi" w:hAnsiTheme="minorHAnsi" w:cstheme="minorHAnsi"/>
                <w:szCs w:val="20"/>
              </w:rPr>
              <w:t>Land Victoria</w:t>
            </w:r>
          </w:p>
          <w:p w:rsidR="00E25CC6" w:rsidRPr="00070678" w:rsidRDefault="00E25CC6" w:rsidP="00D777BC">
            <w:pPr>
              <w:pStyle w:val="Tabletextcentred"/>
              <w:jc w:val="left"/>
              <w:rPr>
                <w:rFonts w:asciiTheme="minorHAnsi" w:hAnsiTheme="minorHAnsi" w:cstheme="minorHAnsi"/>
                <w:szCs w:val="20"/>
              </w:rPr>
            </w:pPr>
            <w:r>
              <w:rPr>
                <w:rFonts w:asciiTheme="minorHAnsi" w:hAnsiTheme="minorHAnsi" w:cstheme="minorHAnsi"/>
                <w:szCs w:val="20"/>
              </w:rPr>
              <w:t>Management of Forests, Parks and Public Land</w:t>
            </w:r>
          </w:p>
        </w:tc>
      </w:tr>
      <w:tr w:rsidR="00E25CC6" w:rsidTr="00D777BC">
        <w:trPr>
          <w:cantSplit/>
          <w:trHeight w:val="733"/>
        </w:trPr>
        <w:tc>
          <w:tcPr>
            <w:tcW w:w="1575" w:type="pct"/>
            <w:tcBorders>
              <w:top w:val="single" w:sz="6" w:space="0" w:color="auto"/>
              <w:bottom w:val="single" w:sz="6" w:space="0" w:color="auto"/>
              <w:right w:val="nil"/>
            </w:tcBorders>
            <w:shd w:val="clear" w:color="auto" w:fill="auto"/>
          </w:tcPr>
          <w:p w:rsidR="00E25CC6" w:rsidRPr="00070678" w:rsidRDefault="00E25CC6" w:rsidP="00D777BC">
            <w:pPr>
              <w:pStyle w:val="Tabletextcentred"/>
              <w:jc w:val="left"/>
              <w:rPr>
                <w:b/>
              </w:rPr>
            </w:pPr>
            <w:r w:rsidRPr="00530B7E">
              <w:rPr>
                <w:rFonts w:asciiTheme="minorHAnsi" w:hAnsiTheme="minorHAnsi" w:cstheme="minorHAnsi"/>
                <w:b/>
                <w:szCs w:val="20"/>
              </w:rPr>
              <w:t>Safe and sustainable water resources</w:t>
            </w:r>
          </w:p>
        </w:tc>
        <w:tc>
          <w:tcPr>
            <w:tcW w:w="1820" w:type="pct"/>
            <w:tcBorders>
              <w:top w:val="single" w:sz="6" w:space="0" w:color="auto"/>
              <w:left w:val="nil"/>
              <w:bottom w:val="single" w:sz="6" w:space="0" w:color="auto"/>
              <w:right w:val="nil"/>
            </w:tcBorders>
          </w:tcPr>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Proportion of properties completely connected to the modernised irrigation delivery system (in the Goulburn</w:t>
            </w:r>
            <w:r>
              <w:rPr>
                <w:rFonts w:asciiTheme="minorHAnsi" w:hAnsiTheme="minorHAnsi" w:cstheme="minorHAnsi"/>
                <w:szCs w:val="20"/>
              </w:rPr>
              <w:noBreakHyphen/>
            </w:r>
            <w:r w:rsidRPr="00530B7E">
              <w:rPr>
                <w:rFonts w:asciiTheme="minorHAnsi" w:hAnsiTheme="minorHAnsi" w:cstheme="minorHAnsi"/>
                <w:szCs w:val="20"/>
              </w:rPr>
              <w:t xml:space="preserve">Murray and Macalister Irrigation Districts) </w:t>
            </w:r>
          </w:p>
          <w:p w:rsidR="00E25CC6" w:rsidRPr="00070678"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Number of river reaches/wetlands with maintained or improved environmental condition</w:t>
            </w:r>
          </w:p>
        </w:tc>
        <w:tc>
          <w:tcPr>
            <w:tcW w:w="1605" w:type="pct"/>
            <w:tcBorders>
              <w:top w:val="single" w:sz="6" w:space="0" w:color="auto"/>
              <w:left w:val="nil"/>
              <w:bottom w:val="single" w:sz="6" w:space="0" w:color="auto"/>
            </w:tcBorders>
          </w:tcPr>
          <w:p w:rsidR="00E25CC6" w:rsidRPr="00070678"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Effective Water Management and Supply</w:t>
            </w:r>
          </w:p>
        </w:tc>
      </w:tr>
      <w:tr w:rsidR="00E25CC6" w:rsidTr="001C25A2">
        <w:trPr>
          <w:cantSplit/>
          <w:trHeight w:val="733"/>
        </w:trPr>
        <w:tc>
          <w:tcPr>
            <w:tcW w:w="1575" w:type="pct"/>
            <w:tcBorders>
              <w:top w:val="single" w:sz="6" w:space="0" w:color="auto"/>
              <w:bottom w:val="single" w:sz="6" w:space="0" w:color="auto"/>
              <w:right w:val="nil"/>
            </w:tcBorders>
            <w:shd w:val="clear" w:color="auto" w:fill="auto"/>
          </w:tcPr>
          <w:p w:rsidR="00E25CC6" w:rsidRPr="00E41D82" w:rsidRDefault="00E25CC6" w:rsidP="00D777BC">
            <w:pPr>
              <w:pStyle w:val="Tabletextcentred"/>
              <w:jc w:val="left"/>
              <w:rPr>
                <w:rFonts w:asciiTheme="minorHAnsi" w:hAnsiTheme="minorHAnsi" w:cstheme="minorHAnsi"/>
                <w:b/>
                <w:szCs w:val="20"/>
              </w:rPr>
            </w:pPr>
            <w:r w:rsidRPr="00530B7E">
              <w:rPr>
                <w:rFonts w:asciiTheme="minorHAnsi" w:hAnsiTheme="minorHAnsi" w:cstheme="minorHAnsi"/>
                <w:b/>
                <w:szCs w:val="20"/>
              </w:rPr>
              <w:t>Sustainable and effective local governments</w:t>
            </w:r>
          </w:p>
        </w:tc>
        <w:tc>
          <w:tcPr>
            <w:tcW w:w="1820" w:type="pct"/>
            <w:tcBorders>
              <w:top w:val="single" w:sz="6" w:space="0" w:color="auto"/>
              <w:left w:val="nil"/>
              <w:bottom w:val="single" w:sz="6" w:space="0" w:color="auto"/>
              <w:right w:val="nil"/>
            </w:tcBorders>
          </w:tcPr>
          <w:p w:rsidR="00E25CC6" w:rsidRPr="00070678"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Satisfaction with the performance of councils as measured through the Local Government Community Satisfaction Survey</w:t>
            </w:r>
          </w:p>
        </w:tc>
        <w:tc>
          <w:tcPr>
            <w:tcW w:w="1605" w:type="pct"/>
            <w:tcBorders>
              <w:top w:val="single" w:sz="6" w:space="0" w:color="auto"/>
              <w:left w:val="nil"/>
              <w:bottom w:val="single" w:sz="6" w:space="0" w:color="auto"/>
            </w:tcBorders>
          </w:tcPr>
          <w:p w:rsidR="00E25CC6" w:rsidRPr="00070678"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Local Government</w:t>
            </w:r>
          </w:p>
        </w:tc>
      </w:tr>
      <w:tr w:rsidR="00E25CC6" w:rsidRPr="00530B7E" w:rsidTr="001C25A2">
        <w:trPr>
          <w:cantSplit/>
          <w:trHeight w:val="733"/>
        </w:trPr>
        <w:tc>
          <w:tcPr>
            <w:tcW w:w="1575" w:type="pct"/>
            <w:tcBorders>
              <w:top w:val="single" w:sz="6" w:space="0" w:color="auto"/>
              <w:bottom w:val="single" w:sz="12" w:space="0" w:color="auto"/>
              <w:right w:val="nil"/>
            </w:tcBorders>
            <w:shd w:val="clear" w:color="auto" w:fill="auto"/>
          </w:tcPr>
          <w:p w:rsidR="00E25CC6" w:rsidRPr="00493CBE" w:rsidRDefault="00E25CC6" w:rsidP="00D777BC">
            <w:pPr>
              <w:pStyle w:val="Tabletextcentred"/>
              <w:jc w:val="left"/>
              <w:rPr>
                <w:rFonts w:asciiTheme="minorHAnsi" w:hAnsiTheme="minorHAnsi" w:cstheme="minorHAnsi"/>
                <w:b/>
                <w:szCs w:val="20"/>
              </w:rPr>
            </w:pPr>
            <w:r w:rsidRPr="00530B7E">
              <w:rPr>
                <w:rFonts w:asciiTheme="minorHAnsi" w:hAnsiTheme="minorHAnsi" w:cstheme="minorHAnsi"/>
                <w:b/>
                <w:szCs w:val="20"/>
              </w:rPr>
              <w:t xml:space="preserve">Reduced impact of </w:t>
            </w:r>
            <w:r>
              <w:rPr>
                <w:rFonts w:asciiTheme="minorHAnsi" w:hAnsiTheme="minorHAnsi" w:cstheme="minorHAnsi"/>
                <w:b/>
                <w:szCs w:val="20"/>
              </w:rPr>
              <w:t>major bushfires and other emergencies on people, property and the environment</w:t>
            </w:r>
          </w:p>
        </w:tc>
        <w:tc>
          <w:tcPr>
            <w:tcW w:w="1820" w:type="pct"/>
            <w:tcBorders>
              <w:top w:val="single" w:sz="6" w:space="0" w:color="auto"/>
              <w:left w:val="nil"/>
              <w:bottom w:val="single" w:sz="12" w:space="0" w:color="auto"/>
              <w:right w:val="nil"/>
            </w:tcBorders>
          </w:tcPr>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 xml:space="preserve">Percentage of bushfires contained at first attack and/or under </w:t>
            </w:r>
            <w:r>
              <w:rPr>
                <w:rFonts w:asciiTheme="minorHAnsi" w:hAnsiTheme="minorHAnsi" w:cstheme="minorHAnsi"/>
                <w:szCs w:val="20"/>
              </w:rPr>
              <w:t>five</w:t>
            </w:r>
            <w:r w:rsidRPr="00530B7E">
              <w:rPr>
                <w:rFonts w:asciiTheme="minorHAnsi" w:hAnsiTheme="minorHAnsi" w:cstheme="minorHAnsi"/>
                <w:szCs w:val="20"/>
              </w:rPr>
              <w:t xml:space="preserve"> hectares to suppress bushfires promptly, keep bushfires small and minimise loss </w:t>
            </w:r>
          </w:p>
          <w:p w:rsidR="00E25CC6" w:rsidRPr="00E41D82" w:rsidRDefault="00E25CC6" w:rsidP="00D777BC">
            <w:pPr>
              <w:pStyle w:val="Tabletextcentred"/>
              <w:jc w:val="left"/>
              <w:rPr>
                <w:rFonts w:asciiTheme="minorHAnsi" w:hAnsiTheme="minorHAnsi" w:cstheme="minorHAnsi"/>
                <w:szCs w:val="20"/>
              </w:rPr>
            </w:pPr>
            <w:r w:rsidRPr="00E41D82">
              <w:rPr>
                <w:rFonts w:asciiTheme="minorHAnsi" w:hAnsiTheme="minorHAnsi" w:cstheme="minorHAnsi"/>
                <w:szCs w:val="20"/>
              </w:rPr>
              <w:t>Area treated through planned burning and other treatments to maintain the statewide bushfire risk at or below 70</w:t>
            </w:r>
            <w:r>
              <w:rPr>
                <w:rFonts w:asciiTheme="minorHAnsi" w:hAnsiTheme="minorHAnsi" w:cstheme="minorHAnsi"/>
                <w:szCs w:val="20"/>
              </w:rPr>
              <w:t> </w:t>
            </w:r>
            <w:r w:rsidRPr="00E41D82">
              <w:rPr>
                <w:rFonts w:asciiTheme="minorHAnsi" w:hAnsiTheme="minorHAnsi" w:cstheme="minorHAnsi"/>
                <w:szCs w:val="20"/>
              </w:rPr>
              <w:t xml:space="preserve">per cent </w:t>
            </w:r>
            <w:r w:rsidRPr="00E41D82">
              <w:rPr>
                <w:rFonts w:asciiTheme="minorHAnsi" w:hAnsiTheme="minorHAnsi" w:cstheme="minorHAnsi"/>
                <w:szCs w:val="20"/>
                <w:vertAlign w:val="superscript"/>
              </w:rPr>
              <w:t>(a)</w:t>
            </w:r>
          </w:p>
          <w:p w:rsidR="00E25CC6" w:rsidRPr="00FD3C1C" w:rsidRDefault="00E25CC6" w:rsidP="00D777BC">
            <w:pPr>
              <w:pStyle w:val="Tabletextcentred"/>
              <w:jc w:val="left"/>
              <w:rPr>
                <w:rFonts w:asciiTheme="minorHAnsi" w:hAnsiTheme="minorHAnsi" w:cstheme="minorHAnsi"/>
                <w:szCs w:val="20"/>
              </w:rPr>
            </w:pPr>
            <w:r>
              <w:rPr>
                <w:rFonts w:asciiTheme="minorHAnsi" w:hAnsiTheme="minorHAnsi" w:cstheme="minorHAnsi"/>
                <w:szCs w:val="20"/>
              </w:rPr>
              <w:t>A</w:t>
            </w:r>
            <w:r w:rsidRPr="00FD3C1C">
              <w:rPr>
                <w:rFonts w:asciiTheme="minorHAnsi" w:hAnsiTheme="minorHAnsi" w:cstheme="minorHAnsi"/>
                <w:szCs w:val="20"/>
              </w:rPr>
              <w:t xml:space="preserve">doption of consistent systems across the Department to support efficient and effective emergency management </w:t>
            </w:r>
          </w:p>
          <w:p w:rsidR="00E25CC6" w:rsidRPr="00493CBE" w:rsidRDefault="00E25CC6" w:rsidP="00D777BC">
            <w:pPr>
              <w:pStyle w:val="Tabletextcentred"/>
              <w:jc w:val="left"/>
              <w:rPr>
                <w:rFonts w:asciiTheme="minorHAnsi" w:hAnsiTheme="minorHAnsi" w:cstheme="minorHAnsi"/>
                <w:szCs w:val="20"/>
              </w:rPr>
            </w:pPr>
            <w:r w:rsidRPr="00FD3C1C">
              <w:rPr>
                <w:rFonts w:asciiTheme="minorHAnsi" w:hAnsiTheme="minorHAnsi" w:cstheme="minorHAnsi"/>
                <w:szCs w:val="20"/>
              </w:rPr>
              <w:t>Percentage of agreed departmental emergency management obligations met on time and to standard</w:t>
            </w:r>
            <w:r>
              <w:rPr>
                <w:rFonts w:asciiTheme="minorHAnsi" w:hAnsiTheme="minorHAnsi" w:cstheme="minorHAnsi"/>
                <w:szCs w:val="20"/>
              </w:rPr>
              <w:t xml:space="preserve"> </w:t>
            </w:r>
          </w:p>
        </w:tc>
        <w:tc>
          <w:tcPr>
            <w:tcW w:w="1605" w:type="pct"/>
            <w:tcBorders>
              <w:top w:val="single" w:sz="6" w:space="0" w:color="auto"/>
              <w:left w:val="nil"/>
              <w:bottom w:val="single" w:sz="12" w:space="0" w:color="auto"/>
            </w:tcBorders>
          </w:tcPr>
          <w:p w:rsidR="00E25CC6" w:rsidRPr="00530B7E" w:rsidRDefault="00E25CC6" w:rsidP="00D777BC">
            <w:pPr>
              <w:pStyle w:val="Tabletextcentred"/>
              <w:jc w:val="left"/>
              <w:rPr>
                <w:rFonts w:asciiTheme="minorHAnsi" w:hAnsiTheme="minorHAnsi" w:cstheme="minorHAnsi"/>
                <w:szCs w:val="20"/>
              </w:rPr>
            </w:pPr>
            <w:r w:rsidRPr="00530B7E">
              <w:rPr>
                <w:rFonts w:asciiTheme="minorHAnsi" w:hAnsiTheme="minorHAnsi" w:cstheme="minorHAnsi"/>
                <w:szCs w:val="20"/>
              </w:rPr>
              <w:t>Fire and Emergency Management</w:t>
            </w:r>
          </w:p>
        </w:tc>
      </w:tr>
    </w:tbl>
    <w:p w:rsidR="00E25CC6" w:rsidRDefault="00E25CC6" w:rsidP="00D777BC">
      <w:pPr>
        <w:pStyle w:val="Source"/>
        <w:rPr>
          <w:rFonts w:eastAsiaTheme="minorHAnsi"/>
        </w:rPr>
      </w:pPr>
      <w:r>
        <w:rPr>
          <w:rFonts w:eastAsiaTheme="minorHAnsi"/>
        </w:rPr>
        <w:t xml:space="preserve">Source: </w:t>
      </w:r>
      <w:r w:rsidRPr="0047583A">
        <w:rPr>
          <w:rFonts w:eastAsiaTheme="minorHAnsi"/>
        </w:rPr>
        <w:t>Department of Environment, Land, Water and Planning</w:t>
      </w:r>
    </w:p>
    <w:p w:rsidR="00E25CC6" w:rsidRPr="00D777BC" w:rsidRDefault="00E25CC6" w:rsidP="00D777BC">
      <w:pPr>
        <w:pStyle w:val="Notes"/>
        <w:rPr>
          <w:rFonts w:eastAsiaTheme="minorHAnsi"/>
        </w:rPr>
      </w:pPr>
      <w:r w:rsidRPr="00D777BC">
        <w:rPr>
          <w:rFonts w:eastAsiaTheme="minorHAnsi"/>
        </w:rPr>
        <w:t>Note:</w:t>
      </w:r>
    </w:p>
    <w:p w:rsidR="00E25CC6" w:rsidRDefault="00E25CC6" w:rsidP="00D777BC">
      <w:pPr>
        <w:pStyle w:val="Notes"/>
        <w:rPr>
          <w:rFonts w:eastAsiaTheme="minorHAnsi"/>
        </w:rPr>
      </w:pPr>
      <w:r w:rsidRPr="00D777BC">
        <w:rPr>
          <w:rFonts w:eastAsiaTheme="minorHAnsi"/>
        </w:rPr>
        <w:t>(a)</w:t>
      </w:r>
      <w:r w:rsidRPr="00D777BC">
        <w:rPr>
          <w:rFonts w:eastAsiaTheme="minorHAnsi"/>
        </w:rPr>
        <w:tab/>
        <w:t>This departmental objective indicator replaces the 2015</w:t>
      </w:r>
      <w:r>
        <w:rPr>
          <w:rFonts w:eastAsiaTheme="minorHAnsi"/>
        </w:rPr>
        <w:noBreakHyphen/>
      </w:r>
      <w:r w:rsidRPr="00D777BC">
        <w:rPr>
          <w:rFonts w:eastAsiaTheme="minorHAnsi"/>
        </w:rPr>
        <w:t xml:space="preserve">16 departmental objective indicator </w:t>
      </w:r>
      <w:r>
        <w:rPr>
          <w:rFonts w:eastAsiaTheme="minorHAnsi"/>
        </w:rPr>
        <w:t>‘</w:t>
      </w:r>
      <w:r w:rsidRPr="00D777BC">
        <w:rPr>
          <w:rFonts w:eastAsiaTheme="minorHAnsi"/>
        </w:rPr>
        <w:t>Area of public land treated through planned burning and other treatments</w:t>
      </w:r>
      <w:r>
        <w:rPr>
          <w:rFonts w:eastAsiaTheme="minorHAnsi"/>
        </w:rPr>
        <w:t>’</w:t>
      </w:r>
      <w:r w:rsidRPr="00D777BC">
        <w:rPr>
          <w:rFonts w:eastAsiaTheme="minorHAnsi"/>
        </w:rPr>
        <w:t xml:space="preserve"> as part of a new approach to reducing the risk of bushfire in Victoria, detailed in the Government</w:t>
      </w:r>
      <w:r>
        <w:rPr>
          <w:rFonts w:eastAsiaTheme="minorHAnsi"/>
        </w:rPr>
        <w:t>’</w:t>
      </w:r>
      <w:r w:rsidRPr="00D777BC">
        <w:rPr>
          <w:rFonts w:eastAsiaTheme="minorHAnsi"/>
        </w:rPr>
        <w:t>s policy statement Safer Together. The new indicator addresses recommendations from the Inspector</w:t>
      </w:r>
      <w:r>
        <w:rPr>
          <w:rFonts w:eastAsiaTheme="minorHAnsi"/>
        </w:rPr>
        <w:noBreakHyphen/>
      </w:r>
      <w:r w:rsidRPr="00D777BC">
        <w:rPr>
          <w:rFonts w:eastAsiaTheme="minorHAnsi"/>
        </w:rPr>
        <w:t>General for Emergency Management that a risk reduction target is the most effective form of performance target for bushfire fuel management on public land to protect life, property and the environment.</w:t>
      </w: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D777BC">
      <w:pPr>
        <w:pStyle w:val="Heading2"/>
        <w:rPr>
          <w:rFonts w:eastAsiaTheme="minorHAnsi"/>
        </w:rPr>
      </w:pPr>
      <w:r>
        <w:rPr>
          <w:rFonts w:eastAsiaTheme="minorHAnsi"/>
        </w:rPr>
        <w:t>Changes to the output structure</w:t>
      </w:r>
    </w:p>
    <w:p w:rsidR="00E25CC6" w:rsidRDefault="00E25CC6" w:rsidP="00D777BC">
      <w:pPr>
        <w:rPr>
          <w:rFonts w:eastAsiaTheme="minorHAnsi"/>
        </w:rPr>
      </w:pPr>
      <w:r w:rsidRPr="00D777BC">
        <w:rPr>
          <w:rFonts w:eastAsiaTheme="minorHAnsi"/>
        </w:rPr>
        <w:t>The Department has made changes to its output structure for 2016</w:t>
      </w:r>
      <w:r>
        <w:rPr>
          <w:rFonts w:eastAsiaTheme="minorHAnsi"/>
        </w:rPr>
        <w:noBreakHyphen/>
      </w:r>
      <w:r w:rsidRPr="00D777BC">
        <w:rPr>
          <w:rFonts w:eastAsiaTheme="minorHAnsi"/>
        </w:rPr>
        <w:t>17 as shown in the table below:</w:t>
      </w:r>
    </w:p>
    <w:tbl>
      <w:tblPr>
        <w:tblW w:w="5000" w:type="pct"/>
        <w:tblBorders>
          <w:bottom w:val="single" w:sz="12" w:space="0" w:color="auto"/>
        </w:tblBorders>
        <w:tblCellMar>
          <w:left w:w="43" w:type="dxa"/>
          <w:right w:w="43" w:type="dxa"/>
        </w:tblCellMar>
        <w:tblLook w:val="04A0" w:firstRow="1" w:lastRow="0" w:firstColumn="1" w:lastColumn="0" w:noHBand="0" w:noVBand="1"/>
      </w:tblPr>
      <w:tblGrid>
        <w:gridCol w:w="2463"/>
        <w:gridCol w:w="2828"/>
        <w:gridCol w:w="2494"/>
      </w:tblGrid>
      <w:tr w:rsidR="00E25CC6" w:rsidTr="000F650C">
        <w:trPr>
          <w:cantSplit/>
          <w:tblHeader/>
        </w:trPr>
        <w:tc>
          <w:tcPr>
            <w:tcW w:w="1582" w:type="pct"/>
            <w:tcBorders>
              <w:bottom w:val="nil"/>
            </w:tcBorders>
            <w:shd w:val="clear" w:color="auto" w:fill="000000"/>
          </w:tcPr>
          <w:p w:rsidR="00E25CC6" w:rsidRDefault="00E25CC6" w:rsidP="00D777BC">
            <w:pPr>
              <w:pStyle w:val="Tabletextheadingcentred"/>
              <w:jc w:val="left"/>
            </w:pPr>
            <w:r>
              <w:t>2015</w:t>
            </w:r>
            <w:r>
              <w:noBreakHyphen/>
              <w:t>16 outputs</w:t>
            </w:r>
          </w:p>
        </w:tc>
        <w:tc>
          <w:tcPr>
            <w:tcW w:w="1816" w:type="pct"/>
            <w:tcBorders>
              <w:bottom w:val="nil"/>
            </w:tcBorders>
            <w:shd w:val="clear" w:color="auto" w:fill="000000"/>
          </w:tcPr>
          <w:p w:rsidR="00E25CC6" w:rsidRDefault="00E25CC6" w:rsidP="00D777BC">
            <w:pPr>
              <w:pStyle w:val="Tabletextheadingcentred"/>
              <w:jc w:val="left"/>
            </w:pPr>
            <w:r>
              <w:t>Reason</w:t>
            </w:r>
          </w:p>
        </w:tc>
        <w:tc>
          <w:tcPr>
            <w:tcW w:w="1602" w:type="pct"/>
            <w:tcBorders>
              <w:bottom w:val="nil"/>
            </w:tcBorders>
            <w:shd w:val="clear" w:color="auto" w:fill="000000"/>
          </w:tcPr>
          <w:p w:rsidR="00E25CC6" w:rsidRDefault="00E25CC6" w:rsidP="00D777BC">
            <w:pPr>
              <w:pStyle w:val="Tabletextheadingcentred"/>
              <w:jc w:val="left"/>
            </w:pPr>
            <w:r w:rsidRPr="002B7D48">
              <w:rPr>
                <w:color w:val="FFFFFF" w:themeColor="background1"/>
              </w:rPr>
              <w:t>201</w:t>
            </w:r>
            <w:r>
              <w:rPr>
                <w:color w:val="FFFFFF" w:themeColor="background1"/>
              </w:rPr>
              <w:t>6</w:t>
            </w:r>
            <w:r>
              <w:rPr>
                <w:color w:val="FFFFFF" w:themeColor="background1"/>
              </w:rPr>
              <w:noBreakHyphen/>
            </w:r>
            <w:r w:rsidRPr="002B7D48">
              <w:rPr>
                <w:color w:val="FFFFFF" w:themeColor="background1"/>
              </w:rPr>
              <w:t>1</w:t>
            </w:r>
            <w:r>
              <w:rPr>
                <w:color w:val="FFFFFF" w:themeColor="background1"/>
              </w:rPr>
              <w:t>7</w:t>
            </w:r>
            <w:r w:rsidRPr="002B7D48">
              <w:rPr>
                <w:color w:val="FFFFFF" w:themeColor="background1"/>
              </w:rPr>
              <w:t xml:space="preserve"> outputs</w:t>
            </w:r>
          </w:p>
        </w:tc>
      </w:tr>
      <w:tr w:rsidR="00E25CC6" w:rsidTr="000F650C">
        <w:trPr>
          <w:cantSplit/>
        </w:trPr>
        <w:tc>
          <w:tcPr>
            <w:tcW w:w="1582" w:type="pct"/>
            <w:tcBorders>
              <w:top w:val="nil"/>
              <w:bottom w:val="single" w:sz="6" w:space="0" w:color="auto"/>
            </w:tcBorders>
            <w:shd w:val="clear" w:color="auto" w:fill="auto"/>
          </w:tcPr>
          <w:p w:rsidR="00E25CC6" w:rsidRPr="00B16B5B" w:rsidRDefault="00E25CC6" w:rsidP="00D777BC">
            <w:pPr>
              <w:pStyle w:val="Tabletextcentred"/>
              <w:jc w:val="left"/>
            </w:pPr>
            <w:r w:rsidRPr="00B16B5B">
              <w:t>Office of the Victorian Government Architect</w:t>
            </w:r>
          </w:p>
        </w:tc>
        <w:tc>
          <w:tcPr>
            <w:tcW w:w="1816" w:type="pct"/>
            <w:tcBorders>
              <w:top w:val="nil"/>
              <w:bottom w:val="single" w:sz="6" w:space="0" w:color="auto"/>
            </w:tcBorders>
            <w:shd w:val="clear" w:color="auto" w:fill="auto"/>
          </w:tcPr>
          <w:p w:rsidR="00E25CC6" w:rsidRPr="00996054" w:rsidRDefault="00E25CC6" w:rsidP="00D777BC">
            <w:pPr>
              <w:pStyle w:val="Tabletextcentred"/>
              <w:jc w:val="left"/>
            </w:pPr>
            <w:r w:rsidRPr="00B16B5B">
              <w:rPr>
                <w:szCs w:val="20"/>
              </w:rPr>
              <w:t xml:space="preserve">This output has been transferred to the </w:t>
            </w:r>
            <w:r w:rsidRPr="00B16B5B">
              <w:t>Department of Premier and Cabinet</w:t>
            </w:r>
            <w:r w:rsidRPr="00B16B5B">
              <w:rPr>
                <w:szCs w:val="20"/>
              </w:rPr>
              <w:t xml:space="preserve"> as a result of machinery of government change</w:t>
            </w:r>
          </w:p>
        </w:tc>
        <w:tc>
          <w:tcPr>
            <w:tcW w:w="1602" w:type="pct"/>
            <w:tcBorders>
              <w:top w:val="nil"/>
              <w:bottom w:val="single" w:sz="6" w:space="0" w:color="auto"/>
            </w:tcBorders>
            <w:shd w:val="clear" w:color="auto" w:fill="auto"/>
          </w:tcPr>
          <w:p w:rsidR="00E25CC6" w:rsidRPr="00F01294" w:rsidRDefault="00E25CC6" w:rsidP="00D777BC">
            <w:pPr>
              <w:pStyle w:val="Tabletextcentred"/>
              <w:jc w:val="left"/>
              <w:rPr>
                <w:highlight w:val="yellow"/>
              </w:rPr>
            </w:pPr>
            <w:r>
              <w:t xml:space="preserve">na </w:t>
            </w:r>
          </w:p>
        </w:tc>
      </w:tr>
      <w:tr w:rsidR="00E25CC6" w:rsidTr="000F650C">
        <w:trPr>
          <w:cantSplit/>
        </w:trPr>
        <w:tc>
          <w:tcPr>
            <w:tcW w:w="1582" w:type="pct"/>
            <w:tcBorders>
              <w:top w:val="single" w:sz="6" w:space="0" w:color="auto"/>
              <w:bottom w:val="single" w:sz="12" w:space="0" w:color="auto"/>
            </w:tcBorders>
            <w:shd w:val="clear" w:color="auto" w:fill="auto"/>
          </w:tcPr>
          <w:p w:rsidR="00E25CC6" w:rsidRPr="00B16B5B" w:rsidRDefault="00E25CC6" w:rsidP="00D777BC">
            <w:pPr>
              <w:pStyle w:val="Tabletextcentred"/>
              <w:jc w:val="left"/>
            </w:pPr>
            <w:r w:rsidRPr="00B16B5B">
              <w:t>Environmental Policy</w:t>
            </w:r>
          </w:p>
          <w:p w:rsidR="00E25CC6" w:rsidRDefault="00E25CC6" w:rsidP="00D777BC">
            <w:pPr>
              <w:pStyle w:val="Tabletextcentred"/>
              <w:jc w:val="left"/>
            </w:pPr>
            <w:r w:rsidRPr="00B16B5B">
              <w:t>Environmental Program</w:t>
            </w:r>
            <w:r>
              <w:t>s</w:t>
            </w:r>
          </w:p>
        </w:tc>
        <w:tc>
          <w:tcPr>
            <w:tcW w:w="1816" w:type="pct"/>
            <w:tcBorders>
              <w:top w:val="single" w:sz="6" w:space="0" w:color="auto"/>
              <w:bottom w:val="single" w:sz="12" w:space="0" w:color="auto"/>
            </w:tcBorders>
            <w:shd w:val="clear" w:color="auto" w:fill="auto"/>
          </w:tcPr>
          <w:p w:rsidR="00E25CC6" w:rsidRPr="00996054" w:rsidRDefault="00E25CC6" w:rsidP="00D777BC">
            <w:pPr>
              <w:pStyle w:val="Tabletextcentred"/>
              <w:jc w:val="left"/>
            </w:pPr>
            <w:r w:rsidRPr="00B16B5B">
              <w:rPr>
                <w:szCs w:val="20"/>
              </w:rPr>
              <w:t>The Department has consolidated these outputs to better reflect service delivery priorities</w:t>
            </w:r>
          </w:p>
        </w:tc>
        <w:tc>
          <w:tcPr>
            <w:tcW w:w="1602" w:type="pct"/>
            <w:tcBorders>
              <w:top w:val="single" w:sz="6" w:space="0" w:color="auto"/>
              <w:bottom w:val="single" w:sz="12" w:space="0" w:color="auto"/>
            </w:tcBorders>
            <w:shd w:val="clear" w:color="auto" w:fill="auto"/>
          </w:tcPr>
          <w:p w:rsidR="00E25CC6" w:rsidRPr="00B16B5B" w:rsidRDefault="00E25CC6" w:rsidP="00D777BC">
            <w:pPr>
              <w:pStyle w:val="Tabletextcentred"/>
              <w:jc w:val="left"/>
              <w:rPr>
                <w:highlight w:val="yellow"/>
              </w:rPr>
            </w:pPr>
            <w:r w:rsidRPr="00B16B5B">
              <w:t>Environment, Biodiversity and Climate Change</w:t>
            </w:r>
          </w:p>
        </w:tc>
      </w:tr>
    </w:tbl>
    <w:p w:rsidR="00E25CC6" w:rsidRDefault="00E25CC6" w:rsidP="00D777BC">
      <w:pPr>
        <w:pStyle w:val="Source"/>
        <w:rPr>
          <w:rFonts w:eastAsiaTheme="minorHAnsi"/>
        </w:rPr>
      </w:pPr>
      <w:r>
        <w:rPr>
          <w:rFonts w:eastAsiaTheme="minorHAnsi"/>
        </w:rPr>
        <w:t xml:space="preserve">Source: </w:t>
      </w:r>
      <w:r w:rsidRPr="00D777BC">
        <w:rPr>
          <w:rFonts w:eastAsiaTheme="minorHAnsi"/>
        </w:rPr>
        <w:t xml:space="preserve">Department </w:t>
      </w:r>
      <w:r>
        <w:rPr>
          <w:rFonts w:eastAsiaTheme="minorHAnsi"/>
        </w:rPr>
        <w:t>o</w:t>
      </w:r>
      <w:r w:rsidRPr="00D777BC">
        <w:rPr>
          <w:rFonts w:eastAsiaTheme="minorHAnsi"/>
        </w:rPr>
        <w:t xml:space="preserve">f Environment, Land, Water </w:t>
      </w:r>
      <w:r>
        <w:rPr>
          <w:rFonts w:eastAsiaTheme="minorHAnsi"/>
        </w:rPr>
        <w:t>a</w:t>
      </w:r>
      <w:r w:rsidRPr="00D777BC">
        <w:rPr>
          <w:rFonts w:eastAsiaTheme="minorHAnsi"/>
        </w:rPr>
        <w:t>nd Planning</w:t>
      </w:r>
    </w:p>
    <w:p w:rsidR="00E25CC6" w:rsidRDefault="00E25CC6" w:rsidP="00D777BC">
      <w:pPr>
        <w:rPr>
          <w:rFonts w:eastAsiaTheme="minorHAnsi"/>
        </w:rPr>
      </w:pPr>
    </w:p>
    <w:p w:rsidR="00E25CC6" w:rsidRPr="00D777BC" w:rsidRDefault="00E25CC6" w:rsidP="00D777BC">
      <w:pPr>
        <w:rPr>
          <w:rFonts w:eastAsiaTheme="minorHAnsi"/>
        </w:rPr>
      </w:pPr>
      <w:r w:rsidRPr="00D777BC">
        <w:rPr>
          <w:rFonts w:eastAsiaTheme="minorHAnsi"/>
        </w:rPr>
        <w:t>The following table summarises the Department</w:t>
      </w:r>
      <w:r>
        <w:rPr>
          <w:rFonts w:eastAsiaTheme="minorHAnsi"/>
        </w:rPr>
        <w:t>’</w:t>
      </w:r>
      <w:r w:rsidRPr="00D777BC">
        <w:rPr>
          <w:rFonts w:eastAsiaTheme="minorHAnsi"/>
        </w:rPr>
        <w:t>s total output cost.</w:t>
      </w:r>
    </w:p>
    <w:p w:rsidR="00E25CC6" w:rsidRPr="009560BF" w:rsidRDefault="00E25CC6" w:rsidP="000118DE">
      <w:pPr>
        <w:pStyle w:val="Tableheading"/>
        <w:rPr>
          <w:rFonts w:eastAsiaTheme="minorHAnsi"/>
        </w:rPr>
      </w:pPr>
      <w:r w:rsidRPr="009560BF">
        <w:rPr>
          <w:rFonts w:eastAsiaTheme="minorHAnsi"/>
        </w:rPr>
        <w:t>Table 2.</w:t>
      </w:r>
      <w:r>
        <w:rPr>
          <w:rFonts w:eastAsiaTheme="minorHAnsi"/>
        </w:rPr>
        <w:t>8</w:t>
      </w:r>
      <w:r w:rsidRPr="009560BF">
        <w:rPr>
          <w:rFonts w:eastAsiaTheme="minorHAnsi"/>
        </w:rPr>
        <w:t>:</w:t>
      </w:r>
      <w:r w:rsidRPr="009560BF">
        <w:rPr>
          <w:rFonts w:eastAsiaTheme="minorHAnsi"/>
        </w:rPr>
        <w:tab/>
        <w:t>Output summary</w:t>
      </w:r>
      <w:r>
        <w:rPr>
          <w:rFonts w:eastAsiaTheme="minorHAnsi"/>
        </w:rPr>
        <w:t xml:space="preserve"> </w:t>
      </w:r>
    </w:p>
    <w:tbl>
      <w:tblPr>
        <w:tblW w:w="7765" w:type="dxa"/>
        <w:tblInd w:w="43" w:type="dxa"/>
        <w:tblLayout w:type="fixed"/>
        <w:tblCellMar>
          <w:left w:w="43" w:type="dxa"/>
          <w:right w:w="43" w:type="dxa"/>
        </w:tblCellMar>
        <w:tblLook w:val="0000" w:firstRow="0" w:lastRow="0" w:firstColumn="0" w:lastColumn="0" w:noHBand="0" w:noVBand="0"/>
      </w:tblPr>
      <w:tblGrid>
        <w:gridCol w:w="4111"/>
        <w:gridCol w:w="888"/>
        <w:gridCol w:w="888"/>
        <w:gridCol w:w="888"/>
        <w:gridCol w:w="990"/>
      </w:tblGrid>
      <w:tr w:rsidR="00E25CC6" w:rsidRPr="009560BF" w:rsidTr="00467324">
        <w:trPr>
          <w:cantSplit/>
          <w:tblHeader/>
        </w:trPr>
        <w:tc>
          <w:tcPr>
            <w:tcW w:w="4111" w:type="dxa"/>
            <w:tcBorders>
              <w:bottom w:val="nil"/>
              <w:right w:val="nil"/>
            </w:tcBorders>
            <w:shd w:val="clear" w:color="auto" w:fill="000000"/>
            <w:vAlign w:val="bottom"/>
          </w:tcPr>
          <w:p w:rsidR="00E25CC6" w:rsidRPr="009560BF" w:rsidRDefault="00E25CC6" w:rsidP="00C0151D">
            <w:pPr>
              <w:pStyle w:val="Tabletext"/>
              <w:rPr>
                <w:color w:val="FFFFFF"/>
                <w:lang w:eastAsia="en-AU"/>
              </w:rPr>
            </w:pPr>
            <w:r w:rsidRPr="009560BF">
              <w:rPr>
                <w:color w:val="FFFFFF"/>
                <w:lang w:eastAsia="en-AU"/>
              </w:rPr>
              <w:t xml:space="preserve">  </w:t>
            </w:r>
          </w:p>
        </w:tc>
        <w:tc>
          <w:tcPr>
            <w:tcW w:w="888" w:type="dxa"/>
            <w:tcBorders>
              <w:left w:val="nil"/>
              <w:bottom w:val="nil"/>
              <w:right w:val="nil"/>
            </w:tcBorders>
            <w:shd w:val="clear" w:color="auto" w:fill="000000"/>
            <w:vAlign w:val="bottom"/>
          </w:tcPr>
          <w:p w:rsidR="00E25CC6" w:rsidRPr="009560BF" w:rsidRDefault="00E25CC6" w:rsidP="00C0151D">
            <w:pPr>
              <w:pStyle w:val="Tabletextheading"/>
              <w:rPr>
                <w:color w:val="FFFFFF"/>
                <w:sz w:val="19"/>
                <w:lang w:eastAsia="en-AU"/>
              </w:rPr>
            </w:pPr>
            <w:r w:rsidRPr="009560BF">
              <w:rPr>
                <w:color w:val="FFFFFF"/>
                <w:sz w:val="19"/>
                <w:lang w:eastAsia="en-AU"/>
              </w:rPr>
              <w:t>2015</w:t>
            </w:r>
            <w:r w:rsidRPr="009560BF">
              <w:rPr>
                <w:color w:val="FFFFFF"/>
                <w:sz w:val="19"/>
                <w:lang w:eastAsia="en-AU"/>
              </w:rPr>
              <w:noBreakHyphen/>
              <w:t>16</w:t>
            </w:r>
          </w:p>
        </w:tc>
        <w:tc>
          <w:tcPr>
            <w:tcW w:w="888" w:type="dxa"/>
            <w:tcBorders>
              <w:left w:val="nil"/>
              <w:bottom w:val="nil"/>
              <w:right w:val="nil"/>
            </w:tcBorders>
            <w:shd w:val="clear" w:color="auto" w:fill="000000"/>
            <w:vAlign w:val="bottom"/>
          </w:tcPr>
          <w:p w:rsidR="00E25CC6" w:rsidRPr="009560BF" w:rsidRDefault="00E25CC6" w:rsidP="00C0151D">
            <w:pPr>
              <w:pStyle w:val="Tabletextheading"/>
              <w:rPr>
                <w:color w:val="FFFFFF"/>
                <w:sz w:val="19"/>
                <w:lang w:eastAsia="en-AU"/>
              </w:rPr>
            </w:pPr>
            <w:r w:rsidRPr="009560BF">
              <w:rPr>
                <w:color w:val="FFFFFF"/>
                <w:sz w:val="19"/>
                <w:lang w:eastAsia="en-AU"/>
              </w:rPr>
              <w:t>2015</w:t>
            </w:r>
            <w:r w:rsidRPr="009560BF">
              <w:rPr>
                <w:color w:val="FFFFFF"/>
                <w:sz w:val="19"/>
                <w:lang w:eastAsia="en-AU"/>
              </w:rPr>
              <w:noBreakHyphen/>
              <w:t>16</w:t>
            </w:r>
          </w:p>
        </w:tc>
        <w:tc>
          <w:tcPr>
            <w:tcW w:w="888" w:type="dxa"/>
            <w:tcBorders>
              <w:left w:val="nil"/>
              <w:bottom w:val="nil"/>
              <w:right w:val="nil"/>
            </w:tcBorders>
            <w:shd w:val="clear" w:color="auto" w:fill="000000"/>
            <w:vAlign w:val="bottom"/>
          </w:tcPr>
          <w:p w:rsidR="00E25CC6" w:rsidRPr="009560BF" w:rsidRDefault="00E25CC6" w:rsidP="00C0151D">
            <w:pPr>
              <w:pStyle w:val="Tabletextheading"/>
              <w:rPr>
                <w:color w:val="FFFFFF"/>
                <w:sz w:val="19"/>
                <w:lang w:eastAsia="en-AU"/>
              </w:rPr>
            </w:pPr>
            <w:r w:rsidRPr="009560BF">
              <w:rPr>
                <w:color w:val="FFFFFF"/>
                <w:sz w:val="19"/>
                <w:lang w:eastAsia="en-AU"/>
              </w:rPr>
              <w:t>2016</w:t>
            </w:r>
            <w:r w:rsidRPr="009560BF">
              <w:rPr>
                <w:color w:val="FFFFFF"/>
                <w:sz w:val="19"/>
                <w:lang w:eastAsia="en-AU"/>
              </w:rPr>
              <w:noBreakHyphen/>
              <w:t>17</w:t>
            </w:r>
          </w:p>
        </w:tc>
        <w:tc>
          <w:tcPr>
            <w:tcW w:w="990" w:type="dxa"/>
            <w:tcBorders>
              <w:left w:val="nil"/>
              <w:bottom w:val="nil"/>
            </w:tcBorders>
            <w:shd w:val="clear" w:color="auto" w:fill="000000"/>
            <w:vAlign w:val="bottom"/>
          </w:tcPr>
          <w:p w:rsidR="00E25CC6" w:rsidRPr="009560BF" w:rsidRDefault="00E25CC6" w:rsidP="00EA7B39">
            <w:pPr>
              <w:pStyle w:val="Tabletextheading"/>
              <w:rPr>
                <w:color w:val="FFFFFF"/>
                <w:sz w:val="19"/>
                <w:vertAlign w:val="superscript"/>
                <w:lang w:eastAsia="en-AU"/>
              </w:rPr>
            </w:pPr>
            <w:r w:rsidRPr="009560BF">
              <w:rPr>
                <w:color w:val="FFFFFF"/>
                <w:sz w:val="19"/>
                <w:lang w:eastAsia="en-AU"/>
              </w:rPr>
              <w:t xml:space="preserve">Variation </w:t>
            </w:r>
            <w:r w:rsidRPr="009560BF">
              <w:rPr>
                <w:rFonts w:eastAsiaTheme="minorEastAsia"/>
                <w:vertAlign w:val="superscript"/>
                <w:lang w:eastAsia="en-AU"/>
              </w:rPr>
              <w:t>(a)</w:t>
            </w:r>
          </w:p>
        </w:tc>
      </w:tr>
      <w:tr w:rsidR="00E25CC6" w:rsidRPr="009560BF" w:rsidTr="00467324">
        <w:trPr>
          <w:cantSplit/>
          <w:tblHeader/>
        </w:trPr>
        <w:tc>
          <w:tcPr>
            <w:tcW w:w="4111" w:type="dxa"/>
            <w:tcBorders>
              <w:top w:val="nil"/>
              <w:bottom w:val="single" w:sz="6" w:space="0" w:color="auto"/>
              <w:right w:val="nil"/>
            </w:tcBorders>
            <w:shd w:val="clear" w:color="auto" w:fill="000000"/>
            <w:vAlign w:val="bottom"/>
          </w:tcPr>
          <w:p w:rsidR="00E25CC6" w:rsidRPr="009560BF" w:rsidRDefault="00E25CC6" w:rsidP="00C0151D">
            <w:pPr>
              <w:pStyle w:val="Tabletext"/>
              <w:rPr>
                <w:color w:val="FFFFFF"/>
                <w:lang w:eastAsia="en-AU"/>
              </w:rPr>
            </w:pPr>
            <w:r w:rsidRPr="009560BF">
              <w:rPr>
                <w:color w:val="FFFFFF"/>
                <w:lang w:eastAsia="en-AU"/>
              </w:rPr>
              <w:t xml:space="preserve">  </w:t>
            </w:r>
          </w:p>
        </w:tc>
        <w:tc>
          <w:tcPr>
            <w:tcW w:w="888" w:type="dxa"/>
            <w:tcBorders>
              <w:top w:val="nil"/>
              <w:left w:val="nil"/>
              <w:bottom w:val="single" w:sz="6" w:space="0" w:color="auto"/>
              <w:right w:val="nil"/>
            </w:tcBorders>
            <w:shd w:val="clear" w:color="auto" w:fill="000000"/>
            <w:vAlign w:val="bottom"/>
          </w:tcPr>
          <w:p w:rsidR="00E25CC6" w:rsidRPr="009560BF" w:rsidRDefault="00E25CC6" w:rsidP="00C0151D">
            <w:pPr>
              <w:pStyle w:val="Tabletextheading"/>
              <w:rPr>
                <w:color w:val="FFFFFF"/>
                <w:sz w:val="19"/>
                <w:lang w:eastAsia="en-AU"/>
              </w:rPr>
            </w:pPr>
            <w:r w:rsidRPr="009560BF">
              <w:rPr>
                <w:color w:val="FFFFFF"/>
                <w:sz w:val="19"/>
                <w:lang w:eastAsia="en-AU"/>
              </w:rPr>
              <w:t>budget</w:t>
            </w:r>
          </w:p>
        </w:tc>
        <w:tc>
          <w:tcPr>
            <w:tcW w:w="888" w:type="dxa"/>
            <w:tcBorders>
              <w:top w:val="nil"/>
              <w:left w:val="nil"/>
              <w:bottom w:val="single" w:sz="6" w:space="0" w:color="auto"/>
              <w:right w:val="nil"/>
            </w:tcBorders>
            <w:shd w:val="clear" w:color="auto" w:fill="000000"/>
            <w:vAlign w:val="bottom"/>
          </w:tcPr>
          <w:p w:rsidR="00E25CC6" w:rsidRPr="009560BF" w:rsidRDefault="00E25CC6" w:rsidP="00C0151D">
            <w:pPr>
              <w:pStyle w:val="Tabletextheading"/>
              <w:rPr>
                <w:color w:val="FFFFFF"/>
                <w:sz w:val="19"/>
                <w:lang w:eastAsia="en-AU"/>
              </w:rPr>
            </w:pPr>
            <w:r w:rsidRPr="009560BF">
              <w:rPr>
                <w:color w:val="FFFFFF"/>
                <w:sz w:val="19"/>
                <w:lang w:eastAsia="en-AU"/>
              </w:rPr>
              <w:t>revised</w:t>
            </w:r>
          </w:p>
        </w:tc>
        <w:tc>
          <w:tcPr>
            <w:tcW w:w="888" w:type="dxa"/>
            <w:tcBorders>
              <w:top w:val="nil"/>
              <w:left w:val="nil"/>
              <w:bottom w:val="single" w:sz="6" w:space="0" w:color="auto"/>
              <w:right w:val="nil"/>
            </w:tcBorders>
            <w:shd w:val="clear" w:color="auto" w:fill="000000"/>
            <w:vAlign w:val="bottom"/>
          </w:tcPr>
          <w:p w:rsidR="00E25CC6" w:rsidRPr="009560BF" w:rsidRDefault="00E25CC6" w:rsidP="00C0151D">
            <w:pPr>
              <w:pStyle w:val="Tabletextheading"/>
              <w:rPr>
                <w:color w:val="FFFFFF"/>
                <w:sz w:val="19"/>
                <w:lang w:eastAsia="en-AU"/>
              </w:rPr>
            </w:pPr>
            <w:r w:rsidRPr="009560BF">
              <w:rPr>
                <w:color w:val="FFFFFF"/>
                <w:sz w:val="19"/>
                <w:lang w:eastAsia="en-AU"/>
              </w:rPr>
              <w:t>budget</w:t>
            </w:r>
          </w:p>
        </w:tc>
        <w:tc>
          <w:tcPr>
            <w:tcW w:w="990" w:type="dxa"/>
            <w:tcBorders>
              <w:top w:val="nil"/>
              <w:left w:val="nil"/>
              <w:bottom w:val="single" w:sz="6" w:space="0" w:color="auto"/>
            </w:tcBorders>
            <w:shd w:val="clear" w:color="auto" w:fill="000000"/>
            <w:vAlign w:val="bottom"/>
          </w:tcPr>
          <w:p w:rsidR="00E25CC6" w:rsidRPr="009560BF" w:rsidRDefault="00E25CC6" w:rsidP="00C0151D">
            <w:pPr>
              <w:pStyle w:val="Tabletextheading"/>
              <w:rPr>
                <w:color w:val="FFFFFF"/>
                <w:sz w:val="19"/>
                <w:lang w:eastAsia="en-AU"/>
              </w:rPr>
            </w:pPr>
            <w:r w:rsidRPr="009560BF">
              <w:rPr>
                <w:color w:val="FFFFFF"/>
                <w:sz w:val="19"/>
                <w:lang w:eastAsia="en-AU"/>
              </w:rPr>
              <w:t>%</w:t>
            </w:r>
          </w:p>
        </w:tc>
      </w:tr>
      <w:tr w:rsidR="00E25CC6" w:rsidRPr="009560BF" w:rsidTr="00467324">
        <w:trPr>
          <w:cantSplit/>
        </w:trPr>
        <w:tc>
          <w:tcPr>
            <w:tcW w:w="4111" w:type="dxa"/>
            <w:tcBorders>
              <w:top w:val="single" w:sz="6" w:space="0" w:color="auto"/>
              <w:left w:val="nil"/>
              <w:right w:val="nil"/>
            </w:tcBorders>
            <w:shd w:val="clear" w:color="auto" w:fill="FFFFFF"/>
          </w:tcPr>
          <w:p w:rsidR="00E25CC6" w:rsidRPr="00D82E1A" w:rsidRDefault="00E25CC6" w:rsidP="00C0151D">
            <w:pPr>
              <w:pStyle w:val="Tabletext"/>
              <w:ind w:left="227" w:hanging="227"/>
            </w:pPr>
            <w:r w:rsidRPr="00D82E1A">
              <w:t xml:space="preserve">Planning, Building and Heritage </w:t>
            </w:r>
            <w:r w:rsidRPr="00D82E1A">
              <w:rPr>
                <w:rFonts w:eastAsiaTheme="minorEastAsia"/>
                <w:vertAlign w:val="superscript"/>
                <w:lang w:eastAsia="en-AU"/>
              </w:rPr>
              <w:t>(b)</w:t>
            </w:r>
          </w:p>
        </w:tc>
        <w:tc>
          <w:tcPr>
            <w:tcW w:w="888" w:type="dxa"/>
            <w:tcBorders>
              <w:top w:val="single" w:sz="6" w:space="0" w:color="auto"/>
              <w:left w:val="nil"/>
              <w:right w:val="nil"/>
            </w:tcBorders>
            <w:shd w:val="clear" w:color="auto" w:fill="FFFFFF"/>
          </w:tcPr>
          <w:p w:rsidR="00E25CC6" w:rsidRPr="00D82E1A" w:rsidRDefault="00E25CC6" w:rsidP="00C0151D">
            <w:pPr>
              <w:pStyle w:val="TableofFigures"/>
              <w:rPr>
                <w:sz w:val="19"/>
              </w:rPr>
            </w:pPr>
            <w:r w:rsidRPr="00D82E1A">
              <w:rPr>
                <w:sz w:val="19"/>
              </w:rPr>
              <w:t>120.0</w:t>
            </w:r>
          </w:p>
        </w:tc>
        <w:tc>
          <w:tcPr>
            <w:tcW w:w="888" w:type="dxa"/>
            <w:tcBorders>
              <w:top w:val="single" w:sz="6" w:space="0" w:color="auto"/>
              <w:left w:val="nil"/>
              <w:right w:val="nil"/>
            </w:tcBorders>
            <w:shd w:val="clear" w:color="auto" w:fill="FFFFFF"/>
          </w:tcPr>
          <w:p w:rsidR="00E25CC6" w:rsidRPr="00D82E1A" w:rsidRDefault="00E25CC6" w:rsidP="00C0151D">
            <w:pPr>
              <w:pStyle w:val="TableofFigures"/>
              <w:rPr>
                <w:sz w:val="19"/>
              </w:rPr>
            </w:pPr>
            <w:r w:rsidRPr="00D82E1A">
              <w:rPr>
                <w:sz w:val="19"/>
              </w:rPr>
              <w:t>102.7</w:t>
            </w:r>
          </w:p>
        </w:tc>
        <w:tc>
          <w:tcPr>
            <w:tcW w:w="888" w:type="dxa"/>
            <w:tcBorders>
              <w:top w:val="single" w:sz="6" w:space="0" w:color="auto"/>
              <w:left w:val="nil"/>
              <w:right w:val="nil"/>
            </w:tcBorders>
            <w:shd w:val="clear" w:color="auto" w:fill="FFFFFF"/>
          </w:tcPr>
          <w:p w:rsidR="00E25CC6" w:rsidRPr="00D82E1A" w:rsidRDefault="00E25CC6" w:rsidP="00C0151D">
            <w:pPr>
              <w:pStyle w:val="TableofFigures"/>
              <w:rPr>
                <w:sz w:val="19"/>
              </w:rPr>
            </w:pPr>
            <w:r>
              <w:rPr>
                <w:sz w:val="19"/>
              </w:rPr>
              <w:t>156</w:t>
            </w:r>
            <w:r w:rsidRPr="00D82E1A">
              <w:rPr>
                <w:sz w:val="19"/>
              </w:rPr>
              <w:t>.1</w:t>
            </w:r>
          </w:p>
        </w:tc>
        <w:tc>
          <w:tcPr>
            <w:tcW w:w="990" w:type="dxa"/>
            <w:tcBorders>
              <w:top w:val="single" w:sz="6" w:space="0" w:color="auto"/>
              <w:left w:val="nil"/>
              <w:right w:val="nil"/>
            </w:tcBorders>
            <w:shd w:val="clear" w:color="auto" w:fill="FFFFFF"/>
          </w:tcPr>
          <w:p w:rsidR="00E25CC6" w:rsidRPr="00D82E1A" w:rsidRDefault="00E25CC6" w:rsidP="00C0151D">
            <w:pPr>
              <w:pStyle w:val="TableofFigures"/>
              <w:rPr>
                <w:sz w:val="19"/>
              </w:rPr>
            </w:pPr>
            <w:r>
              <w:rPr>
                <w:sz w:val="19"/>
              </w:rPr>
              <w:t>30.1</w:t>
            </w:r>
          </w:p>
        </w:tc>
      </w:tr>
      <w:tr w:rsidR="00E25CC6" w:rsidRPr="009560BF" w:rsidTr="00467324">
        <w:trPr>
          <w:cantSplit/>
        </w:trPr>
        <w:tc>
          <w:tcPr>
            <w:tcW w:w="4111" w:type="dxa"/>
            <w:tcBorders>
              <w:top w:val="nil"/>
              <w:left w:val="nil"/>
              <w:right w:val="nil"/>
            </w:tcBorders>
            <w:shd w:val="clear" w:color="auto" w:fill="FFFFFF"/>
          </w:tcPr>
          <w:p w:rsidR="00E25CC6" w:rsidRPr="00D82E1A" w:rsidRDefault="00E25CC6" w:rsidP="00E67CCA">
            <w:pPr>
              <w:pStyle w:val="Tabletext"/>
              <w:ind w:left="227" w:hanging="227"/>
            </w:pPr>
            <w:r w:rsidRPr="00D82E1A">
              <w:t xml:space="preserve">Environment, Biodiversity and Climate Change </w:t>
            </w:r>
            <w:r w:rsidRPr="00D82E1A">
              <w:rPr>
                <w:rFonts w:eastAsiaTheme="minorEastAsia"/>
                <w:vertAlign w:val="superscript"/>
                <w:lang w:eastAsia="en-AU"/>
              </w:rPr>
              <w:t>(c) (d)</w:t>
            </w:r>
          </w:p>
        </w:tc>
        <w:tc>
          <w:tcPr>
            <w:tcW w:w="888" w:type="dxa"/>
            <w:tcBorders>
              <w:top w:val="nil"/>
              <w:left w:val="nil"/>
              <w:right w:val="nil"/>
            </w:tcBorders>
            <w:shd w:val="clear" w:color="auto" w:fill="FFFFFF"/>
          </w:tcPr>
          <w:p w:rsidR="00E25CC6" w:rsidRPr="00D82E1A" w:rsidRDefault="00E25CC6" w:rsidP="00C0151D">
            <w:pPr>
              <w:pStyle w:val="TableofFigures"/>
              <w:rPr>
                <w:sz w:val="19"/>
              </w:rPr>
            </w:pPr>
            <w:r w:rsidRPr="00D82E1A">
              <w:rPr>
                <w:sz w:val="19"/>
              </w:rPr>
              <w:t>129.5</w:t>
            </w:r>
          </w:p>
        </w:tc>
        <w:tc>
          <w:tcPr>
            <w:tcW w:w="888" w:type="dxa"/>
            <w:tcBorders>
              <w:top w:val="nil"/>
              <w:left w:val="nil"/>
              <w:right w:val="nil"/>
            </w:tcBorders>
            <w:shd w:val="clear" w:color="auto" w:fill="FFFFFF"/>
          </w:tcPr>
          <w:p w:rsidR="00E25CC6" w:rsidRPr="00D82E1A" w:rsidRDefault="00E25CC6" w:rsidP="00C0151D">
            <w:pPr>
              <w:pStyle w:val="TableofFigures"/>
              <w:rPr>
                <w:sz w:val="19"/>
              </w:rPr>
            </w:pPr>
            <w:r w:rsidRPr="00D82E1A">
              <w:rPr>
                <w:sz w:val="19"/>
              </w:rPr>
              <w:t>143.0</w:t>
            </w:r>
          </w:p>
        </w:tc>
        <w:tc>
          <w:tcPr>
            <w:tcW w:w="888" w:type="dxa"/>
            <w:tcBorders>
              <w:top w:val="nil"/>
              <w:left w:val="nil"/>
              <w:right w:val="nil"/>
            </w:tcBorders>
            <w:shd w:val="clear" w:color="auto" w:fill="FFFFFF"/>
          </w:tcPr>
          <w:p w:rsidR="00E25CC6" w:rsidRPr="00D82E1A" w:rsidRDefault="00E25CC6" w:rsidP="00C0151D">
            <w:pPr>
              <w:pStyle w:val="TableofFigures"/>
              <w:rPr>
                <w:sz w:val="19"/>
              </w:rPr>
            </w:pPr>
            <w:r w:rsidRPr="00D82E1A">
              <w:rPr>
                <w:sz w:val="19"/>
              </w:rPr>
              <w:t>134.2</w:t>
            </w:r>
          </w:p>
        </w:tc>
        <w:tc>
          <w:tcPr>
            <w:tcW w:w="990" w:type="dxa"/>
            <w:tcBorders>
              <w:top w:val="nil"/>
              <w:left w:val="nil"/>
              <w:right w:val="nil"/>
            </w:tcBorders>
            <w:shd w:val="clear" w:color="auto" w:fill="FFFFFF"/>
          </w:tcPr>
          <w:p w:rsidR="00E25CC6" w:rsidRPr="00D82E1A" w:rsidRDefault="00E25CC6" w:rsidP="00C0151D">
            <w:pPr>
              <w:pStyle w:val="TableofFigures"/>
              <w:rPr>
                <w:sz w:val="19"/>
              </w:rPr>
            </w:pPr>
            <w:r w:rsidRPr="00D82E1A">
              <w:rPr>
                <w:sz w:val="19"/>
              </w:rPr>
              <w:t>3.6</w:t>
            </w:r>
          </w:p>
        </w:tc>
      </w:tr>
      <w:tr w:rsidR="00E25CC6" w:rsidRPr="009560BF" w:rsidTr="00467324">
        <w:trPr>
          <w:cantSplit/>
        </w:trPr>
        <w:tc>
          <w:tcPr>
            <w:tcW w:w="4111" w:type="dxa"/>
            <w:tcBorders>
              <w:top w:val="nil"/>
              <w:left w:val="nil"/>
              <w:right w:val="nil"/>
            </w:tcBorders>
            <w:shd w:val="clear" w:color="000000" w:fill="FFFFFF"/>
          </w:tcPr>
          <w:p w:rsidR="00E25CC6" w:rsidRPr="00D82E1A" w:rsidRDefault="00E25CC6" w:rsidP="00E67CCA">
            <w:pPr>
              <w:pStyle w:val="Tabletext"/>
              <w:ind w:left="227" w:hanging="227"/>
            </w:pPr>
            <w:r w:rsidRPr="00D82E1A">
              <w:t xml:space="preserve">Statutory Activities and Environment Protection </w:t>
            </w:r>
            <w:r w:rsidRPr="00D82E1A">
              <w:rPr>
                <w:rFonts w:eastAsiaTheme="minorEastAsia"/>
                <w:vertAlign w:val="superscript"/>
                <w:lang w:eastAsia="en-AU"/>
              </w:rPr>
              <w:t>(e)</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154.1</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162.2</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96.4</w:t>
            </w:r>
          </w:p>
        </w:tc>
        <w:tc>
          <w:tcPr>
            <w:tcW w:w="990"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-37.4</w:t>
            </w:r>
          </w:p>
        </w:tc>
      </w:tr>
      <w:tr w:rsidR="00E25CC6" w:rsidRPr="009560BF" w:rsidTr="00467324">
        <w:trPr>
          <w:cantSplit/>
        </w:trPr>
        <w:tc>
          <w:tcPr>
            <w:tcW w:w="4111" w:type="dxa"/>
            <w:tcBorders>
              <w:top w:val="nil"/>
              <w:left w:val="nil"/>
              <w:right w:val="nil"/>
            </w:tcBorders>
            <w:shd w:val="clear" w:color="000000" w:fill="FFFFFF"/>
          </w:tcPr>
          <w:p w:rsidR="00E25CC6" w:rsidRPr="00D82E1A" w:rsidRDefault="00E25CC6" w:rsidP="00C0151D">
            <w:pPr>
              <w:pStyle w:val="Tabletext"/>
              <w:ind w:left="227" w:hanging="227"/>
            </w:pPr>
            <w:r w:rsidRPr="00D82E1A">
              <w:t xml:space="preserve">Land Victoria </w:t>
            </w:r>
            <w:r w:rsidRPr="00D82E1A">
              <w:rPr>
                <w:rFonts w:eastAsiaTheme="minorEastAsia"/>
                <w:vertAlign w:val="superscript"/>
                <w:lang w:eastAsia="en-AU"/>
              </w:rPr>
              <w:t>(f)</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65.8</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86.1</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77.0</w:t>
            </w:r>
          </w:p>
        </w:tc>
        <w:tc>
          <w:tcPr>
            <w:tcW w:w="990"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17.0</w:t>
            </w:r>
          </w:p>
        </w:tc>
      </w:tr>
      <w:tr w:rsidR="00E25CC6" w:rsidRPr="009560BF" w:rsidTr="00467324">
        <w:trPr>
          <w:cantSplit/>
        </w:trPr>
        <w:tc>
          <w:tcPr>
            <w:tcW w:w="4111" w:type="dxa"/>
            <w:tcBorders>
              <w:top w:val="nil"/>
              <w:left w:val="nil"/>
              <w:right w:val="nil"/>
            </w:tcBorders>
            <w:shd w:val="clear" w:color="000000" w:fill="FFFFFF"/>
          </w:tcPr>
          <w:p w:rsidR="00E25CC6" w:rsidRPr="00D82E1A" w:rsidRDefault="00E25CC6" w:rsidP="00E67CCA">
            <w:pPr>
              <w:pStyle w:val="Tabletext"/>
              <w:ind w:left="227" w:hanging="227"/>
            </w:pPr>
            <w:r w:rsidRPr="00D82E1A">
              <w:t xml:space="preserve">Management of Forests, Parks and Public Land </w:t>
            </w:r>
            <w:r w:rsidRPr="00D82E1A">
              <w:rPr>
                <w:rFonts w:eastAsiaTheme="minorEastAsia"/>
                <w:vertAlign w:val="superscript"/>
                <w:lang w:eastAsia="en-AU"/>
              </w:rPr>
              <w:t>(g)</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304.2</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319.6</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321.8</w:t>
            </w:r>
          </w:p>
        </w:tc>
        <w:tc>
          <w:tcPr>
            <w:tcW w:w="990"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5.8</w:t>
            </w:r>
          </w:p>
        </w:tc>
      </w:tr>
      <w:tr w:rsidR="00E25CC6" w:rsidRPr="009560BF" w:rsidTr="00467324">
        <w:trPr>
          <w:cantSplit/>
        </w:trPr>
        <w:tc>
          <w:tcPr>
            <w:tcW w:w="4111" w:type="dxa"/>
            <w:tcBorders>
              <w:top w:val="nil"/>
              <w:left w:val="nil"/>
              <w:right w:val="nil"/>
            </w:tcBorders>
            <w:shd w:val="clear" w:color="000000" w:fill="FFFFFF"/>
          </w:tcPr>
          <w:p w:rsidR="00E25CC6" w:rsidRPr="00D82E1A" w:rsidRDefault="00E25CC6" w:rsidP="00C0151D">
            <w:pPr>
              <w:pStyle w:val="Tabletext"/>
              <w:ind w:left="227" w:hanging="227"/>
            </w:pPr>
            <w:r w:rsidRPr="00D82E1A">
              <w:t xml:space="preserve">Effective Water Management and Supply </w:t>
            </w:r>
            <w:r w:rsidRPr="00D82E1A">
              <w:rPr>
                <w:rFonts w:eastAsiaTheme="minorEastAsia"/>
                <w:vertAlign w:val="superscript"/>
                <w:lang w:eastAsia="en-AU"/>
              </w:rPr>
              <w:t>(h)</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603.3</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450.1</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486.2</w:t>
            </w:r>
          </w:p>
        </w:tc>
        <w:tc>
          <w:tcPr>
            <w:tcW w:w="990"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-19.4</w:t>
            </w:r>
          </w:p>
        </w:tc>
      </w:tr>
      <w:tr w:rsidR="00E25CC6" w:rsidRPr="009560BF" w:rsidTr="00467324">
        <w:trPr>
          <w:cantSplit/>
        </w:trPr>
        <w:tc>
          <w:tcPr>
            <w:tcW w:w="4111" w:type="dxa"/>
            <w:tcBorders>
              <w:top w:val="nil"/>
              <w:left w:val="nil"/>
              <w:right w:val="nil"/>
            </w:tcBorders>
            <w:shd w:val="clear" w:color="000000" w:fill="FFFFFF"/>
          </w:tcPr>
          <w:p w:rsidR="00E25CC6" w:rsidRPr="00D82E1A" w:rsidRDefault="00E25CC6" w:rsidP="00C0151D">
            <w:pPr>
              <w:pStyle w:val="Tabletext"/>
              <w:ind w:left="227" w:hanging="227"/>
            </w:pPr>
            <w:r w:rsidRPr="00D82E1A">
              <w:t>Local Government</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112.1</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sidRPr="00D82E1A">
              <w:rPr>
                <w:sz w:val="19"/>
              </w:rPr>
              <w:t>116.3</w:t>
            </w:r>
          </w:p>
        </w:tc>
        <w:tc>
          <w:tcPr>
            <w:tcW w:w="888" w:type="dxa"/>
            <w:tcBorders>
              <w:top w:val="nil"/>
              <w:left w:val="nil"/>
              <w:right w:val="nil"/>
            </w:tcBorders>
            <w:shd w:val="clear" w:color="000000" w:fill="FFFFFF"/>
          </w:tcPr>
          <w:p w:rsidR="00E25CC6" w:rsidRPr="00D82E1A" w:rsidRDefault="00E25CC6" w:rsidP="00C0151D">
            <w:pPr>
              <w:pStyle w:val="TableofFigures"/>
              <w:rPr>
                <w:sz w:val="19"/>
              </w:rPr>
            </w:pPr>
            <w:r>
              <w:rPr>
                <w:sz w:val="19"/>
              </w:rPr>
              <w:t>114</w:t>
            </w:r>
            <w:r w:rsidRPr="00D82E1A">
              <w:rPr>
                <w:sz w:val="19"/>
              </w:rPr>
              <w:t>.4</w:t>
            </w:r>
          </w:p>
        </w:tc>
        <w:tc>
          <w:tcPr>
            <w:tcW w:w="990" w:type="dxa"/>
            <w:tcBorders>
              <w:top w:val="nil"/>
              <w:left w:val="nil"/>
              <w:right w:val="nil"/>
            </w:tcBorders>
            <w:shd w:val="clear" w:color="000000" w:fill="FFFFFF"/>
          </w:tcPr>
          <w:p w:rsidR="00E25CC6" w:rsidRPr="00D82E1A" w:rsidRDefault="00E25CC6" w:rsidP="00C0151D">
            <w:pPr>
              <w:pStyle w:val="TableofFigures"/>
              <w:rPr>
                <w:sz w:val="19"/>
              </w:rPr>
            </w:pPr>
            <w:r>
              <w:rPr>
                <w:sz w:val="19"/>
              </w:rPr>
              <w:t>2.1</w:t>
            </w:r>
          </w:p>
        </w:tc>
      </w:tr>
      <w:tr w:rsidR="00E25CC6" w:rsidRPr="009560BF" w:rsidTr="00467324">
        <w:trPr>
          <w:cantSplit/>
        </w:trPr>
        <w:tc>
          <w:tcPr>
            <w:tcW w:w="4111" w:type="dxa"/>
            <w:tcBorders>
              <w:top w:val="nil"/>
              <w:left w:val="nil"/>
              <w:bottom w:val="single" w:sz="6" w:space="0" w:color="auto"/>
              <w:right w:val="nil"/>
            </w:tcBorders>
            <w:shd w:val="clear" w:color="000000" w:fill="FFFFFF"/>
          </w:tcPr>
          <w:p w:rsidR="00E25CC6" w:rsidRPr="00D82E1A" w:rsidRDefault="00E25CC6" w:rsidP="00C0151D">
            <w:pPr>
              <w:pStyle w:val="Tabletext"/>
              <w:ind w:left="227" w:hanging="227"/>
            </w:pPr>
            <w:r w:rsidRPr="00D82E1A">
              <w:t xml:space="preserve">Fire and Emergency Management </w:t>
            </w:r>
            <w:r>
              <w:rPr>
                <w:rFonts w:eastAsiaTheme="minorEastAsia"/>
                <w:vertAlign w:val="superscript"/>
                <w:lang w:eastAsia="en-AU"/>
              </w:rPr>
              <w:t>(i</w:t>
            </w:r>
            <w:r w:rsidRPr="00D82E1A">
              <w:rPr>
                <w:rFonts w:eastAsiaTheme="minorEastAsia"/>
                <w:vertAlign w:val="superscript"/>
                <w:lang w:eastAsia="en-AU"/>
              </w:rPr>
              <w:t>)</w:t>
            </w:r>
          </w:p>
        </w:tc>
        <w:tc>
          <w:tcPr>
            <w:tcW w:w="888" w:type="dxa"/>
            <w:tcBorders>
              <w:top w:val="nil"/>
              <w:left w:val="nil"/>
              <w:bottom w:val="single" w:sz="6" w:space="0" w:color="auto"/>
              <w:right w:val="nil"/>
            </w:tcBorders>
            <w:shd w:val="clear" w:color="000000" w:fill="FFFFFF"/>
          </w:tcPr>
          <w:p w:rsidR="00E25CC6" w:rsidRPr="00D82E1A" w:rsidRDefault="00E25CC6" w:rsidP="00C0151D">
            <w:pPr>
              <w:pStyle w:val="TableofFigures"/>
              <w:rPr>
                <w:sz w:val="19"/>
              </w:rPr>
            </w:pPr>
            <w:r w:rsidRPr="00D82E1A">
              <w:rPr>
                <w:sz w:val="19"/>
              </w:rPr>
              <w:t>335.1</w:t>
            </w:r>
          </w:p>
        </w:tc>
        <w:tc>
          <w:tcPr>
            <w:tcW w:w="888" w:type="dxa"/>
            <w:tcBorders>
              <w:top w:val="nil"/>
              <w:left w:val="nil"/>
              <w:bottom w:val="single" w:sz="6" w:space="0" w:color="auto"/>
              <w:right w:val="nil"/>
            </w:tcBorders>
            <w:shd w:val="clear" w:color="000000" w:fill="FFFFFF"/>
          </w:tcPr>
          <w:p w:rsidR="00E25CC6" w:rsidRPr="00D82E1A" w:rsidRDefault="00E25CC6" w:rsidP="00C0151D">
            <w:pPr>
              <w:pStyle w:val="TableofFigures"/>
              <w:rPr>
                <w:sz w:val="19"/>
              </w:rPr>
            </w:pPr>
            <w:r w:rsidRPr="00D82E1A">
              <w:rPr>
                <w:sz w:val="19"/>
              </w:rPr>
              <w:t>353.7</w:t>
            </w:r>
          </w:p>
        </w:tc>
        <w:tc>
          <w:tcPr>
            <w:tcW w:w="888" w:type="dxa"/>
            <w:tcBorders>
              <w:top w:val="nil"/>
              <w:left w:val="nil"/>
              <w:bottom w:val="single" w:sz="6" w:space="0" w:color="auto"/>
              <w:right w:val="nil"/>
            </w:tcBorders>
            <w:shd w:val="clear" w:color="000000" w:fill="FFFFFF"/>
          </w:tcPr>
          <w:p w:rsidR="00E25CC6" w:rsidRPr="00D82E1A" w:rsidRDefault="00E25CC6" w:rsidP="00C0151D">
            <w:pPr>
              <w:pStyle w:val="TableofFigures"/>
              <w:rPr>
                <w:sz w:val="19"/>
              </w:rPr>
            </w:pPr>
            <w:r w:rsidRPr="00D82E1A">
              <w:rPr>
                <w:sz w:val="19"/>
              </w:rPr>
              <w:t>371.8</w:t>
            </w:r>
          </w:p>
        </w:tc>
        <w:tc>
          <w:tcPr>
            <w:tcW w:w="990" w:type="dxa"/>
            <w:tcBorders>
              <w:top w:val="nil"/>
              <w:left w:val="nil"/>
              <w:bottom w:val="single" w:sz="6" w:space="0" w:color="auto"/>
              <w:right w:val="nil"/>
            </w:tcBorders>
            <w:shd w:val="clear" w:color="000000" w:fill="FFFFFF"/>
          </w:tcPr>
          <w:p w:rsidR="00E25CC6" w:rsidRPr="00D82E1A" w:rsidRDefault="00E25CC6" w:rsidP="00C0151D">
            <w:pPr>
              <w:pStyle w:val="TableofFigures"/>
              <w:rPr>
                <w:sz w:val="19"/>
              </w:rPr>
            </w:pPr>
            <w:r w:rsidRPr="00D82E1A">
              <w:rPr>
                <w:sz w:val="19"/>
              </w:rPr>
              <w:t>10.9</w:t>
            </w:r>
          </w:p>
        </w:tc>
      </w:tr>
      <w:tr w:rsidR="00E25CC6" w:rsidRPr="00D82E1A" w:rsidTr="00467324">
        <w:trPr>
          <w:cantSplit/>
        </w:trPr>
        <w:tc>
          <w:tcPr>
            <w:tcW w:w="4111" w:type="dxa"/>
            <w:tcBorders>
              <w:top w:val="single" w:sz="6" w:space="0" w:color="auto"/>
              <w:left w:val="nil"/>
              <w:bottom w:val="single" w:sz="12" w:space="0" w:color="auto"/>
              <w:right w:val="nil"/>
            </w:tcBorders>
            <w:shd w:val="clear" w:color="auto" w:fill="FFFFFF"/>
          </w:tcPr>
          <w:p w:rsidR="00E25CC6" w:rsidRPr="00D82E1A" w:rsidRDefault="00E25CC6" w:rsidP="00C0151D">
            <w:pPr>
              <w:pStyle w:val="Tabletext"/>
              <w:ind w:left="227" w:hanging="227"/>
              <w:rPr>
                <w:b/>
                <w:bCs/>
                <w:lang w:eastAsia="en-AU"/>
              </w:rPr>
            </w:pPr>
            <w:r w:rsidRPr="00D82E1A">
              <w:rPr>
                <w:b/>
                <w:bCs/>
                <w:lang w:eastAsia="en-AU"/>
              </w:rPr>
              <w:t>Total</w:t>
            </w:r>
          </w:p>
        </w:tc>
        <w:tc>
          <w:tcPr>
            <w:tcW w:w="888" w:type="dxa"/>
            <w:tcBorders>
              <w:top w:val="single" w:sz="6" w:space="0" w:color="auto"/>
              <w:left w:val="nil"/>
              <w:bottom w:val="single" w:sz="12" w:space="0" w:color="auto"/>
              <w:right w:val="nil"/>
            </w:tcBorders>
            <w:shd w:val="clear" w:color="auto" w:fill="FFFFFF"/>
          </w:tcPr>
          <w:p w:rsidR="00E25CC6" w:rsidRPr="00D82E1A" w:rsidRDefault="00E25CC6" w:rsidP="00C0151D">
            <w:pPr>
              <w:pStyle w:val="TableofFigures"/>
              <w:rPr>
                <w:b/>
                <w:bCs/>
                <w:sz w:val="19"/>
                <w:szCs w:val="22"/>
                <w:lang w:eastAsia="en-AU"/>
              </w:rPr>
            </w:pPr>
            <w:r w:rsidRPr="00D82E1A">
              <w:rPr>
                <w:b/>
                <w:bCs/>
                <w:sz w:val="19"/>
                <w:szCs w:val="22"/>
                <w:lang w:eastAsia="en-AU"/>
              </w:rPr>
              <w:t>1824.1</w:t>
            </w:r>
          </w:p>
        </w:tc>
        <w:tc>
          <w:tcPr>
            <w:tcW w:w="888" w:type="dxa"/>
            <w:tcBorders>
              <w:top w:val="single" w:sz="6" w:space="0" w:color="auto"/>
              <w:left w:val="nil"/>
              <w:bottom w:val="single" w:sz="12" w:space="0" w:color="auto"/>
              <w:right w:val="nil"/>
            </w:tcBorders>
            <w:shd w:val="clear" w:color="auto" w:fill="FFFFFF"/>
          </w:tcPr>
          <w:p w:rsidR="00E25CC6" w:rsidRPr="00D82E1A" w:rsidRDefault="00E25CC6" w:rsidP="00C0151D">
            <w:pPr>
              <w:pStyle w:val="TableofFigures"/>
              <w:rPr>
                <w:b/>
                <w:bCs/>
                <w:sz w:val="19"/>
                <w:szCs w:val="22"/>
                <w:lang w:eastAsia="en-AU"/>
              </w:rPr>
            </w:pPr>
            <w:r w:rsidRPr="00D82E1A">
              <w:rPr>
                <w:b/>
                <w:bCs/>
                <w:sz w:val="19"/>
                <w:szCs w:val="22"/>
                <w:lang w:eastAsia="en-AU"/>
              </w:rPr>
              <w:t>1733.7</w:t>
            </w:r>
          </w:p>
        </w:tc>
        <w:tc>
          <w:tcPr>
            <w:tcW w:w="888" w:type="dxa"/>
            <w:tcBorders>
              <w:top w:val="single" w:sz="6" w:space="0" w:color="auto"/>
              <w:left w:val="nil"/>
              <w:bottom w:val="single" w:sz="12" w:space="0" w:color="auto"/>
              <w:right w:val="nil"/>
            </w:tcBorders>
            <w:shd w:val="clear" w:color="auto" w:fill="FFFFFF"/>
          </w:tcPr>
          <w:p w:rsidR="00E25CC6" w:rsidRPr="00D82E1A" w:rsidRDefault="00E25CC6" w:rsidP="00C0151D">
            <w:pPr>
              <w:pStyle w:val="TableofFigures"/>
              <w:rPr>
                <w:b/>
                <w:bCs/>
                <w:sz w:val="19"/>
                <w:szCs w:val="22"/>
                <w:lang w:eastAsia="en-AU"/>
              </w:rPr>
            </w:pPr>
            <w:r w:rsidRPr="00D82E1A">
              <w:rPr>
                <w:b/>
                <w:bCs/>
                <w:sz w:val="19"/>
                <w:szCs w:val="22"/>
                <w:lang w:eastAsia="en-AU"/>
              </w:rPr>
              <w:t>1757.9</w:t>
            </w:r>
          </w:p>
        </w:tc>
        <w:tc>
          <w:tcPr>
            <w:tcW w:w="990" w:type="dxa"/>
            <w:tcBorders>
              <w:top w:val="single" w:sz="6" w:space="0" w:color="auto"/>
              <w:left w:val="nil"/>
              <w:bottom w:val="single" w:sz="12" w:space="0" w:color="auto"/>
              <w:right w:val="nil"/>
            </w:tcBorders>
            <w:shd w:val="clear" w:color="auto" w:fill="FFFFFF"/>
          </w:tcPr>
          <w:p w:rsidR="00E25CC6" w:rsidRPr="00D82E1A" w:rsidRDefault="00E25CC6" w:rsidP="00C0151D">
            <w:pPr>
              <w:pStyle w:val="TableofFigures"/>
              <w:rPr>
                <w:b/>
                <w:bCs/>
                <w:sz w:val="19"/>
                <w:szCs w:val="22"/>
                <w:lang w:eastAsia="en-AU"/>
              </w:rPr>
            </w:pPr>
            <w:r w:rsidRPr="00D82E1A">
              <w:rPr>
                <w:b/>
                <w:bCs/>
                <w:sz w:val="19"/>
                <w:szCs w:val="22"/>
                <w:lang w:eastAsia="en-AU"/>
              </w:rPr>
              <w:t>-3.6</w:t>
            </w:r>
          </w:p>
        </w:tc>
      </w:tr>
    </w:tbl>
    <w:p w:rsidR="00E25CC6" w:rsidRPr="0047583A" w:rsidRDefault="00E25CC6" w:rsidP="00C77969">
      <w:pPr>
        <w:pStyle w:val="Source"/>
        <w:rPr>
          <w:rFonts w:eastAsiaTheme="minorHAnsi"/>
          <w:i w:val="0"/>
        </w:rPr>
      </w:pPr>
      <w:r w:rsidRPr="00D82E1A">
        <w:rPr>
          <w:rFonts w:eastAsiaTheme="minorHAnsi"/>
        </w:rPr>
        <w:t>Source: Department of Environment, Land, Water and Planning</w:t>
      </w:r>
      <w:r>
        <w:rPr>
          <w:rFonts w:eastAsiaTheme="minorHAnsi"/>
        </w:rPr>
        <w:t xml:space="preserve"> </w:t>
      </w:r>
      <w:r>
        <w:rPr>
          <w:rFonts w:eastAsiaTheme="minorHAnsi"/>
        </w:rPr>
        <w:fldChar w:fldCharType="begin"/>
      </w:r>
      <w:r>
        <w:instrText xml:space="preserve"> XE "</w:instrText>
      </w:r>
      <w:r w:rsidRPr="00A13F02">
        <w:instrText>Department of Environment, Land, Water and Planning:Output summary</w:instrText>
      </w:r>
      <w:r>
        <w:instrText xml:space="preserve">" </w:instrText>
      </w:r>
      <w:r>
        <w:rPr>
          <w:rFonts w:eastAsiaTheme="minorHAnsi"/>
        </w:rPr>
        <w:fldChar w:fldCharType="end"/>
      </w:r>
    </w:p>
    <w:p w:rsidR="00E25CC6" w:rsidRPr="00D82E1A" w:rsidRDefault="00E25CC6" w:rsidP="00E65EDF">
      <w:pPr>
        <w:pStyle w:val="Notes"/>
        <w:rPr>
          <w:rFonts w:eastAsiaTheme="minorHAnsi"/>
        </w:rPr>
      </w:pPr>
      <w:r w:rsidRPr="00D82E1A">
        <w:rPr>
          <w:rFonts w:eastAsiaTheme="minorHAnsi"/>
        </w:rPr>
        <w:t>Note:</w:t>
      </w:r>
    </w:p>
    <w:p w:rsidR="00E25CC6" w:rsidRPr="00D82E1A" w:rsidRDefault="00E25CC6" w:rsidP="00B14831">
      <w:pPr>
        <w:pStyle w:val="Notes"/>
        <w:rPr>
          <w:rFonts w:eastAsiaTheme="minorHAnsi"/>
        </w:rPr>
      </w:pPr>
      <w:r w:rsidRPr="00D82E1A">
        <w:rPr>
          <w:rFonts w:eastAsiaTheme="minorHAnsi"/>
        </w:rPr>
        <w:t>(a)</w:t>
      </w:r>
      <w:r w:rsidRPr="00D82E1A">
        <w:rPr>
          <w:rFonts w:eastAsiaTheme="minorHAnsi"/>
        </w:rPr>
        <w:tab/>
        <w:t>Variation between 2015</w:t>
      </w:r>
      <w:r w:rsidRPr="00D82E1A">
        <w:rPr>
          <w:rFonts w:eastAsiaTheme="minorHAnsi"/>
        </w:rPr>
        <w:noBreakHyphen/>
        <w:t>16 budget and 2016</w:t>
      </w:r>
      <w:r w:rsidRPr="00D82E1A">
        <w:rPr>
          <w:rFonts w:eastAsiaTheme="minorHAnsi"/>
        </w:rPr>
        <w:noBreakHyphen/>
        <w:t>17 budget.</w:t>
      </w:r>
    </w:p>
    <w:p w:rsidR="00E25CC6" w:rsidRPr="00D82E1A" w:rsidRDefault="00E25CC6" w:rsidP="00B14831">
      <w:pPr>
        <w:pStyle w:val="Notes"/>
        <w:rPr>
          <w:rFonts w:eastAsiaTheme="minorHAnsi"/>
        </w:rPr>
      </w:pPr>
      <w:r w:rsidRPr="00D82E1A">
        <w:rPr>
          <w:rFonts w:eastAsiaTheme="minorHAnsi"/>
        </w:rPr>
        <w:t xml:space="preserve">(b) </w:t>
      </w:r>
      <w:r w:rsidRPr="00D82E1A">
        <w:rPr>
          <w:rFonts w:eastAsiaTheme="minorHAnsi"/>
        </w:rPr>
        <w:tab/>
        <w:t>The higher 2016</w:t>
      </w:r>
      <w:r w:rsidRPr="00D82E1A">
        <w:rPr>
          <w:rFonts w:eastAsiaTheme="minorHAnsi"/>
        </w:rPr>
        <w:noBreakHyphen/>
        <w:t xml:space="preserve">17 budget primarily reflects the approved expenditure profile of the Growth Areas Infrastructure Contribution and additional Government investment provided in the </w:t>
      </w:r>
      <w:r w:rsidRPr="00D82E1A">
        <w:rPr>
          <w:rFonts w:eastAsiaTheme="minorHAnsi"/>
          <w:i w:val="0"/>
        </w:rPr>
        <w:t>2016</w:t>
      </w:r>
      <w:r w:rsidRPr="00D82E1A">
        <w:rPr>
          <w:rFonts w:eastAsiaTheme="minorHAnsi"/>
          <w:i w:val="0"/>
        </w:rPr>
        <w:noBreakHyphen/>
        <w:t>17 Budget</w:t>
      </w:r>
      <w:r w:rsidRPr="00D82E1A">
        <w:rPr>
          <w:rFonts w:eastAsiaTheme="minorHAnsi"/>
        </w:rPr>
        <w:t xml:space="preserve"> for planning initiatives, including the Smart Planning program</w:t>
      </w:r>
      <w:r>
        <w:rPr>
          <w:rFonts w:eastAsiaTheme="minorHAnsi"/>
        </w:rPr>
        <w:t>.</w:t>
      </w:r>
    </w:p>
    <w:p w:rsidR="00E25CC6" w:rsidRPr="00D82E1A" w:rsidRDefault="00E25CC6" w:rsidP="00B14831">
      <w:pPr>
        <w:pStyle w:val="Notes"/>
        <w:rPr>
          <w:rFonts w:eastAsiaTheme="minorHAnsi"/>
        </w:rPr>
      </w:pPr>
      <w:r w:rsidRPr="00D82E1A">
        <w:rPr>
          <w:rFonts w:eastAsiaTheme="minorHAnsi"/>
        </w:rPr>
        <w:t>(c)</w:t>
      </w:r>
      <w:r w:rsidRPr="00D82E1A">
        <w:rPr>
          <w:rFonts w:eastAsiaTheme="minorHAnsi"/>
        </w:rPr>
        <w:tab/>
        <w:t>Environment, Biodiversity and Climate Change consolidates the 2015</w:t>
      </w:r>
      <w:r w:rsidRPr="00D82E1A">
        <w:rPr>
          <w:rFonts w:eastAsiaTheme="minorHAnsi"/>
        </w:rPr>
        <w:noBreakHyphen/>
        <w:t>16 outputs Environmental Policy and Environmental Programs. The 2015</w:t>
      </w:r>
      <w:r w:rsidRPr="00D82E1A">
        <w:rPr>
          <w:rFonts w:eastAsiaTheme="minorHAnsi"/>
        </w:rPr>
        <w:noBreakHyphen/>
        <w:t>16 revised and 2015</w:t>
      </w:r>
      <w:r w:rsidRPr="00D82E1A">
        <w:rPr>
          <w:rFonts w:eastAsiaTheme="minorHAnsi"/>
        </w:rPr>
        <w:noBreakHyphen/>
        <w:t>16 budget represent the addition of the 2015</w:t>
      </w:r>
      <w:r w:rsidRPr="00D82E1A">
        <w:rPr>
          <w:rFonts w:eastAsiaTheme="minorHAnsi"/>
        </w:rPr>
        <w:noBreakHyphen/>
        <w:t>16 figures for the Environmental Policy and Environmental Programs outputs.</w:t>
      </w:r>
    </w:p>
    <w:p w:rsidR="00E25CC6" w:rsidRPr="00D82E1A" w:rsidRDefault="00E25CC6" w:rsidP="00B14831">
      <w:pPr>
        <w:pStyle w:val="Notes"/>
        <w:rPr>
          <w:rFonts w:eastAsiaTheme="minorHAnsi"/>
        </w:rPr>
      </w:pPr>
      <w:r w:rsidRPr="00D82E1A">
        <w:rPr>
          <w:rFonts w:eastAsiaTheme="minorHAnsi"/>
        </w:rPr>
        <w:t>(d)</w:t>
      </w:r>
      <w:r w:rsidRPr="00D82E1A">
        <w:rPr>
          <w:rFonts w:eastAsiaTheme="minorHAnsi"/>
        </w:rPr>
        <w:tab/>
        <w:t>The higher 2016</w:t>
      </w:r>
      <w:r w:rsidRPr="00D82E1A">
        <w:rPr>
          <w:rFonts w:eastAsiaTheme="minorHAnsi"/>
        </w:rPr>
        <w:noBreakHyphen/>
        <w:t xml:space="preserve">17 budget relates to additional Government investment provided in the </w:t>
      </w:r>
      <w:r w:rsidRPr="00D82E1A">
        <w:rPr>
          <w:rFonts w:eastAsiaTheme="minorHAnsi"/>
          <w:i w:val="0"/>
        </w:rPr>
        <w:t>2016</w:t>
      </w:r>
      <w:r w:rsidRPr="00D82E1A">
        <w:rPr>
          <w:rFonts w:eastAsiaTheme="minorHAnsi"/>
          <w:i w:val="0"/>
        </w:rPr>
        <w:noBreakHyphen/>
        <w:t>17 Budget</w:t>
      </w:r>
      <w:r w:rsidRPr="00D82E1A">
        <w:rPr>
          <w:rFonts w:eastAsiaTheme="minorHAnsi"/>
        </w:rPr>
        <w:t xml:space="preserve"> for a range of biodiversity and environment-related initiatives.</w:t>
      </w:r>
    </w:p>
    <w:p w:rsidR="00E25CC6" w:rsidRPr="00D82E1A" w:rsidRDefault="00E25CC6" w:rsidP="00B14831">
      <w:pPr>
        <w:pStyle w:val="Notes"/>
        <w:rPr>
          <w:rFonts w:eastAsiaTheme="minorHAnsi"/>
        </w:rPr>
      </w:pPr>
      <w:r w:rsidRPr="00D82E1A">
        <w:rPr>
          <w:rFonts w:eastAsiaTheme="minorHAnsi"/>
        </w:rPr>
        <w:t>(e)</w:t>
      </w:r>
      <w:r w:rsidRPr="00D82E1A">
        <w:rPr>
          <w:rFonts w:eastAsiaTheme="minorHAnsi"/>
        </w:rPr>
        <w:tab/>
        <w:t>The lower 2016</w:t>
      </w:r>
      <w:r w:rsidRPr="00D82E1A">
        <w:rPr>
          <w:rFonts w:eastAsiaTheme="minorHAnsi"/>
        </w:rPr>
        <w:noBreakHyphen/>
        <w:t xml:space="preserve">17 budget primarily reflects the reclassification of </w:t>
      </w:r>
      <w:r>
        <w:rPr>
          <w:rFonts w:eastAsiaTheme="minorHAnsi"/>
        </w:rPr>
        <w:t>Environment</w:t>
      </w:r>
      <w:r w:rsidRPr="00D82E1A">
        <w:rPr>
          <w:rFonts w:eastAsiaTheme="minorHAnsi"/>
        </w:rPr>
        <w:t xml:space="preserve"> Protection Authority expenditure following the transfer of the Sustainability Fund to the Department of Environment, Land, Water and Planning.</w:t>
      </w:r>
    </w:p>
    <w:p w:rsidR="00E25CC6" w:rsidRPr="00D82E1A" w:rsidRDefault="00E25CC6" w:rsidP="00B14831">
      <w:pPr>
        <w:pStyle w:val="Notes"/>
        <w:rPr>
          <w:rFonts w:eastAsiaTheme="minorHAnsi"/>
        </w:rPr>
      </w:pPr>
      <w:r w:rsidRPr="00D82E1A">
        <w:rPr>
          <w:rFonts w:eastAsiaTheme="minorHAnsi"/>
        </w:rPr>
        <w:t>(f)</w:t>
      </w:r>
      <w:r w:rsidRPr="00D82E1A">
        <w:rPr>
          <w:rFonts w:eastAsiaTheme="minorHAnsi"/>
        </w:rPr>
        <w:tab/>
        <w:t>The higher 2016</w:t>
      </w:r>
      <w:r w:rsidRPr="00D82E1A">
        <w:rPr>
          <w:rFonts w:eastAsiaTheme="minorHAnsi"/>
        </w:rPr>
        <w:noBreakHyphen/>
        <w:t>17 budget primarily relates to higher revenue estimates for the Valuation and Survey, Land Title and Landata initiatives.</w:t>
      </w:r>
    </w:p>
    <w:p w:rsidR="00E25CC6" w:rsidRPr="00D82E1A" w:rsidRDefault="00E25CC6" w:rsidP="00B14831">
      <w:pPr>
        <w:pStyle w:val="Notes"/>
        <w:rPr>
          <w:rFonts w:eastAsiaTheme="minorHAnsi"/>
        </w:rPr>
      </w:pPr>
      <w:r w:rsidRPr="00D82E1A">
        <w:rPr>
          <w:rFonts w:eastAsiaTheme="minorHAnsi"/>
        </w:rPr>
        <w:t>(g)</w:t>
      </w:r>
      <w:r w:rsidRPr="00D82E1A">
        <w:rPr>
          <w:rFonts w:eastAsiaTheme="minorHAnsi"/>
        </w:rPr>
        <w:tab/>
        <w:t>The higher 2016</w:t>
      </w:r>
      <w:r w:rsidRPr="00D82E1A">
        <w:rPr>
          <w:rFonts w:eastAsiaTheme="minorHAnsi"/>
        </w:rPr>
        <w:noBreakHyphen/>
        <w:t xml:space="preserve">17 budget primarily reflects additional Government investment provided in the </w:t>
      </w:r>
      <w:r w:rsidRPr="00D82E1A">
        <w:rPr>
          <w:rFonts w:eastAsiaTheme="minorHAnsi"/>
          <w:i w:val="0"/>
        </w:rPr>
        <w:t>2016</w:t>
      </w:r>
      <w:r w:rsidRPr="00D82E1A">
        <w:rPr>
          <w:rFonts w:eastAsiaTheme="minorHAnsi"/>
          <w:i w:val="0"/>
        </w:rPr>
        <w:noBreakHyphen/>
        <w:t>17 Budget</w:t>
      </w:r>
      <w:r w:rsidRPr="00D82E1A">
        <w:rPr>
          <w:rFonts w:eastAsiaTheme="minorHAnsi"/>
        </w:rPr>
        <w:t xml:space="preserve"> for the Enhancing Victoria</w:t>
      </w:r>
      <w:r>
        <w:rPr>
          <w:rFonts w:eastAsiaTheme="minorHAnsi"/>
        </w:rPr>
        <w:t>’</w:t>
      </w:r>
      <w:r w:rsidRPr="00D82E1A">
        <w:rPr>
          <w:rFonts w:eastAsiaTheme="minorHAnsi"/>
        </w:rPr>
        <w:t>s world class nature-based tourism destinations initiative and additional payments from the Parks and Reserves Trust Account.</w:t>
      </w:r>
    </w:p>
    <w:p w:rsidR="00E25CC6" w:rsidRPr="00D82E1A" w:rsidRDefault="00E25CC6" w:rsidP="00B14831">
      <w:pPr>
        <w:pStyle w:val="Notes"/>
        <w:rPr>
          <w:rFonts w:eastAsiaTheme="minorHAnsi"/>
        </w:rPr>
      </w:pPr>
      <w:r w:rsidRPr="00D82E1A">
        <w:rPr>
          <w:rFonts w:eastAsiaTheme="minorHAnsi"/>
        </w:rPr>
        <w:t>(h)</w:t>
      </w:r>
      <w:r w:rsidRPr="00D82E1A">
        <w:rPr>
          <w:rFonts w:eastAsiaTheme="minorHAnsi"/>
        </w:rPr>
        <w:tab/>
        <w:t>The lower 2016</w:t>
      </w:r>
      <w:r w:rsidRPr="00D82E1A">
        <w:rPr>
          <w:rFonts w:eastAsiaTheme="minorHAnsi"/>
        </w:rPr>
        <w:noBreakHyphen/>
        <w:t xml:space="preserve">17 budget primarily reflects the rephasing of the Goulburn-Murray Water Connections project and additional Government investment provided in the </w:t>
      </w:r>
      <w:r w:rsidRPr="00D82E1A">
        <w:rPr>
          <w:rFonts w:eastAsiaTheme="minorHAnsi"/>
          <w:i w:val="0"/>
        </w:rPr>
        <w:t>2016</w:t>
      </w:r>
      <w:r w:rsidRPr="00D82E1A">
        <w:rPr>
          <w:rFonts w:eastAsiaTheme="minorHAnsi"/>
          <w:i w:val="0"/>
        </w:rPr>
        <w:noBreakHyphen/>
        <w:t>17 Budget</w:t>
      </w:r>
      <w:r w:rsidRPr="00D82E1A">
        <w:rPr>
          <w:rFonts w:eastAsiaTheme="minorHAnsi"/>
        </w:rPr>
        <w:t>.</w:t>
      </w:r>
    </w:p>
    <w:p w:rsidR="00E25CC6" w:rsidRPr="00D82E1A" w:rsidRDefault="00E25CC6" w:rsidP="00B14831">
      <w:pPr>
        <w:pStyle w:val="Notes"/>
        <w:rPr>
          <w:rFonts w:eastAsiaTheme="minorHAnsi"/>
        </w:rPr>
      </w:pPr>
      <w:r w:rsidRPr="00D82E1A">
        <w:rPr>
          <w:rFonts w:eastAsiaTheme="minorHAnsi"/>
        </w:rPr>
        <w:t>(i)</w:t>
      </w:r>
      <w:r w:rsidRPr="00D82E1A">
        <w:rPr>
          <w:rFonts w:eastAsiaTheme="minorHAnsi"/>
        </w:rPr>
        <w:tab/>
      </w:r>
      <w:r w:rsidRPr="00D82E1A">
        <w:rPr>
          <w:rFonts w:eastAsiaTheme="minorHAnsi"/>
        </w:rPr>
        <w:tab/>
        <w:t>The higher 2016</w:t>
      </w:r>
      <w:r w:rsidRPr="00D82E1A">
        <w:rPr>
          <w:rFonts w:eastAsiaTheme="minorHAnsi"/>
        </w:rPr>
        <w:noBreakHyphen/>
        <w:t xml:space="preserve">17 budget primarily reflects additional Government investment provided in the </w:t>
      </w:r>
      <w:r w:rsidRPr="00D82E1A">
        <w:rPr>
          <w:rFonts w:eastAsiaTheme="minorHAnsi"/>
          <w:i w:val="0"/>
        </w:rPr>
        <w:t>2016</w:t>
      </w:r>
      <w:r w:rsidRPr="00D82E1A">
        <w:rPr>
          <w:rFonts w:eastAsiaTheme="minorHAnsi"/>
          <w:i w:val="0"/>
        </w:rPr>
        <w:noBreakHyphen/>
        <w:t>17 Budget</w:t>
      </w:r>
      <w:r w:rsidRPr="00D82E1A">
        <w:rPr>
          <w:rFonts w:eastAsiaTheme="minorHAnsi"/>
        </w:rPr>
        <w:t xml:space="preserve"> for the </w:t>
      </w:r>
      <w:r>
        <w:rPr>
          <w:rFonts w:eastAsiaTheme="minorHAnsi"/>
        </w:rPr>
        <w:t>Bushfire preparedness and response activities</w:t>
      </w:r>
      <w:r w:rsidRPr="00D82E1A">
        <w:rPr>
          <w:rFonts w:eastAsiaTheme="minorHAnsi"/>
        </w:rPr>
        <w:t xml:space="preserve"> initiative.</w:t>
      </w:r>
    </w:p>
    <w:p w:rsidR="00E25CC6" w:rsidRDefault="00E25CC6" w:rsidP="000118DE">
      <w:pPr>
        <w:pStyle w:val="Heading2"/>
        <w:rPr>
          <w:rFonts w:eastAsiaTheme="minorHAnsi"/>
        </w:rPr>
      </w:pPr>
      <w:r>
        <w:rPr>
          <w:rFonts w:eastAsiaTheme="minorHAnsi"/>
        </w:rPr>
        <w:t>Amounts available</w:t>
      </w:r>
    </w:p>
    <w:p w:rsidR="00E25CC6" w:rsidRDefault="00E25CC6" w:rsidP="00CC12EE">
      <w:pPr>
        <w:rPr>
          <w:rFonts w:eastAsiaTheme="minorHAnsi"/>
        </w:rPr>
      </w:pPr>
      <w:r>
        <w:rPr>
          <w:rFonts w:eastAsiaTheme="minorHAnsi"/>
        </w:rPr>
        <w:t>The following tables detail the amounts available to the Department from Parliamentary authority and income generated through transactions.</w:t>
      </w:r>
    </w:p>
    <w:p w:rsidR="00E25CC6" w:rsidRDefault="00E25CC6" w:rsidP="00CC12EE">
      <w:pPr>
        <w:rPr>
          <w:rFonts w:eastAsiaTheme="minorHAnsi"/>
        </w:rPr>
      </w:pPr>
      <w:r>
        <w:rPr>
          <w:rFonts w:eastAsiaTheme="minorHAnsi"/>
        </w:rPr>
        <w:t>Table 2.9 outlines the Department’s income from transactions and 2.10 summarises the sources of Parliamentary authority available to the Department to fund the provision of outputs, additions to the net asset base and payments made on behalf of the State.</w:t>
      </w:r>
    </w:p>
    <w:p w:rsidR="00E25CC6" w:rsidRDefault="00E25CC6" w:rsidP="007F5EC1">
      <w:pPr>
        <w:pStyle w:val="Source"/>
        <w:rPr>
          <w:rFonts w:eastAsiaTheme="minorHAnsi"/>
        </w:rPr>
      </w:pPr>
    </w:p>
    <w:p w:rsidR="00E25CC6" w:rsidRDefault="00E25CC6" w:rsidP="000118DE">
      <w:pPr>
        <w:pStyle w:val="Tableheading"/>
        <w:rPr>
          <w:rFonts w:eastAsiaTheme="minorHAnsi"/>
        </w:rPr>
      </w:pPr>
      <w:r>
        <w:rPr>
          <w:rFonts w:eastAsiaTheme="minorHAnsi"/>
        </w:rPr>
        <w:t>Table 2.9:</w:t>
      </w:r>
      <w:r>
        <w:rPr>
          <w:rFonts w:eastAsiaTheme="minorHAnsi"/>
        </w:rPr>
        <w:tab/>
        <w:t>Income from transactions</w:t>
      </w:r>
    </w:p>
    <w:p w:rsidR="00E25CC6" w:rsidRPr="00205A0E" w:rsidRDefault="00E25CC6" w:rsidP="00205A0E">
      <w:pPr>
        <w:pStyle w:val="million"/>
        <w:rPr>
          <w:rFonts w:ascii="Garamond" w:eastAsiaTheme="minorHAnsi" w:hAnsi="Garamond"/>
          <w:b/>
          <w:bCs/>
          <w:sz w:val="22"/>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205A0E" w:rsidTr="00205A0E">
        <w:tc>
          <w:tcPr>
            <w:tcW w:w="4365" w:type="dxa"/>
            <w:tcBorders>
              <w:top w:val="nil"/>
              <w:left w:val="nil"/>
              <w:bottom w:val="nil"/>
              <w:right w:val="nil"/>
            </w:tcBorders>
            <w:shd w:val="solid" w:color="000000" w:fill="auto"/>
          </w:tcPr>
          <w:p w:rsidR="00E25CC6" w:rsidRPr="00205A0E" w:rsidRDefault="00E25CC6" w:rsidP="00205A0E">
            <w:pPr>
              <w:autoSpaceDE w:val="0"/>
              <w:autoSpaceDN w:val="0"/>
              <w:adjustRightInd w:val="0"/>
              <w:spacing w:after="0"/>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2016-17</w:t>
            </w:r>
          </w:p>
        </w:tc>
      </w:tr>
      <w:tr w:rsidR="00E25CC6" w:rsidRPr="00205A0E" w:rsidTr="00205A0E">
        <w:tc>
          <w:tcPr>
            <w:tcW w:w="4365" w:type="dxa"/>
            <w:tcBorders>
              <w:top w:val="nil"/>
              <w:left w:val="nil"/>
              <w:right w:val="nil"/>
            </w:tcBorders>
            <w:shd w:val="solid" w:color="000000" w:fill="auto"/>
          </w:tcPr>
          <w:p w:rsidR="00E25CC6" w:rsidRPr="00205A0E" w:rsidRDefault="00E25CC6" w:rsidP="00205A0E">
            <w:pPr>
              <w:autoSpaceDE w:val="0"/>
              <w:autoSpaceDN w:val="0"/>
              <w:adjustRightInd w:val="0"/>
              <w:spacing w:after="0"/>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szCs w:val="19"/>
                <w:lang w:eastAsia="en-AU"/>
              </w:rPr>
            </w:pPr>
            <w:r w:rsidRPr="00205A0E">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205A0E" w:rsidRDefault="00E25CC6" w:rsidP="00205A0E">
            <w:pPr>
              <w:autoSpaceDE w:val="0"/>
              <w:autoSpaceDN w:val="0"/>
              <w:adjustRightInd w:val="0"/>
              <w:spacing w:after="0"/>
              <w:jc w:val="right"/>
              <w:rPr>
                <w:rFonts w:ascii="Calibri" w:eastAsiaTheme="minorEastAsia" w:hAnsi="Calibri" w:cs="Calibri"/>
                <w:i/>
                <w:iCs/>
                <w:color w:val="FFFFFF"/>
                <w:sz w:val="19"/>
                <w:vertAlign w:val="superscript"/>
                <w:lang w:eastAsia="en-AU"/>
              </w:rPr>
            </w:pPr>
            <w:r w:rsidRPr="00205A0E">
              <w:rPr>
                <w:rFonts w:ascii="Calibri" w:eastAsiaTheme="minorEastAsia" w:hAnsi="Calibri" w:cs="Calibri"/>
                <w:i/>
                <w:iCs/>
                <w:color w:val="FFFFFF"/>
                <w:sz w:val="19"/>
                <w:szCs w:val="19"/>
                <w:lang w:eastAsia="en-AU"/>
              </w:rPr>
              <w:t>budget</w:t>
            </w:r>
            <w:r w:rsidRPr="00205A0E">
              <w:rPr>
                <w:rFonts w:ascii="Calibri" w:eastAsiaTheme="minorEastAsia" w:hAnsi="Calibri" w:cs="Calibri"/>
                <w:i/>
                <w:iCs/>
                <w:color w:val="FFFFFF"/>
                <w:sz w:val="19"/>
                <w:szCs w:val="19"/>
                <w:vertAlign w:val="superscript"/>
                <w:lang w:eastAsia="en-AU"/>
              </w:rPr>
              <w:t>(</w:t>
            </w:r>
            <w:r w:rsidRPr="00205A0E">
              <w:rPr>
                <w:rFonts w:ascii="Calibri" w:eastAsiaTheme="minorEastAsia" w:hAnsi="Calibri" w:cs="Calibri"/>
                <w:i/>
                <w:iCs/>
                <w:color w:val="FFFFFF"/>
                <w:sz w:val="19"/>
                <w:vertAlign w:val="superscript"/>
                <w:lang w:eastAsia="en-AU"/>
              </w:rPr>
              <w:t>a)</w:t>
            </w:r>
          </w:p>
        </w:tc>
      </w:tr>
      <w:tr w:rsidR="00E25CC6" w:rsidRPr="00205A0E" w:rsidTr="00205A0E">
        <w:tc>
          <w:tcPr>
            <w:tcW w:w="4365" w:type="dxa"/>
            <w:tcBorders>
              <w:top w:val="nil"/>
              <w:left w:val="nil"/>
              <w:right w:val="nil"/>
            </w:tcBorders>
            <w:shd w:val="clear" w:color="auto" w:fill="FFFFFF"/>
          </w:tcPr>
          <w:p w:rsidR="00E25CC6" w:rsidRPr="00205A0E" w:rsidRDefault="00E25CC6" w:rsidP="00205A0E">
            <w:pPr>
              <w:autoSpaceDE w:val="0"/>
              <w:autoSpaceDN w:val="0"/>
              <w:adjustRightInd w:val="0"/>
              <w:spacing w:after="0"/>
              <w:ind w:left="227" w:hanging="227"/>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1 225.2</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1 172.3</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1 141.5</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1 276.0</w:t>
            </w:r>
          </w:p>
        </w:tc>
      </w:tr>
      <w:tr w:rsidR="00E25CC6" w:rsidRPr="00205A0E" w:rsidTr="00205A0E">
        <w:tc>
          <w:tcPr>
            <w:tcW w:w="4365" w:type="dxa"/>
            <w:tcBorders>
              <w:top w:val="nil"/>
              <w:left w:val="nil"/>
              <w:right w:val="nil"/>
            </w:tcBorders>
            <w:shd w:val="clear" w:color="auto" w:fill="FFFFFF"/>
          </w:tcPr>
          <w:p w:rsidR="00E25CC6" w:rsidRPr="00205A0E" w:rsidRDefault="00E25CC6" w:rsidP="00205A0E">
            <w:pPr>
              <w:autoSpaceDE w:val="0"/>
              <w:autoSpaceDN w:val="0"/>
              <w:adjustRightInd w:val="0"/>
              <w:spacing w:after="0"/>
              <w:ind w:left="227" w:hanging="227"/>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115.4</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14.1</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48.7</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62.3</w:t>
            </w:r>
          </w:p>
        </w:tc>
      </w:tr>
      <w:tr w:rsidR="00E25CC6" w:rsidRPr="00205A0E" w:rsidTr="00205A0E">
        <w:tc>
          <w:tcPr>
            <w:tcW w:w="4365" w:type="dxa"/>
            <w:tcBorders>
              <w:top w:val="nil"/>
              <w:left w:val="nil"/>
              <w:right w:val="nil"/>
            </w:tcBorders>
            <w:shd w:val="clear" w:color="auto" w:fill="FFFFFF"/>
          </w:tcPr>
          <w:p w:rsidR="00E25CC6" w:rsidRPr="00205A0E" w:rsidRDefault="00E25CC6" w:rsidP="00205A0E">
            <w:pPr>
              <w:autoSpaceDE w:val="0"/>
              <w:autoSpaceDN w:val="0"/>
              <w:adjustRightInd w:val="0"/>
              <w:spacing w:after="0"/>
              <w:ind w:left="227" w:hanging="227"/>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Interest</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21.8</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21.6</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21.6</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21.0</w:t>
            </w:r>
          </w:p>
        </w:tc>
      </w:tr>
      <w:tr w:rsidR="00E25CC6" w:rsidRPr="00205A0E" w:rsidTr="00205A0E">
        <w:tc>
          <w:tcPr>
            <w:tcW w:w="4365" w:type="dxa"/>
            <w:tcBorders>
              <w:top w:val="nil"/>
              <w:left w:val="nil"/>
              <w:right w:val="nil"/>
            </w:tcBorders>
            <w:shd w:val="clear" w:color="auto" w:fill="FFFFFF"/>
          </w:tcPr>
          <w:p w:rsidR="00E25CC6" w:rsidRPr="00205A0E" w:rsidRDefault="00E25CC6" w:rsidP="00205A0E">
            <w:pPr>
              <w:autoSpaceDE w:val="0"/>
              <w:autoSpaceDN w:val="0"/>
              <w:adjustRightInd w:val="0"/>
              <w:spacing w:after="0"/>
              <w:ind w:left="227" w:hanging="227"/>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101.1</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73.3</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65.0</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43.1</w:t>
            </w:r>
          </w:p>
        </w:tc>
      </w:tr>
      <w:tr w:rsidR="00E25CC6" w:rsidRPr="00205A0E" w:rsidTr="00205A0E">
        <w:tc>
          <w:tcPr>
            <w:tcW w:w="4365" w:type="dxa"/>
            <w:tcBorders>
              <w:top w:val="nil"/>
              <w:left w:val="nil"/>
              <w:right w:val="nil"/>
            </w:tcBorders>
            <w:shd w:val="clear" w:color="auto" w:fill="FFFFFF"/>
          </w:tcPr>
          <w:p w:rsidR="00E25CC6" w:rsidRPr="00205A0E" w:rsidRDefault="00E25CC6" w:rsidP="00205A0E">
            <w:pPr>
              <w:autoSpaceDE w:val="0"/>
              <w:autoSpaceDN w:val="0"/>
              <w:adjustRightInd w:val="0"/>
              <w:spacing w:after="0"/>
              <w:ind w:left="227" w:hanging="227"/>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Grants</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218.5</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259.9</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74.5</w:t>
            </w:r>
          </w:p>
        </w:tc>
        <w:tc>
          <w:tcPr>
            <w:tcW w:w="850" w:type="dxa"/>
            <w:tcBorders>
              <w:top w:val="nil"/>
              <w:left w:val="nil"/>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393.9</w:t>
            </w:r>
          </w:p>
        </w:tc>
      </w:tr>
      <w:tr w:rsidR="00E25CC6" w:rsidRPr="00205A0E" w:rsidTr="00205A0E">
        <w:tc>
          <w:tcPr>
            <w:tcW w:w="4365" w:type="dxa"/>
            <w:tcBorders>
              <w:top w:val="nil"/>
              <w:left w:val="nil"/>
              <w:bottom w:val="single" w:sz="6" w:space="0" w:color="auto"/>
              <w:right w:val="nil"/>
            </w:tcBorders>
            <w:shd w:val="clear" w:color="auto" w:fill="FFFFFF"/>
          </w:tcPr>
          <w:p w:rsidR="00E25CC6" w:rsidRPr="00205A0E" w:rsidRDefault="00E25CC6" w:rsidP="00205A0E">
            <w:pPr>
              <w:autoSpaceDE w:val="0"/>
              <w:autoSpaceDN w:val="0"/>
              <w:adjustRightInd w:val="0"/>
              <w:spacing w:after="0"/>
              <w:ind w:left="227" w:hanging="227"/>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Other income</w:t>
            </w:r>
          </w:p>
        </w:tc>
        <w:tc>
          <w:tcPr>
            <w:tcW w:w="850" w:type="dxa"/>
            <w:tcBorders>
              <w:top w:val="nil"/>
              <w:left w:val="nil"/>
              <w:bottom w:val="single" w:sz="6"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364.4</w:t>
            </w:r>
          </w:p>
        </w:tc>
        <w:tc>
          <w:tcPr>
            <w:tcW w:w="850" w:type="dxa"/>
            <w:tcBorders>
              <w:top w:val="nil"/>
              <w:left w:val="nil"/>
              <w:bottom w:val="single" w:sz="6"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267.9</w:t>
            </w:r>
          </w:p>
        </w:tc>
        <w:tc>
          <w:tcPr>
            <w:tcW w:w="850" w:type="dxa"/>
            <w:tcBorders>
              <w:top w:val="nil"/>
              <w:left w:val="nil"/>
              <w:bottom w:val="single" w:sz="6"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292.9</w:t>
            </w:r>
          </w:p>
        </w:tc>
        <w:tc>
          <w:tcPr>
            <w:tcW w:w="850" w:type="dxa"/>
            <w:tcBorders>
              <w:top w:val="nil"/>
              <w:left w:val="nil"/>
              <w:bottom w:val="single" w:sz="6"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color w:val="000000"/>
                <w:sz w:val="19"/>
                <w:szCs w:val="19"/>
                <w:lang w:eastAsia="en-AU"/>
              </w:rPr>
            </w:pPr>
            <w:r w:rsidRPr="00205A0E">
              <w:rPr>
                <w:rFonts w:ascii="Calibri" w:eastAsiaTheme="minorEastAsia" w:hAnsi="Calibri" w:cs="Calibri"/>
                <w:color w:val="000000"/>
                <w:sz w:val="19"/>
                <w:szCs w:val="19"/>
                <w:lang w:eastAsia="en-AU"/>
              </w:rPr>
              <w:t xml:space="preserve"> 304.6</w:t>
            </w:r>
          </w:p>
        </w:tc>
      </w:tr>
      <w:tr w:rsidR="00E25CC6" w:rsidRPr="00205A0E" w:rsidTr="00205A0E">
        <w:tc>
          <w:tcPr>
            <w:tcW w:w="4365" w:type="dxa"/>
            <w:tcBorders>
              <w:top w:val="single" w:sz="6" w:space="0" w:color="auto"/>
              <w:left w:val="nil"/>
              <w:bottom w:val="single" w:sz="12" w:space="0" w:color="auto"/>
              <w:right w:val="nil"/>
            </w:tcBorders>
            <w:shd w:val="clear" w:color="auto" w:fill="FFFFFF"/>
          </w:tcPr>
          <w:p w:rsidR="00E25CC6" w:rsidRPr="00205A0E" w:rsidRDefault="00E25CC6" w:rsidP="00205A0E">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205A0E">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b/>
                <w:bCs/>
                <w:color w:val="000000"/>
                <w:sz w:val="19"/>
                <w:szCs w:val="19"/>
                <w:lang w:eastAsia="en-AU"/>
              </w:rPr>
            </w:pPr>
            <w:r w:rsidRPr="00205A0E">
              <w:rPr>
                <w:rFonts w:ascii="Calibri" w:eastAsiaTheme="minorEastAsia" w:hAnsi="Calibri" w:cs="Calibri"/>
                <w:b/>
                <w:bCs/>
                <w:color w:val="000000"/>
                <w:sz w:val="19"/>
                <w:szCs w:val="19"/>
                <w:lang w:eastAsia="en-AU"/>
              </w:rPr>
              <w:t>2 046.4</w:t>
            </w:r>
          </w:p>
        </w:tc>
        <w:tc>
          <w:tcPr>
            <w:tcW w:w="850" w:type="dxa"/>
            <w:tcBorders>
              <w:top w:val="single" w:sz="6" w:space="0" w:color="auto"/>
              <w:left w:val="nil"/>
              <w:bottom w:val="single" w:sz="12"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b/>
                <w:bCs/>
                <w:color w:val="000000"/>
                <w:sz w:val="19"/>
                <w:szCs w:val="19"/>
                <w:lang w:eastAsia="en-AU"/>
              </w:rPr>
            </w:pPr>
            <w:r w:rsidRPr="00205A0E">
              <w:rPr>
                <w:rFonts w:ascii="Calibri" w:eastAsiaTheme="minorEastAsia" w:hAnsi="Calibri" w:cs="Calibri"/>
                <w:b/>
                <w:bCs/>
                <w:color w:val="000000"/>
                <w:sz w:val="19"/>
                <w:szCs w:val="19"/>
                <w:lang w:eastAsia="en-AU"/>
              </w:rPr>
              <w:t>1 809.2</w:t>
            </w:r>
          </w:p>
        </w:tc>
        <w:tc>
          <w:tcPr>
            <w:tcW w:w="850" w:type="dxa"/>
            <w:tcBorders>
              <w:top w:val="single" w:sz="6" w:space="0" w:color="auto"/>
              <w:left w:val="nil"/>
              <w:bottom w:val="single" w:sz="12"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b/>
                <w:bCs/>
                <w:color w:val="000000"/>
                <w:sz w:val="19"/>
                <w:szCs w:val="19"/>
                <w:lang w:eastAsia="en-AU"/>
              </w:rPr>
            </w:pPr>
            <w:r w:rsidRPr="00205A0E">
              <w:rPr>
                <w:rFonts w:ascii="Calibri" w:eastAsiaTheme="minorEastAsia" w:hAnsi="Calibri" w:cs="Calibri"/>
                <w:b/>
                <w:bCs/>
                <w:color w:val="000000"/>
                <w:sz w:val="19"/>
                <w:szCs w:val="19"/>
                <w:lang w:eastAsia="en-AU"/>
              </w:rPr>
              <w:t>1 644.3</w:t>
            </w:r>
          </w:p>
        </w:tc>
        <w:tc>
          <w:tcPr>
            <w:tcW w:w="850" w:type="dxa"/>
            <w:tcBorders>
              <w:top w:val="single" w:sz="6" w:space="0" w:color="auto"/>
              <w:left w:val="nil"/>
              <w:bottom w:val="single" w:sz="12" w:space="0" w:color="auto"/>
              <w:right w:val="nil"/>
            </w:tcBorders>
            <w:shd w:val="clear" w:color="auto" w:fill="FFFFFF"/>
          </w:tcPr>
          <w:p w:rsidR="00E25CC6" w:rsidRPr="00205A0E" w:rsidRDefault="00E25CC6" w:rsidP="00205A0E">
            <w:pPr>
              <w:autoSpaceDE w:val="0"/>
              <w:autoSpaceDN w:val="0"/>
              <w:adjustRightInd w:val="0"/>
              <w:spacing w:after="0"/>
              <w:jc w:val="right"/>
              <w:rPr>
                <w:rFonts w:ascii="Calibri" w:eastAsiaTheme="minorEastAsia" w:hAnsi="Calibri" w:cs="Calibri"/>
                <w:b/>
                <w:bCs/>
                <w:color w:val="000000"/>
                <w:sz w:val="19"/>
                <w:szCs w:val="19"/>
                <w:lang w:eastAsia="en-AU"/>
              </w:rPr>
            </w:pPr>
            <w:r w:rsidRPr="00205A0E">
              <w:rPr>
                <w:rFonts w:ascii="Calibri" w:eastAsiaTheme="minorEastAsia" w:hAnsi="Calibri" w:cs="Calibri"/>
                <w:b/>
                <w:bCs/>
                <w:color w:val="000000"/>
                <w:sz w:val="19"/>
                <w:szCs w:val="19"/>
                <w:lang w:eastAsia="en-AU"/>
              </w:rPr>
              <w:t>2 100.8</w:t>
            </w:r>
          </w:p>
        </w:tc>
      </w:tr>
    </w:tbl>
    <w:p w:rsidR="00E25CC6" w:rsidRPr="0047583A" w:rsidRDefault="00E25CC6" w:rsidP="00991505">
      <w:pPr>
        <w:pStyle w:val="Source"/>
        <w:rPr>
          <w:rFonts w:eastAsiaTheme="minorHAnsi"/>
          <w:i w:val="0"/>
        </w:rPr>
      </w:pPr>
      <w:r>
        <w:rPr>
          <w:rFonts w:eastAsiaTheme="minorHAnsi"/>
        </w:rPr>
        <w:t xml:space="preserve">Source: Department of Environment, Land, Water and Planning </w:t>
      </w:r>
      <w:r>
        <w:rPr>
          <w:rFonts w:eastAsiaTheme="minorHAnsi"/>
        </w:rPr>
        <w:fldChar w:fldCharType="begin"/>
      </w:r>
      <w:r>
        <w:instrText xml:space="preserve"> XE "</w:instrText>
      </w:r>
      <w:r w:rsidRPr="00011BB5">
        <w:instrText>Department of Environment, Land, Water and Planning:Income from transactions</w:instrText>
      </w:r>
      <w:r>
        <w:instrText xml:space="preserve">" </w:instrText>
      </w:r>
      <w:r>
        <w:rPr>
          <w:rFonts w:eastAsiaTheme="minorHAnsi"/>
        </w:rPr>
        <w:fldChar w:fldCharType="end"/>
      </w:r>
    </w:p>
    <w:p w:rsidR="00E25CC6" w:rsidRDefault="00E25CC6" w:rsidP="00C77969">
      <w:pPr>
        <w:pStyle w:val="Notes"/>
        <w:rPr>
          <w:rFonts w:eastAsiaTheme="minorHAnsi"/>
        </w:rPr>
      </w:pPr>
      <w:r>
        <w:rPr>
          <w:rFonts w:eastAsiaTheme="minorHAnsi"/>
        </w:rPr>
        <w:t>Note:</w:t>
      </w:r>
    </w:p>
    <w:p w:rsidR="00E25CC6" w:rsidRDefault="00E25CC6" w:rsidP="00C77969">
      <w:pPr>
        <w:pStyle w:val="Notes"/>
        <w:rPr>
          <w:rFonts w:eastAsiaTheme="minorHAnsi"/>
        </w:rPr>
      </w:pPr>
      <w:r>
        <w:rPr>
          <w:rFonts w:eastAsiaTheme="minorHAnsi"/>
        </w:rPr>
        <w:t>(a)</w:t>
      </w:r>
      <w:r>
        <w:rPr>
          <w:rFonts w:eastAsiaTheme="minorHAnsi"/>
        </w:rPr>
        <w:tab/>
      </w:r>
      <w:r w:rsidRPr="000C3D0F">
        <w:rPr>
          <w:rFonts w:eastAsiaTheme="minorHAnsi"/>
        </w:rPr>
        <w:t>The 2016</w:t>
      </w:r>
      <w:r>
        <w:rPr>
          <w:rFonts w:ascii="MS Gothic" w:eastAsia="MS Gothic" w:hAnsi="MS Gothic" w:cs="MS Gothic"/>
        </w:rPr>
        <w:noBreakHyphen/>
      </w:r>
      <w:r w:rsidRPr="000C3D0F">
        <w:rPr>
          <w:rFonts w:eastAsiaTheme="minorHAnsi"/>
        </w:rPr>
        <w:t>17 budget reflects the reclassification of the Environmental Protection Authority (EPA) from the Department of Environment, Land, Water and Planning (DELWP) to regulatory bodies. This better reflects the functions of the EPA following the transfer of the Sustainability Fund to DELWP.</w:t>
      </w:r>
    </w:p>
    <w:p w:rsidR="00E25CC6" w:rsidRDefault="00E25CC6" w:rsidP="00C77969">
      <w:pPr>
        <w:pStyle w:val="Notes"/>
        <w:rPr>
          <w:rFonts w:eastAsiaTheme="minorHAnsi"/>
        </w:rPr>
      </w:pPr>
    </w:p>
    <w:p w:rsidR="00E25CC6" w:rsidRDefault="00E25CC6" w:rsidP="000118DE">
      <w:pPr>
        <w:pStyle w:val="Tableheading"/>
        <w:rPr>
          <w:rFonts w:eastAsiaTheme="minorHAnsi"/>
        </w:rPr>
      </w:pPr>
      <w:r>
        <w:rPr>
          <w:rFonts w:eastAsiaTheme="minorHAnsi"/>
        </w:rPr>
        <w:t>Table 2.10:</w:t>
      </w:r>
      <w:r>
        <w:rPr>
          <w:rFonts w:eastAsiaTheme="minorHAnsi"/>
        </w:rPr>
        <w:tab/>
        <w:t>Parliamentary authority for resources</w:t>
      </w:r>
    </w:p>
    <w:p w:rsidR="00E25CC6" w:rsidRPr="00F741A9" w:rsidRDefault="00E25CC6" w:rsidP="00F741A9">
      <w:pPr>
        <w:pStyle w:val="million"/>
        <w:rPr>
          <w:rFonts w:eastAsiaTheme="minorHAnsi"/>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F741A9" w:rsidTr="00F741A9">
        <w:tc>
          <w:tcPr>
            <w:tcW w:w="5216" w:type="dxa"/>
            <w:tcBorders>
              <w:left w:val="nil"/>
              <w:bottom w:val="nil"/>
              <w:right w:val="nil"/>
            </w:tcBorders>
            <w:shd w:val="solid" w:color="000000" w:fill="auto"/>
          </w:tcPr>
          <w:p w:rsidR="00E25CC6" w:rsidRPr="00F741A9" w:rsidRDefault="00E25CC6" w:rsidP="00F741A9">
            <w:pPr>
              <w:autoSpaceDE w:val="0"/>
              <w:autoSpaceDN w:val="0"/>
              <w:adjustRightInd w:val="0"/>
              <w:spacing w:after="0"/>
              <w:rPr>
                <w:rFonts w:ascii="Calibri" w:eastAsiaTheme="minorEastAsia" w:hAnsi="Calibri" w:cs="Calibri"/>
                <w:sz w:val="19"/>
                <w:lang w:eastAsia="en-AU"/>
              </w:rPr>
            </w:pPr>
            <w:r w:rsidRPr="00F741A9">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F741A9" w:rsidRDefault="00E25CC6" w:rsidP="00F741A9">
            <w:pPr>
              <w:autoSpaceDE w:val="0"/>
              <w:autoSpaceDN w:val="0"/>
              <w:adjustRightInd w:val="0"/>
              <w:spacing w:after="0"/>
              <w:jc w:val="right"/>
              <w:rPr>
                <w:rFonts w:ascii="Calibri" w:eastAsiaTheme="minorEastAsia" w:hAnsi="Calibri" w:cs="Calibri"/>
                <w:i/>
                <w:iCs/>
                <w:sz w:val="19"/>
                <w:lang w:eastAsia="en-AU"/>
              </w:rPr>
            </w:pPr>
            <w:r w:rsidRPr="00F741A9">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F741A9" w:rsidRDefault="00E25CC6" w:rsidP="00F741A9">
            <w:pPr>
              <w:autoSpaceDE w:val="0"/>
              <w:autoSpaceDN w:val="0"/>
              <w:adjustRightInd w:val="0"/>
              <w:spacing w:after="0"/>
              <w:jc w:val="right"/>
              <w:rPr>
                <w:rFonts w:ascii="Calibri" w:eastAsiaTheme="minorEastAsia" w:hAnsi="Calibri" w:cs="Calibri"/>
                <w:i/>
                <w:iCs/>
                <w:sz w:val="19"/>
                <w:lang w:eastAsia="en-AU"/>
              </w:rPr>
            </w:pPr>
            <w:r w:rsidRPr="00F741A9">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F741A9" w:rsidRDefault="00E25CC6" w:rsidP="00F741A9">
            <w:pPr>
              <w:autoSpaceDE w:val="0"/>
              <w:autoSpaceDN w:val="0"/>
              <w:adjustRightInd w:val="0"/>
              <w:spacing w:after="0"/>
              <w:jc w:val="right"/>
              <w:rPr>
                <w:rFonts w:ascii="Calibri" w:eastAsiaTheme="minorEastAsia" w:hAnsi="Calibri" w:cs="Calibri"/>
                <w:i/>
                <w:iCs/>
                <w:sz w:val="19"/>
                <w:lang w:eastAsia="en-AU"/>
              </w:rPr>
            </w:pPr>
            <w:r w:rsidRPr="00F741A9">
              <w:rPr>
                <w:rFonts w:ascii="Calibri" w:eastAsiaTheme="minorEastAsia" w:hAnsi="Calibri" w:cs="Calibri"/>
                <w:i/>
                <w:iCs/>
                <w:sz w:val="19"/>
                <w:lang w:eastAsia="en-AU"/>
              </w:rPr>
              <w:t>2016-17</w:t>
            </w:r>
          </w:p>
        </w:tc>
      </w:tr>
      <w:tr w:rsidR="00E25CC6" w:rsidRPr="00F741A9" w:rsidTr="00F741A9">
        <w:tc>
          <w:tcPr>
            <w:tcW w:w="5216" w:type="dxa"/>
            <w:tcBorders>
              <w:top w:val="nil"/>
              <w:left w:val="nil"/>
              <w:bottom w:val="single" w:sz="6" w:space="0" w:color="auto"/>
              <w:right w:val="nil"/>
            </w:tcBorders>
            <w:shd w:val="solid" w:color="000000" w:fill="auto"/>
          </w:tcPr>
          <w:p w:rsidR="00E25CC6" w:rsidRPr="00F741A9" w:rsidRDefault="00E25CC6" w:rsidP="00F741A9">
            <w:pPr>
              <w:autoSpaceDE w:val="0"/>
              <w:autoSpaceDN w:val="0"/>
              <w:adjustRightInd w:val="0"/>
              <w:spacing w:after="0"/>
              <w:rPr>
                <w:rFonts w:ascii="Calibri" w:eastAsiaTheme="minorEastAsia" w:hAnsi="Calibri" w:cs="Calibri"/>
                <w:sz w:val="19"/>
                <w:lang w:eastAsia="en-AU"/>
              </w:rPr>
            </w:pPr>
            <w:r w:rsidRPr="00F741A9">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F741A9" w:rsidRDefault="00E25CC6" w:rsidP="00F741A9">
            <w:pPr>
              <w:autoSpaceDE w:val="0"/>
              <w:autoSpaceDN w:val="0"/>
              <w:adjustRightInd w:val="0"/>
              <w:spacing w:after="0"/>
              <w:jc w:val="right"/>
              <w:rPr>
                <w:rFonts w:ascii="Calibri" w:eastAsiaTheme="minorEastAsia" w:hAnsi="Calibri" w:cs="Calibri"/>
                <w:i/>
                <w:iCs/>
                <w:sz w:val="19"/>
                <w:lang w:eastAsia="en-AU"/>
              </w:rPr>
            </w:pPr>
            <w:r w:rsidRPr="00F741A9">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F741A9" w:rsidRDefault="00E25CC6" w:rsidP="00F741A9">
            <w:pPr>
              <w:autoSpaceDE w:val="0"/>
              <w:autoSpaceDN w:val="0"/>
              <w:adjustRightInd w:val="0"/>
              <w:spacing w:after="0"/>
              <w:jc w:val="right"/>
              <w:rPr>
                <w:rFonts w:ascii="Calibri" w:eastAsiaTheme="minorEastAsia" w:hAnsi="Calibri" w:cs="Calibri"/>
                <w:i/>
                <w:iCs/>
                <w:sz w:val="19"/>
                <w:lang w:eastAsia="en-AU"/>
              </w:rPr>
            </w:pPr>
            <w:r w:rsidRPr="00F741A9">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F741A9" w:rsidRDefault="00E25CC6" w:rsidP="00F741A9">
            <w:pPr>
              <w:autoSpaceDE w:val="0"/>
              <w:autoSpaceDN w:val="0"/>
              <w:adjustRightInd w:val="0"/>
              <w:spacing w:after="0"/>
              <w:jc w:val="right"/>
              <w:rPr>
                <w:rFonts w:ascii="Calibri" w:eastAsiaTheme="minorEastAsia" w:hAnsi="Calibri" w:cs="Calibri"/>
                <w:i/>
                <w:iCs/>
                <w:sz w:val="19"/>
                <w:lang w:eastAsia="en-AU"/>
              </w:rPr>
            </w:pPr>
            <w:r w:rsidRPr="00F741A9">
              <w:rPr>
                <w:rFonts w:ascii="Calibri" w:eastAsiaTheme="minorEastAsia" w:hAnsi="Calibri" w:cs="Calibri"/>
                <w:i/>
                <w:iCs/>
                <w:sz w:val="19"/>
                <w:lang w:eastAsia="en-AU"/>
              </w:rPr>
              <w:t>budget</w:t>
            </w:r>
          </w:p>
        </w:tc>
      </w:tr>
      <w:tr w:rsidR="00E25CC6" w:rsidRPr="00F741A9" w:rsidTr="00F741A9">
        <w:tc>
          <w:tcPr>
            <w:tcW w:w="5216"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b/>
                <w:bCs/>
                <w:sz w:val="19"/>
                <w:lang w:eastAsia="en-AU"/>
              </w:rPr>
            </w:pPr>
            <w:r w:rsidRPr="00F741A9">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1 671.0</w:t>
            </w:r>
          </w:p>
        </w:tc>
        <w:tc>
          <w:tcPr>
            <w:tcW w:w="850"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1 608.4</w:t>
            </w:r>
          </w:p>
        </w:tc>
        <w:tc>
          <w:tcPr>
            <w:tcW w:w="850"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1 818.5</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996.7</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949.1</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1 101.4</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32.5</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24.4</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87.8</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641.8</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634.9</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629.3</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146.8</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131.0</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118.0</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b/>
                <w:bCs/>
                <w:sz w:val="19"/>
                <w:lang w:eastAsia="en-AU"/>
              </w:rPr>
            </w:pPr>
            <w:r w:rsidRPr="00F741A9">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65.2</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114.9</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85.2</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 xml:space="preserve"> 56.4</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 xml:space="preserve"> 79.0</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 xml:space="preserve"> 59.5</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0.1</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27.2</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18.8</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8.7</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8.7</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6.9</w:t>
            </w:r>
          </w:p>
        </w:tc>
      </w:tr>
      <w:tr w:rsidR="00E25CC6" w:rsidRPr="00F741A9" w:rsidTr="00F741A9">
        <w:tc>
          <w:tcPr>
            <w:tcW w:w="5216"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w:t>
            </w:r>
          </w:p>
        </w:tc>
        <w:tc>
          <w:tcPr>
            <w:tcW w:w="850"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73.0</w:t>
            </w:r>
          </w:p>
        </w:tc>
        <w:tc>
          <w:tcPr>
            <w:tcW w:w="850"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w:t>
            </w:r>
          </w:p>
        </w:tc>
      </w:tr>
      <w:tr w:rsidR="00E25CC6" w:rsidRPr="00F741A9" w:rsidTr="00F741A9">
        <w:tc>
          <w:tcPr>
            <w:tcW w:w="5216"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b/>
                <w:bCs/>
                <w:sz w:val="19"/>
                <w:lang w:eastAsia="en-AU"/>
              </w:rPr>
            </w:pPr>
            <w:r w:rsidRPr="00F741A9">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1 883.0</w:t>
            </w:r>
          </w:p>
        </w:tc>
        <w:tc>
          <w:tcPr>
            <w:tcW w:w="850"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1 927.2</w:t>
            </w:r>
          </w:p>
        </w:tc>
        <w:tc>
          <w:tcPr>
            <w:tcW w:w="850" w:type="dxa"/>
            <w:tcBorders>
              <w:top w:val="single" w:sz="6" w:space="0" w:color="auto"/>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2 021.7</w:t>
            </w:r>
          </w:p>
        </w:tc>
      </w:tr>
      <w:tr w:rsidR="00E25CC6" w:rsidRPr="00F741A9" w:rsidTr="00F741A9">
        <w:tc>
          <w:tcPr>
            <w:tcW w:w="5216" w:type="dxa"/>
            <w:tcBorders>
              <w:top w:val="nil"/>
              <w:left w:val="nil"/>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14.1</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48.7</w:t>
            </w:r>
          </w:p>
        </w:tc>
        <w:tc>
          <w:tcPr>
            <w:tcW w:w="850" w:type="dxa"/>
            <w:tcBorders>
              <w:top w:val="nil"/>
              <w:left w:val="nil"/>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62.3</w:t>
            </w:r>
          </w:p>
        </w:tc>
      </w:tr>
      <w:tr w:rsidR="00E25CC6" w:rsidRPr="00F741A9" w:rsidTr="00F741A9">
        <w:tc>
          <w:tcPr>
            <w:tcW w:w="5216"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sz w:val="19"/>
                <w:lang w:eastAsia="en-AU"/>
              </w:rPr>
            </w:pPr>
            <w:r w:rsidRPr="00F741A9">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1 230.8</w:t>
            </w:r>
          </w:p>
        </w:tc>
        <w:tc>
          <w:tcPr>
            <w:tcW w:w="850"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20"/>
                <w:lang w:eastAsia="en-AU"/>
              </w:rPr>
            </w:pPr>
            <w:r w:rsidRPr="00F741A9">
              <w:rPr>
                <w:rFonts w:ascii="Calibri" w:eastAsiaTheme="minorEastAsia" w:hAnsi="Calibri" w:cs="Calibri"/>
                <w:sz w:val="19"/>
                <w:lang w:eastAsia="en-AU"/>
              </w:rPr>
              <w:t xml:space="preserve"> 792.9</w:t>
            </w:r>
          </w:p>
        </w:tc>
        <w:tc>
          <w:tcPr>
            <w:tcW w:w="850" w:type="dxa"/>
            <w:tcBorders>
              <w:top w:val="nil"/>
              <w:left w:val="nil"/>
              <w:bottom w:val="single" w:sz="6"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sz w:val="19"/>
                <w:lang w:eastAsia="en-AU"/>
              </w:rPr>
            </w:pPr>
            <w:r w:rsidRPr="00F741A9">
              <w:rPr>
                <w:rFonts w:ascii="Calibri" w:eastAsiaTheme="minorEastAsia" w:hAnsi="Calibri" w:cs="Calibri"/>
                <w:sz w:val="19"/>
                <w:lang w:eastAsia="en-AU"/>
              </w:rPr>
              <w:t>1 361.8</w:t>
            </w:r>
          </w:p>
        </w:tc>
      </w:tr>
      <w:tr w:rsidR="00E25CC6" w:rsidRPr="00F741A9" w:rsidTr="00F741A9">
        <w:tc>
          <w:tcPr>
            <w:tcW w:w="5216" w:type="dxa"/>
            <w:tcBorders>
              <w:top w:val="single" w:sz="6" w:space="0" w:color="auto"/>
              <w:left w:val="nil"/>
              <w:bottom w:val="single" w:sz="12" w:space="0" w:color="auto"/>
              <w:right w:val="nil"/>
            </w:tcBorders>
            <w:shd w:val="solid" w:color="FFFFFF" w:fill="FFFFFF"/>
          </w:tcPr>
          <w:p w:rsidR="00E25CC6" w:rsidRPr="00F741A9" w:rsidRDefault="00E25CC6" w:rsidP="00F741A9">
            <w:pPr>
              <w:autoSpaceDE w:val="0"/>
              <w:autoSpaceDN w:val="0"/>
              <w:adjustRightInd w:val="0"/>
              <w:spacing w:after="0"/>
              <w:ind w:left="227" w:hanging="227"/>
              <w:rPr>
                <w:rFonts w:ascii="Calibri" w:eastAsiaTheme="minorEastAsia" w:hAnsi="Calibri" w:cs="Calibri"/>
                <w:b/>
                <w:bCs/>
                <w:sz w:val="19"/>
                <w:lang w:eastAsia="en-AU"/>
              </w:rPr>
            </w:pPr>
            <w:r w:rsidRPr="00F741A9">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3 127.9</w:t>
            </w:r>
          </w:p>
        </w:tc>
        <w:tc>
          <w:tcPr>
            <w:tcW w:w="850" w:type="dxa"/>
            <w:tcBorders>
              <w:top w:val="single" w:sz="6" w:space="0" w:color="auto"/>
              <w:left w:val="nil"/>
              <w:bottom w:val="single" w:sz="12"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2 768.9</w:t>
            </w:r>
          </w:p>
        </w:tc>
        <w:tc>
          <w:tcPr>
            <w:tcW w:w="850" w:type="dxa"/>
            <w:tcBorders>
              <w:top w:val="single" w:sz="6" w:space="0" w:color="auto"/>
              <w:left w:val="nil"/>
              <w:bottom w:val="single" w:sz="12" w:space="0" w:color="auto"/>
              <w:right w:val="nil"/>
            </w:tcBorders>
            <w:shd w:val="solid" w:color="FFFFFF" w:fill="FFFFFF"/>
          </w:tcPr>
          <w:p w:rsidR="00E25CC6" w:rsidRPr="00F741A9" w:rsidRDefault="00E25CC6" w:rsidP="00F741A9">
            <w:pPr>
              <w:autoSpaceDE w:val="0"/>
              <w:autoSpaceDN w:val="0"/>
              <w:adjustRightInd w:val="0"/>
              <w:spacing w:after="0"/>
              <w:jc w:val="right"/>
              <w:rPr>
                <w:rFonts w:ascii="Calibri" w:eastAsiaTheme="minorEastAsia" w:hAnsi="Calibri" w:cs="Calibri"/>
                <w:b/>
                <w:bCs/>
                <w:sz w:val="19"/>
                <w:lang w:eastAsia="en-AU"/>
              </w:rPr>
            </w:pPr>
            <w:r w:rsidRPr="00F741A9">
              <w:rPr>
                <w:rFonts w:ascii="Calibri" w:eastAsiaTheme="minorEastAsia" w:hAnsi="Calibri" w:cs="Calibri"/>
                <w:b/>
                <w:bCs/>
                <w:sz w:val="19"/>
                <w:lang w:eastAsia="en-AU"/>
              </w:rPr>
              <w:t>3 445.7</w:t>
            </w:r>
          </w:p>
        </w:tc>
      </w:tr>
    </w:tbl>
    <w:p w:rsidR="00E25CC6" w:rsidRPr="0047583A" w:rsidRDefault="00E25CC6" w:rsidP="00270DD4">
      <w:pPr>
        <w:pStyle w:val="Source"/>
        <w:rPr>
          <w:rFonts w:eastAsiaTheme="minorHAnsi"/>
          <w:i w:val="0"/>
        </w:rPr>
      </w:pPr>
      <w:r>
        <w:rPr>
          <w:rFonts w:eastAsiaTheme="minorHAnsi"/>
        </w:rPr>
        <w:t xml:space="preserve">Source: Department of Environment, Land, Water and Planning </w:t>
      </w:r>
      <w:r>
        <w:rPr>
          <w:rFonts w:eastAsiaTheme="minorHAnsi"/>
        </w:rPr>
        <w:fldChar w:fldCharType="begin"/>
      </w:r>
      <w:r>
        <w:instrText xml:space="preserve"> XE "</w:instrText>
      </w:r>
      <w:r w:rsidRPr="00BA196C">
        <w:instrText>Department of Environment, Land, Water and Planning:Parliamentary authority for resources</w:instrText>
      </w:r>
      <w:r>
        <w:instrText xml:space="preserve">" </w:instrText>
      </w:r>
      <w:r>
        <w:rPr>
          <w:rFonts w:eastAsiaTheme="minorHAnsi"/>
        </w:rPr>
        <w:fldChar w:fldCharType="end"/>
      </w:r>
    </w:p>
    <w:p w:rsidR="00E25CC6" w:rsidRDefault="00E25CC6">
      <w:pPr>
        <w:spacing w:after="0"/>
        <w:rPr>
          <w:rFonts w:eastAsiaTheme="minorHAnsi"/>
        </w:rPr>
      </w:pPr>
      <w:r>
        <w:rPr>
          <w:rFonts w:eastAsiaTheme="minorHAnsi"/>
        </w:rPr>
        <w:br w:type="page"/>
      </w:r>
    </w:p>
    <w:p w:rsidR="00E25CC6" w:rsidRPr="00D777BC" w:rsidRDefault="00E25CC6" w:rsidP="00A04677">
      <w:pPr>
        <w:pStyle w:val="OGHeading1"/>
        <w:rPr>
          <w:rFonts w:eastAsiaTheme="minorHAnsi"/>
        </w:rPr>
      </w:pPr>
      <w:r w:rsidRPr="00D777BC">
        <w:rPr>
          <w:rFonts w:eastAsiaTheme="minorHAnsi"/>
        </w:rPr>
        <w:t>A quality built environment</w:t>
      </w:r>
    </w:p>
    <w:p w:rsidR="00E25CC6" w:rsidRPr="00D777BC" w:rsidRDefault="00E25CC6" w:rsidP="00A04677">
      <w:pPr>
        <w:pStyle w:val="OGText"/>
        <w:rPr>
          <w:rFonts w:eastAsiaTheme="minorHAnsi"/>
        </w:rPr>
      </w:pPr>
      <w:bookmarkStart w:id="67" w:name="DELWP_QualBltEnviro"/>
      <w:r w:rsidRPr="00D777BC">
        <w:rPr>
          <w:rFonts w:eastAsiaTheme="minorHAnsi"/>
        </w:rPr>
        <w:t>This objective plans for the future growth and transformation of cities and regions</w:t>
      </w:r>
      <w:r>
        <w:rPr>
          <w:rFonts w:eastAsiaTheme="minorHAnsi"/>
        </w:rPr>
        <w:t>,</w:t>
      </w:r>
      <w:r w:rsidRPr="00D777BC">
        <w:rPr>
          <w:rFonts w:eastAsiaTheme="minorHAnsi"/>
        </w:rPr>
        <w:t xml:space="preserve"> and provides leadership and advice on heritage protection and the built environment. It delivers streamlined, fair and transparent planning, building and heritage systems. </w:t>
      </w:r>
    </w:p>
    <w:p w:rsidR="00E25CC6" w:rsidRPr="00FB77DF" w:rsidRDefault="00E25CC6" w:rsidP="00A04677">
      <w:pPr>
        <w:pStyle w:val="OGText"/>
        <w:rPr>
          <w:rFonts w:eastAsiaTheme="minorHAnsi"/>
        </w:rPr>
      </w:pPr>
      <w:r w:rsidRPr="00D777BC">
        <w:rPr>
          <w:rFonts w:eastAsiaTheme="minorHAnsi"/>
        </w:rPr>
        <w:t>The Department recognises the link between the built and natural environment in the quality of our lives, and works to accommodate population growth while maintaining world</w:t>
      </w:r>
      <w:r>
        <w:rPr>
          <w:rFonts w:eastAsiaTheme="minorHAnsi"/>
        </w:rPr>
        <w:noBreakHyphen/>
      </w:r>
      <w:r w:rsidRPr="00D777BC">
        <w:rPr>
          <w:rFonts w:eastAsiaTheme="minorHAnsi"/>
        </w:rPr>
        <w:t>class liveability and protecting our heritage for future generations.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8"/>
        <w:gridCol w:w="907"/>
        <w:gridCol w:w="992"/>
        <w:gridCol w:w="907"/>
        <w:gridCol w:w="907"/>
      </w:tblGrid>
      <w:tr w:rsidR="00E25CC6" w:rsidRPr="00F10DD9" w:rsidTr="00F10DD9">
        <w:trPr>
          <w:cantSplit/>
          <w:tblHeader/>
        </w:trPr>
        <w:tc>
          <w:tcPr>
            <w:tcW w:w="3146" w:type="dxa"/>
            <w:tcBorders>
              <w:top w:val="nil"/>
              <w:left w:val="nil"/>
              <w:bottom w:val="single" w:sz="4" w:space="0" w:color="auto"/>
              <w:right w:val="nil"/>
            </w:tcBorders>
            <w:shd w:val="solid" w:color="000000" w:fill="auto"/>
            <w:vAlign w:val="bottom"/>
          </w:tcPr>
          <w:p w:rsidR="00E25CC6" w:rsidRPr="00F10DD9" w:rsidRDefault="00E25CC6" w:rsidP="00F10DD9">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b/>
                <w:bCs/>
                <w:color w:val="FFFFFF"/>
                <w:sz w:val="19"/>
                <w:szCs w:val="22"/>
                <w:lang w:eastAsia="en-AU"/>
              </w:rPr>
              <w:t>Major outputs/deliverables</w:t>
            </w:r>
          </w:p>
          <w:p w:rsidR="00E25CC6" w:rsidRPr="00F10DD9" w:rsidRDefault="00E25CC6" w:rsidP="00F10DD9">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Performance measures</w:t>
            </w:r>
          </w:p>
        </w:tc>
        <w:tc>
          <w:tcPr>
            <w:tcW w:w="908" w:type="dxa"/>
            <w:tcBorders>
              <w:top w:val="nil"/>
              <w:left w:val="nil"/>
              <w:bottom w:val="single" w:sz="4" w:space="0" w:color="auto"/>
              <w:right w:val="nil"/>
            </w:tcBorders>
            <w:shd w:val="solid" w:color="000000" w:fill="auto"/>
            <w:vAlign w:val="bottom"/>
          </w:tcPr>
          <w:p w:rsidR="00E25CC6" w:rsidRPr="00F10DD9" w:rsidRDefault="00E25CC6" w:rsidP="00F10DD9">
            <w:pPr>
              <w:autoSpaceDE w:val="0"/>
              <w:autoSpaceDN w:val="0"/>
              <w:adjustRightInd w:val="0"/>
              <w:spacing w:after="0"/>
              <w:jc w:val="center"/>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F10DD9" w:rsidRDefault="00E25CC6" w:rsidP="00F10DD9">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F10DD9" w:rsidRDefault="00E25CC6" w:rsidP="00F10DD9">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F10DD9" w:rsidRDefault="00E25CC6" w:rsidP="00F10DD9">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target</w:t>
            </w:r>
          </w:p>
        </w:tc>
        <w:tc>
          <w:tcPr>
            <w:tcW w:w="907" w:type="dxa"/>
            <w:tcBorders>
              <w:top w:val="nil"/>
              <w:left w:val="nil"/>
              <w:bottom w:val="single" w:sz="4" w:space="0" w:color="auto"/>
              <w:right w:val="nil"/>
            </w:tcBorders>
            <w:shd w:val="solid" w:color="000000" w:fill="auto"/>
            <w:vAlign w:val="bottom"/>
          </w:tcPr>
          <w:p w:rsidR="00E25CC6" w:rsidRPr="00F10DD9" w:rsidRDefault="00E25CC6" w:rsidP="00F10DD9">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15 actual</w:t>
            </w:r>
          </w:p>
        </w:tc>
      </w:tr>
      <w:tr w:rsidR="00E25CC6" w:rsidRPr="00F10DD9" w:rsidTr="00F10DD9">
        <w:trPr>
          <w:cantSplit/>
        </w:trPr>
        <w:tc>
          <w:tcPr>
            <w:tcW w:w="7767" w:type="dxa"/>
            <w:gridSpan w:val="6"/>
            <w:tcBorders>
              <w:top w:val="single" w:sz="4"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Planning, Building and Heritage</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Text"/>
              <w:rPr>
                <w:rFonts w:eastAsiaTheme="minorEastAsia"/>
                <w:lang w:eastAsia="en-AU"/>
              </w:rPr>
            </w:pPr>
            <w:r w:rsidRPr="00F10DD9">
              <w:rPr>
                <w:rFonts w:eastAsiaTheme="minorEastAsia"/>
                <w:lang w:eastAsia="en-AU"/>
              </w:rPr>
              <w:t>This output delivers programs to address the future growth and transformation of cities and regions through strategic and integrated land use planning; urban development, design and renewal; land supply; heritage conservation and management and regulatory reform. Through this output, the Department administers the statutory responsibilities of the Minister for Planning and provides for fair and transparent planning, building and heritage systems.</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Local governments undertaking work to support strategic planning for coastal settlements and areas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Number of local governments undertaking work to support strategic planning for coastal settlements and areas</w:t>
            </w:r>
            <w:r>
              <w:rPr>
                <w:rFonts w:eastAsiaTheme="minorEastAsia"/>
              </w:rPr>
              <w:t>’</w:t>
            </w:r>
            <w:r w:rsidRPr="00F10DD9">
              <w:rPr>
                <w:rFonts w:eastAsiaTheme="minorEastAsia"/>
              </w:rPr>
              <w:t>. The new measure reports on the same activity as the previous measure, however has been amended for increased clarity.</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Places or objects assessed for the Victorian Heritage Register</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45</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44</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Research published: demographic and spatial trends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 xml:space="preserve">Number of conservation projects funded for </w:t>
            </w:r>
            <w:r>
              <w:rPr>
                <w:rFonts w:eastAsiaTheme="minorEastAsia"/>
                <w:lang w:eastAsia="en-AU"/>
              </w:rPr>
              <w:t>‘</w:t>
            </w:r>
            <w:r w:rsidRPr="00F10DD9">
              <w:rPr>
                <w:rFonts w:eastAsiaTheme="minorEastAsia"/>
                <w:lang w:eastAsia="en-AU"/>
              </w:rPr>
              <w:t>at risk</w:t>
            </w:r>
            <w:r>
              <w:rPr>
                <w:rFonts w:eastAsiaTheme="minorEastAsia"/>
                <w:lang w:eastAsia="en-AU"/>
              </w:rPr>
              <w:t>’</w:t>
            </w:r>
            <w:r w:rsidRPr="00F10DD9">
              <w:rPr>
                <w:rFonts w:eastAsiaTheme="minorEastAsia"/>
                <w:lang w:eastAsia="en-AU"/>
              </w:rPr>
              <w:t xml:space="preserve"> State significant heritage places and objects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24</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New performance measure for 2016</w:t>
            </w:r>
            <w:r>
              <w:rPr>
                <w:rFonts w:eastAsiaTheme="minorEastAsia"/>
              </w:rPr>
              <w:noBreakHyphen/>
            </w:r>
            <w:r w:rsidRPr="00F10DD9">
              <w:rPr>
                <w:rFonts w:eastAsiaTheme="minorEastAsia"/>
              </w:rPr>
              <w:t xml:space="preserve">17 to reflect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Living Heritage Grants program.</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Community Infrastructure Fund projects completed that meet agreed project objectives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16 performance me</w:t>
            </w:r>
            <w:r>
              <w:rPr>
                <w:rFonts w:eastAsiaTheme="minorEastAsia"/>
              </w:rPr>
              <w:t>asure ‘Community Works Program/</w:t>
            </w:r>
            <w:r w:rsidRPr="00F10DD9">
              <w:rPr>
                <w:rFonts w:eastAsiaTheme="minorEastAsia"/>
              </w:rPr>
              <w:t>Community Support Grant projects completed meet agreed project objectives</w:t>
            </w:r>
            <w:r>
              <w:rPr>
                <w:rFonts w:eastAsiaTheme="minorEastAsia"/>
              </w:rPr>
              <w:t>’</w:t>
            </w:r>
            <w:r w:rsidRPr="00F10DD9">
              <w:rPr>
                <w:rFonts w:eastAsiaTheme="minorEastAsia"/>
              </w:rPr>
              <w:t>. The new measure reports on the same activity as the previous measure, however has been amended for increased clarity.</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Environment effects statements, referrals and assessments are completed effectively and within the timeframes necessary to meet targets in the Ministerial Guidelines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Proportion of planning applications that proceed through VicSmart</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New performance measure for 2016</w:t>
            </w:r>
            <w:r>
              <w:rPr>
                <w:rFonts w:eastAsiaTheme="minorEastAsia"/>
              </w:rPr>
              <w:noBreakHyphen/>
            </w:r>
            <w:r w:rsidRPr="00F10DD9">
              <w:rPr>
                <w:rFonts w:eastAsiaTheme="minorEastAsia"/>
              </w:rPr>
              <w:t xml:space="preserve">17 to reflect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Smart Planning program.</w:t>
            </w:r>
          </w:p>
        </w:tc>
      </w:tr>
      <w:tr w:rsidR="00E25CC6" w:rsidRPr="00F10DD9" w:rsidTr="00F10DD9">
        <w:trPr>
          <w:cantSplit/>
        </w:trPr>
        <w:tc>
          <w:tcPr>
            <w:tcW w:w="3146" w:type="dxa"/>
            <w:tcBorders>
              <w:top w:val="nil"/>
              <w:left w:val="nil"/>
              <w:bottom w:val="nil"/>
              <w:right w:val="nil"/>
            </w:tcBorders>
          </w:tcPr>
          <w:p w:rsidR="00E25CC6" w:rsidRPr="00F10DD9" w:rsidRDefault="00E25CC6" w:rsidP="00096070">
            <w:pPr>
              <w:pStyle w:val="OGTabText"/>
              <w:rPr>
                <w:rFonts w:eastAsiaTheme="minorEastAsia"/>
                <w:lang w:eastAsia="en-AU"/>
              </w:rPr>
            </w:pPr>
            <w:r w:rsidRPr="00F10DD9">
              <w:rPr>
                <w:rFonts w:eastAsiaTheme="minorEastAsia"/>
                <w:lang w:eastAsia="en-AU"/>
              </w:rPr>
              <w:t xml:space="preserve">Projects delivered through </w:t>
            </w:r>
            <w:r>
              <w:rPr>
                <w:rFonts w:eastAsiaTheme="minorEastAsia"/>
                <w:lang w:eastAsia="en-AU"/>
              </w:rPr>
              <w:t>the Planning support for councils initiative</w:t>
            </w:r>
            <w:r w:rsidRPr="00F10DD9">
              <w:rPr>
                <w:rFonts w:eastAsiaTheme="minorEastAsia"/>
                <w:lang w:eastAsia="en-AU"/>
              </w:rPr>
              <w:t xml:space="preserve"> that meet agreed project objectives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5637E0">
            <w:pPr>
              <w:pStyle w:val="OGNotes"/>
              <w:rPr>
                <w:rFonts w:eastAsiaTheme="minorEastAsia" w:cs="Calibri"/>
                <w:color w:val="000000"/>
                <w:szCs w:val="22"/>
              </w:rPr>
            </w:pPr>
            <w:r w:rsidRPr="00F10DD9">
              <w:rPr>
                <w:rFonts w:eastAsiaTheme="minorEastAsia"/>
              </w:rPr>
              <w:t>New performance measure for 2016</w:t>
            </w:r>
            <w:r>
              <w:rPr>
                <w:rFonts w:eastAsiaTheme="minorEastAsia"/>
              </w:rPr>
              <w:noBreakHyphen/>
            </w:r>
            <w:r w:rsidRPr="00F10DD9">
              <w:rPr>
                <w:rFonts w:eastAsiaTheme="minorEastAsia"/>
              </w:rPr>
              <w:t xml:space="preserve">17 to reflect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w:t>
            </w:r>
            <w:r>
              <w:rPr>
                <w:rFonts w:eastAsiaTheme="minorEastAsia"/>
              </w:rPr>
              <w:t>‘Planning support for councils’</w:t>
            </w:r>
            <w:r w:rsidRPr="00F10DD9">
              <w:rPr>
                <w:rFonts w:eastAsiaTheme="minorEastAsia"/>
              </w:rPr>
              <w:t xml:space="preserve"> initiative.</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Percentage of amendments that are correct upon submission for approval</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New performance measure for 2016</w:t>
            </w:r>
            <w:r>
              <w:rPr>
                <w:rFonts w:eastAsiaTheme="minorEastAsia"/>
              </w:rPr>
              <w:noBreakHyphen/>
            </w:r>
            <w:r w:rsidRPr="00F10DD9">
              <w:rPr>
                <w:rFonts w:eastAsiaTheme="minorEastAsia"/>
              </w:rPr>
              <w:t xml:space="preserve">17 to reflect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Smart Planning program.</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Average number of days to issue an archaeological consent</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days</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Average number of days to issue heritage certificates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days</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Community Infrastructure Fund payments made within 21 days of completion of agreed milestones in funding agreement</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Community Works/Community Support Grant payments made within 21 days of completion of agreed milestones in funding agreement</w:t>
            </w:r>
            <w:r>
              <w:rPr>
                <w:rFonts w:eastAsiaTheme="minorEastAsia"/>
              </w:rPr>
              <w:t>’</w:t>
            </w:r>
            <w:r w:rsidRPr="00F10DD9">
              <w:rPr>
                <w:rFonts w:eastAsiaTheme="minorEastAsia"/>
              </w:rPr>
              <w:t xml:space="preserve">. The new measure reports on the same activity as the previous measure, however has been amended for increased clarity.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Heritage permits issued within initial 60 day statutory timeframes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a continuing focus on timeliness and the scale and complexity of statements, referrals and assessments submitted.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Median number of days taken by the department to assess a planning scheme amendment</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days</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25</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an increased focus on addressing a backlog of older, more complex and resource intensive amendments, in addition to new amendments received.</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Report annually on analysis of supply, consumption and adequacy of residential and industrial land</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date</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2016</w:t>
            </w:r>
          </w:p>
        </w:tc>
        <w:tc>
          <w:tcPr>
            <w:tcW w:w="992" w:type="dxa"/>
            <w:tcBorders>
              <w:top w:val="single" w:sz="6" w:space="0" w:color="auto"/>
              <w:left w:val="nil"/>
              <w:bottom w:val="single" w:sz="6" w:space="0" w:color="auto"/>
              <w:right w:val="nil"/>
            </w:tcBorders>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2015</w:t>
            </w:r>
          </w:p>
        </w:tc>
        <w:tc>
          <w:tcPr>
            <w:tcW w:w="907" w:type="dxa"/>
            <w:tcBorders>
              <w:top w:val="single" w:sz="6" w:space="0" w:color="auto"/>
              <w:left w:val="nil"/>
              <w:bottom w:val="single" w:sz="6" w:space="0" w:color="auto"/>
              <w:right w:val="nil"/>
            </w:tcBorders>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2015</w:t>
            </w:r>
          </w:p>
        </w:tc>
        <w:tc>
          <w:tcPr>
            <w:tcW w:w="907" w:type="dxa"/>
            <w:tcBorders>
              <w:top w:val="single" w:sz="6" w:space="0" w:color="auto"/>
              <w:left w:val="nil"/>
              <w:bottom w:val="single" w:sz="6" w:space="0" w:color="auto"/>
              <w:right w:val="nil"/>
            </w:tcBorders>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State population projections reviewed and updated to inform State Budget delivery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date</w:t>
            </w:r>
          </w:p>
        </w:tc>
        <w:tc>
          <w:tcPr>
            <w:tcW w:w="907" w:type="dxa"/>
            <w:tcBorders>
              <w:top w:val="single" w:sz="6" w:space="0" w:color="auto"/>
              <w:left w:val="nil"/>
              <w:bottom w:val="nil"/>
              <w:right w:val="nil"/>
            </w:tcBorders>
            <w:shd w:val="clear" w:color="auto" w:fill="DCDCDC"/>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Feb 2017</w:t>
            </w:r>
          </w:p>
        </w:tc>
        <w:tc>
          <w:tcPr>
            <w:tcW w:w="992" w:type="dxa"/>
            <w:tcBorders>
              <w:top w:val="nil"/>
              <w:left w:val="nil"/>
              <w:bottom w:val="nil"/>
              <w:right w:val="nil"/>
            </w:tcBorders>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Feb 2016</w:t>
            </w:r>
          </w:p>
        </w:tc>
        <w:tc>
          <w:tcPr>
            <w:tcW w:w="907" w:type="dxa"/>
            <w:tcBorders>
              <w:top w:val="nil"/>
              <w:left w:val="nil"/>
              <w:bottom w:val="nil"/>
              <w:right w:val="nil"/>
            </w:tcBorders>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Feb 2016</w:t>
            </w:r>
          </w:p>
        </w:tc>
        <w:tc>
          <w:tcPr>
            <w:tcW w:w="907" w:type="dxa"/>
            <w:tcBorders>
              <w:top w:val="nil"/>
              <w:left w:val="nil"/>
              <w:bottom w:val="nil"/>
              <w:right w:val="nil"/>
            </w:tcBorders>
          </w:tcPr>
          <w:p w:rsidR="00E25CC6" w:rsidRPr="00F10DD9" w:rsidRDefault="00E25CC6" w:rsidP="005F73E8">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Feb 2015</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State population projections reviewed and updated</w:t>
            </w:r>
            <w:r>
              <w:rPr>
                <w:rFonts w:eastAsiaTheme="minorEastAsia"/>
              </w:rPr>
              <w:t>’</w:t>
            </w:r>
            <w:r w:rsidRPr="00F10DD9">
              <w:rPr>
                <w:rFonts w:eastAsiaTheme="minorEastAsia"/>
              </w:rPr>
              <w:t xml:space="preserve">. The new measure reports on the same activity as the previous measure, however has been amended for increased clarity.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Victoria in Future data prepared to support infrastructure and service delivery planning</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date</w:t>
            </w:r>
          </w:p>
        </w:tc>
        <w:tc>
          <w:tcPr>
            <w:tcW w:w="907" w:type="dxa"/>
            <w:tcBorders>
              <w:top w:val="nil"/>
              <w:left w:val="nil"/>
              <w:bottom w:val="nil"/>
              <w:right w:val="nil"/>
            </w:tcBorders>
            <w:shd w:val="clear" w:color="auto" w:fill="DCDCDC"/>
          </w:tcPr>
          <w:p w:rsidR="00E25CC6" w:rsidRPr="00F10DD9" w:rsidRDefault="00E25CC6" w:rsidP="00CE5ECF">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Jun 2017</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New performance measure for 2016</w:t>
            </w:r>
            <w:r>
              <w:rPr>
                <w:rFonts w:eastAsiaTheme="minorEastAsia"/>
              </w:rPr>
              <w:noBreakHyphen/>
            </w:r>
            <w:r w:rsidRPr="00F10DD9">
              <w:rPr>
                <w:rFonts w:eastAsiaTheme="minorEastAsia"/>
              </w:rPr>
              <w:t xml:space="preserve">17 to measure the timeliness of the preparation of annual population and household projection data.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Pr>
                <w:rFonts w:eastAsiaTheme="minorEastAsia"/>
                <w:lang w:eastAsia="en-AU"/>
              </w:rPr>
              <w:t>Planning permit applications for new wind farms (excluding call-ins) prepared for determination within 45 days after completion of public notice and receipt of council response to public notice</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w:t>
            </w:r>
            <w:r w:rsidRPr="009560BF">
              <w:rPr>
                <w:rFonts w:ascii="Calibri" w:eastAsiaTheme="minorEastAsia" w:hAnsi="Calibri" w:cs="Calibri"/>
                <w:color w:val="000000"/>
                <w:sz w:val="19"/>
                <w:szCs w:val="22"/>
                <w:lang w:eastAsia="en-AU"/>
              </w:rPr>
              <w:t>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New performance measure for 2016</w:t>
            </w:r>
            <w:r>
              <w:rPr>
                <w:rFonts w:eastAsiaTheme="minorEastAsia"/>
              </w:rPr>
              <w:noBreakHyphen/>
            </w:r>
            <w:r w:rsidRPr="00F10DD9">
              <w:rPr>
                <w:rFonts w:eastAsiaTheme="minorEastAsia"/>
              </w:rPr>
              <w:t xml:space="preserve">17 to reflect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Smart Planning program.</w:t>
            </w:r>
          </w:p>
        </w:tc>
      </w:tr>
      <w:tr w:rsidR="00E25CC6" w:rsidRPr="00F10DD9" w:rsidTr="00FB77DF">
        <w:trPr>
          <w:cantSplit/>
        </w:trPr>
        <w:tc>
          <w:tcPr>
            <w:tcW w:w="3146" w:type="dxa"/>
            <w:tcBorders>
              <w:top w:val="nil"/>
              <w:left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4513D2">
        <w:trPr>
          <w:cantSplit/>
        </w:trPr>
        <w:tc>
          <w:tcPr>
            <w:tcW w:w="3146" w:type="dxa"/>
            <w:tcBorders>
              <w:top w:val="nil"/>
              <w:left w:val="nil"/>
              <w:bottom w:val="nil"/>
              <w:right w:val="nil"/>
            </w:tcBorders>
          </w:tcPr>
          <w:p w:rsidR="00E25CC6" w:rsidRPr="00BD51A4" w:rsidRDefault="00E25CC6" w:rsidP="00F10DD9">
            <w:pPr>
              <w:pStyle w:val="OGTabText"/>
              <w:rPr>
                <w:rFonts w:eastAsiaTheme="minorEastAsia"/>
                <w:lang w:eastAsia="en-AU"/>
              </w:rPr>
            </w:pPr>
            <w:r w:rsidRPr="00BD51A4">
              <w:rPr>
                <w:rFonts w:eastAsiaTheme="minorEastAsia"/>
                <w:lang w:eastAsia="en-AU"/>
              </w:rPr>
              <w:t>Total output cost</w:t>
            </w:r>
          </w:p>
        </w:tc>
        <w:tc>
          <w:tcPr>
            <w:tcW w:w="908" w:type="dxa"/>
            <w:tcBorders>
              <w:top w:val="nil"/>
              <w:left w:val="nil"/>
              <w:bottom w:val="nil"/>
              <w:right w:val="nil"/>
            </w:tcBorders>
          </w:tcPr>
          <w:p w:rsidR="00E25CC6" w:rsidRPr="00BD51A4" w:rsidRDefault="00E25CC6" w:rsidP="00F10DD9">
            <w:pPr>
              <w:autoSpaceDE w:val="0"/>
              <w:autoSpaceDN w:val="0"/>
              <w:adjustRightInd w:val="0"/>
              <w:spacing w:after="0"/>
              <w:jc w:val="center"/>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Pr>
                <w:rFonts w:ascii="Calibri" w:eastAsiaTheme="minorEastAsia" w:hAnsi="Calibri" w:cs="Calibri"/>
                <w:sz w:val="19"/>
                <w:szCs w:val="22"/>
                <w:lang w:eastAsia="en-AU"/>
              </w:rPr>
              <w:t>156</w:t>
            </w:r>
            <w:r w:rsidRPr="00BD51A4">
              <w:rPr>
                <w:rFonts w:ascii="Calibri" w:eastAsiaTheme="minorEastAsia" w:hAnsi="Calibri" w:cs="Calibri"/>
                <w:sz w:val="19"/>
                <w:szCs w:val="22"/>
                <w:lang w:eastAsia="en-AU"/>
              </w:rPr>
              <w:t>.1</w:t>
            </w:r>
          </w:p>
        </w:tc>
        <w:tc>
          <w:tcPr>
            <w:tcW w:w="992" w:type="dxa"/>
            <w:tcBorders>
              <w:top w:val="nil"/>
              <w:left w:val="nil"/>
              <w:bottom w:val="nil"/>
              <w:right w:val="nil"/>
            </w:tcBorders>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102.7</w:t>
            </w:r>
          </w:p>
        </w:tc>
        <w:tc>
          <w:tcPr>
            <w:tcW w:w="907" w:type="dxa"/>
            <w:tcBorders>
              <w:top w:val="nil"/>
              <w:left w:val="nil"/>
              <w:bottom w:val="nil"/>
              <w:right w:val="nil"/>
            </w:tcBorders>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120.0</w:t>
            </w:r>
          </w:p>
        </w:tc>
        <w:tc>
          <w:tcPr>
            <w:tcW w:w="907" w:type="dxa"/>
            <w:tcBorders>
              <w:top w:val="nil"/>
              <w:left w:val="nil"/>
              <w:bottom w:val="nil"/>
              <w:right w:val="nil"/>
            </w:tcBorders>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83.5</w:t>
            </w:r>
          </w:p>
        </w:tc>
      </w:tr>
      <w:tr w:rsidR="00E25CC6" w:rsidRPr="00F10DD9" w:rsidTr="00B365A1">
        <w:trPr>
          <w:cantSplit/>
        </w:trPr>
        <w:tc>
          <w:tcPr>
            <w:tcW w:w="7767" w:type="dxa"/>
            <w:gridSpan w:val="6"/>
            <w:tcBorders>
              <w:top w:val="nil"/>
              <w:left w:val="nil"/>
              <w:bottom w:val="single" w:sz="12" w:space="0" w:color="auto"/>
              <w:right w:val="nil"/>
            </w:tcBorders>
          </w:tcPr>
          <w:p w:rsidR="00E25CC6" w:rsidRPr="00BD51A4" w:rsidRDefault="00E25CC6" w:rsidP="003B6015">
            <w:pPr>
              <w:pStyle w:val="OGNotes"/>
              <w:rPr>
                <w:rFonts w:eastAsiaTheme="minorEastAsia"/>
              </w:rPr>
            </w:pPr>
            <w:r w:rsidRPr="00BD51A4">
              <w:rPr>
                <w:rFonts w:eastAsiaTheme="minorEastAsia"/>
              </w:rPr>
              <w:t>The 2015-16 expected outcome is lower than the 2015</w:t>
            </w:r>
            <w:r w:rsidRPr="00BD51A4">
              <w:rPr>
                <w:rFonts w:eastAsiaTheme="minorEastAsia" w:cs="Calibri"/>
                <w:i w:val="0"/>
                <w:szCs w:val="22"/>
              </w:rPr>
              <w:noBreakHyphen/>
            </w:r>
            <w:r w:rsidRPr="00BD51A4">
              <w:rPr>
                <w:rFonts w:eastAsiaTheme="minorEastAsia"/>
              </w:rPr>
              <w:t xml:space="preserve">16 target reflecting the revised expenditure profile of the Growth Areas Public Transport Fund and the Building New Communities Fund. </w:t>
            </w:r>
          </w:p>
          <w:p w:rsidR="00E25CC6" w:rsidRPr="00BD51A4" w:rsidRDefault="00E25CC6" w:rsidP="00B365A1">
            <w:pPr>
              <w:pStyle w:val="OGNotes"/>
              <w:rPr>
                <w:rFonts w:eastAsiaTheme="minorEastAsia" w:cs="Calibri"/>
                <w:szCs w:val="22"/>
              </w:rPr>
            </w:pPr>
            <w:r w:rsidRPr="00BD51A4">
              <w:rPr>
                <w:rFonts w:eastAsiaTheme="minorEastAsia" w:cs="Calibri"/>
                <w:szCs w:val="22"/>
              </w:rPr>
              <w:t>The higher 2016</w:t>
            </w:r>
            <w:r w:rsidRPr="00BD51A4">
              <w:rPr>
                <w:rFonts w:eastAsiaTheme="minorEastAsia" w:cs="Calibri"/>
                <w:i w:val="0"/>
                <w:szCs w:val="22"/>
              </w:rPr>
              <w:noBreakHyphen/>
            </w:r>
            <w:r w:rsidRPr="00BD51A4">
              <w:rPr>
                <w:rFonts w:eastAsiaTheme="minorEastAsia" w:cs="Calibri"/>
                <w:szCs w:val="22"/>
              </w:rPr>
              <w:t xml:space="preserve">17 target reflects initiatives funded as part of the </w:t>
            </w:r>
            <w:r w:rsidRPr="00BD51A4">
              <w:rPr>
                <w:rFonts w:eastAsiaTheme="minorEastAsia" w:cs="Calibri"/>
                <w:i w:val="0"/>
                <w:szCs w:val="22"/>
              </w:rPr>
              <w:t>2016</w:t>
            </w:r>
            <w:r w:rsidRPr="00BD51A4">
              <w:rPr>
                <w:rFonts w:eastAsiaTheme="minorEastAsia" w:cs="Calibri"/>
                <w:i w:val="0"/>
                <w:szCs w:val="22"/>
              </w:rPr>
              <w:noBreakHyphen/>
              <w:t>17 Budget</w:t>
            </w:r>
            <w:r w:rsidRPr="00BD51A4">
              <w:rPr>
                <w:rFonts w:eastAsiaTheme="minorEastAsia" w:cs="Calibri"/>
                <w:szCs w:val="22"/>
              </w:rPr>
              <w:t xml:space="preserve"> and the approved expenditure profile of the Growth Areas Infrastructure Contribution. </w:t>
            </w:r>
          </w:p>
        </w:tc>
      </w:tr>
    </w:tbl>
    <w:p w:rsidR="00E25CC6" w:rsidRDefault="00E25CC6" w:rsidP="00FB77DF">
      <w:pPr>
        <w:pStyle w:val="Source"/>
        <w:rPr>
          <w:rFonts w:eastAsiaTheme="minorHAnsi"/>
        </w:rPr>
      </w:pPr>
      <w:r>
        <w:rPr>
          <w:rFonts w:eastAsiaTheme="minorHAnsi"/>
        </w:rPr>
        <w:t>Source: Department of Environment, Land, Water and Planning</w:t>
      </w:r>
      <w:bookmarkEnd w:id="67"/>
      <w:r>
        <w:rPr>
          <w:rFonts w:eastAsiaTheme="minorHAnsi"/>
        </w:rPr>
        <w:t xml:space="preserve"> </w:t>
      </w:r>
      <w:r>
        <w:rPr>
          <w:rFonts w:eastAsiaTheme="minorHAnsi"/>
        </w:rPr>
        <w:fldChar w:fldCharType="begin"/>
      </w:r>
      <w:r>
        <w:instrText xml:space="preserve"> XE "</w:instrText>
      </w:r>
      <w:r w:rsidRPr="00BD07DD">
        <w:instrText>Department of Environment, Land, Water and Planning:A Quality Built Environment</w:instrText>
      </w:r>
      <w:r>
        <w:instrText xml:space="preserve">" \r "DELWP_QualBltEnviro" </w:instrText>
      </w:r>
      <w:r>
        <w:rPr>
          <w:rFonts w:eastAsiaTheme="minorHAnsi"/>
        </w:rPr>
        <w:fldChar w:fldCharType="end"/>
      </w:r>
      <w:r>
        <w:rPr>
          <w:rFonts w:eastAsiaTheme="minorHAnsi"/>
        </w:rPr>
        <w:t xml:space="preserve"> </w:t>
      </w:r>
    </w:p>
    <w:p w:rsidR="00E25CC6" w:rsidRDefault="00E25CC6" w:rsidP="00C6550F">
      <w:pPr>
        <w:rPr>
          <w:rFonts w:ascii="Calibri" w:eastAsiaTheme="minorHAnsi" w:hAnsi="Calibri"/>
          <w:sz w:val="32"/>
          <w:szCs w:val="28"/>
        </w:rPr>
      </w:pPr>
      <w:r>
        <w:rPr>
          <w:rFonts w:eastAsiaTheme="minorHAnsi"/>
        </w:rPr>
        <w:br w:type="page"/>
      </w:r>
    </w:p>
    <w:p w:rsidR="00E25CC6" w:rsidRPr="00D777BC" w:rsidRDefault="00E25CC6" w:rsidP="00C6550F">
      <w:pPr>
        <w:pStyle w:val="OGHeading1"/>
        <w:rPr>
          <w:rFonts w:eastAsiaTheme="minorHAnsi"/>
        </w:rPr>
      </w:pPr>
      <w:r w:rsidRPr="00D777BC">
        <w:rPr>
          <w:rFonts w:eastAsiaTheme="minorHAnsi"/>
        </w:rPr>
        <w:t>Healthy, resilient and biodiverse environment</w:t>
      </w:r>
    </w:p>
    <w:p w:rsidR="00E25CC6" w:rsidRPr="00D777BC" w:rsidRDefault="00E25CC6" w:rsidP="00C6550F">
      <w:pPr>
        <w:pStyle w:val="OGText"/>
        <w:rPr>
          <w:rFonts w:eastAsiaTheme="minorHAnsi"/>
        </w:rPr>
      </w:pPr>
      <w:bookmarkStart w:id="68" w:name="DELWP_HealthReslntEnviro"/>
      <w:r w:rsidRPr="00D777BC">
        <w:rPr>
          <w:rFonts w:eastAsiaTheme="minorHAnsi"/>
        </w:rPr>
        <w:t>This objective delivers effective environment and climate change policy, programs, investment and regulation. It provides support for local communities and landholders engaged in environmental works</w:t>
      </w:r>
      <w:r>
        <w:rPr>
          <w:rFonts w:eastAsiaTheme="minorHAnsi"/>
        </w:rPr>
        <w:t>,</w:t>
      </w:r>
      <w:r w:rsidRPr="00D777BC">
        <w:rPr>
          <w:rFonts w:eastAsiaTheme="minorHAnsi"/>
        </w:rPr>
        <w:t xml:space="preserve"> improves the transparency and delivery of environmental regulation, provides effective governance and investment in environmental programs and provides effective policy for environmental outcomes and resource efficiency. </w:t>
      </w:r>
    </w:p>
    <w:p w:rsidR="00E25CC6" w:rsidRPr="00C6550F" w:rsidRDefault="00E25CC6" w:rsidP="00C6550F">
      <w:pPr>
        <w:pStyle w:val="OGText"/>
        <w:rPr>
          <w:rFonts w:eastAsiaTheme="minorHAnsi"/>
        </w:rPr>
      </w:pPr>
      <w:r w:rsidRPr="00D777BC">
        <w:rPr>
          <w:rFonts w:eastAsiaTheme="minorHAnsi"/>
        </w:rPr>
        <w:t>The Department leads the development and implementation of strategic regulation and investment in environmental and natural resource programs, working with partners and local communities to deliver outcomes across Victoria.</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8"/>
        <w:gridCol w:w="907"/>
        <w:gridCol w:w="992"/>
        <w:gridCol w:w="907"/>
        <w:gridCol w:w="907"/>
      </w:tblGrid>
      <w:tr w:rsidR="00E25CC6" w:rsidRPr="00F10DD9" w:rsidTr="0092490D">
        <w:trPr>
          <w:cantSplit/>
          <w:tblHeader/>
        </w:trPr>
        <w:tc>
          <w:tcPr>
            <w:tcW w:w="3146"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b/>
                <w:bCs/>
                <w:color w:val="FFFFFF"/>
                <w:sz w:val="19"/>
                <w:szCs w:val="22"/>
                <w:lang w:eastAsia="en-AU"/>
              </w:rPr>
              <w:t>Major outputs/deliverables</w:t>
            </w:r>
          </w:p>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Performance measures</w:t>
            </w:r>
          </w:p>
        </w:tc>
        <w:tc>
          <w:tcPr>
            <w:tcW w:w="908"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center"/>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target</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15 actual</w:t>
            </w:r>
          </w:p>
        </w:tc>
      </w:tr>
      <w:tr w:rsidR="00E25CC6" w:rsidRPr="00F10DD9" w:rsidTr="00F10DD9">
        <w:trPr>
          <w:cantSplit/>
        </w:trPr>
        <w:tc>
          <w:tcPr>
            <w:tcW w:w="7767" w:type="dxa"/>
            <w:gridSpan w:val="6"/>
            <w:tcBorders>
              <w:top w:val="single" w:sz="6"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Environment, Biodiversity and Climate Change</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Text"/>
              <w:rPr>
                <w:rFonts w:eastAsiaTheme="minorEastAsia"/>
                <w:lang w:eastAsia="en-AU"/>
              </w:rPr>
            </w:pPr>
            <w:r w:rsidRPr="00F10DD9">
              <w:rPr>
                <w:rFonts w:eastAsiaTheme="minorEastAsia"/>
                <w:lang w:eastAsia="en-AU"/>
              </w:rPr>
              <w:t xml:space="preserve">This output leads the development and implementation of strategic, whole of government environmental and climate change policy and delivers investment, regulatory and research functions that support diverse and resilient natural ecosystems for a liveable Victoria. It provides responsive policy advice and direction to give effect to government priorities on climate change, waste, resource recovery and efficiency and biodiversity. </w:t>
            </w:r>
          </w:p>
          <w:p w:rsidR="00E25CC6" w:rsidRPr="00F10DD9" w:rsidRDefault="00E25CC6" w:rsidP="00F10DD9">
            <w:pPr>
              <w:pStyle w:val="OGText"/>
              <w:rPr>
                <w:rFonts w:eastAsiaTheme="minorEastAsia"/>
                <w:lang w:eastAsia="en-AU"/>
              </w:rPr>
            </w:pPr>
            <w:r w:rsidRPr="00F10DD9">
              <w:rPr>
                <w:rFonts w:eastAsiaTheme="minorEastAsia"/>
                <w:lang w:eastAsia="en-AU"/>
              </w:rPr>
              <w:t>Through this output, the Department leads the modernisation of legislative, regulatory and governance arrangements in the environment portfolio and uses economic, research and scientific expertise to develop policy responses to harness Victoria</w:t>
            </w:r>
            <w:r>
              <w:rPr>
                <w:rFonts w:eastAsiaTheme="minorEastAsia"/>
                <w:lang w:eastAsia="en-AU"/>
              </w:rPr>
              <w:t>’</w:t>
            </w:r>
            <w:r w:rsidRPr="00F10DD9">
              <w:rPr>
                <w:rFonts w:eastAsiaTheme="minorEastAsia"/>
                <w:lang w:eastAsia="en-AU"/>
              </w:rPr>
              <w:t>s current and emerging sustainability opportunities. The Department also leads the development and implementation of strategic regulation and investment in environmental and natural resource programs, working with partners and local communities to deliver outcomes across Victoria. It also undertakes research and leads development of information systems and evidence</w:t>
            </w:r>
            <w:r>
              <w:rPr>
                <w:rFonts w:eastAsiaTheme="minorEastAsia"/>
                <w:lang w:eastAsia="en-AU"/>
              </w:rPr>
              <w:noBreakHyphen/>
            </w:r>
            <w:r w:rsidRPr="00F10DD9">
              <w:rPr>
                <w:rFonts w:eastAsiaTheme="minorEastAsia"/>
                <w:lang w:eastAsia="en-AU"/>
              </w:rPr>
              <w:t>based decision</w:t>
            </w:r>
            <w:r>
              <w:rPr>
                <w:rFonts w:eastAsiaTheme="minorEastAsia"/>
                <w:lang w:eastAsia="en-AU"/>
              </w:rPr>
              <w:noBreakHyphen/>
            </w:r>
            <w:r w:rsidRPr="00F10DD9">
              <w:rPr>
                <w:rFonts w:eastAsiaTheme="minorEastAsia"/>
                <w:lang w:eastAsia="en-AU"/>
              </w:rPr>
              <w:t>making tools that support the systematic identification and public repor</w:t>
            </w:r>
            <w:r>
              <w:rPr>
                <w:rFonts w:eastAsiaTheme="minorEastAsia"/>
                <w:lang w:eastAsia="en-AU"/>
              </w:rPr>
              <w:t>ting of environmental benefits.</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Area of revegetation protected or enhanced through departmental</w:t>
            </w:r>
            <w:r>
              <w:rPr>
                <w:rFonts w:eastAsiaTheme="minorEastAsia"/>
                <w:lang w:eastAsia="en-AU"/>
              </w:rPr>
              <w:noBreakHyphen/>
            </w:r>
            <w:r w:rsidRPr="00F10DD9">
              <w:rPr>
                <w:rFonts w:eastAsiaTheme="minorEastAsia"/>
                <w:lang w:eastAsia="en-AU"/>
              </w:rPr>
              <w:t>supported Landcare activities</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hectares</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1 500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1 500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1 500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1 600</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Victorian Landcare Groups supported by a facilitator</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395</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is proposed to replace the 2015</w:t>
            </w:r>
            <w:r>
              <w:rPr>
                <w:rFonts w:eastAsiaTheme="minorEastAsia"/>
              </w:rPr>
              <w:noBreakHyphen/>
            </w:r>
            <w:r w:rsidRPr="00F10DD9">
              <w:rPr>
                <w:rFonts w:eastAsiaTheme="minorEastAsia"/>
              </w:rPr>
              <w:t xml:space="preserve">16 measure </w:t>
            </w:r>
            <w:r>
              <w:rPr>
                <w:rFonts w:eastAsiaTheme="minorEastAsia"/>
              </w:rPr>
              <w:t>‘</w:t>
            </w:r>
            <w:r w:rsidRPr="00F10DD9">
              <w:rPr>
                <w:rFonts w:eastAsiaTheme="minorEastAsia"/>
              </w:rPr>
              <w:t>Landcare members and community volunteers participating in Landcare activities</w:t>
            </w:r>
            <w:r>
              <w:rPr>
                <w:rFonts w:eastAsiaTheme="minorEastAsia"/>
              </w:rPr>
              <w:t>’</w:t>
            </w:r>
            <w:r w:rsidRPr="00F10DD9">
              <w:rPr>
                <w:rFonts w:eastAsiaTheme="minorEastAsia"/>
              </w:rPr>
              <w:t xml:space="preserve">. The new measure reports on the same activity as the previous measure, however has been amended to better reflect the work of the Landcare Facilitator initiative.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Victorian schools participating in the ResourceSmart Schools program</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868</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is proposed to replace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Percentage of Victorian schools accredited in the ResourceSmart Schools program</w:t>
            </w:r>
            <w:r>
              <w:rPr>
                <w:rFonts w:eastAsiaTheme="minorEastAsia"/>
              </w:rPr>
              <w:t>’</w:t>
            </w:r>
            <w:r w:rsidRPr="00F10DD9">
              <w:rPr>
                <w:rFonts w:eastAsiaTheme="minorEastAsia"/>
              </w:rPr>
              <w:t xml:space="preserve">. This measure reports on the same activity as the previous measure, however, has been amended for increased clarity. </w:t>
            </w: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Completion of annual reporting and board appointment processes in accordance with legislation</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92</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 xml:space="preserve">Departmental stakeholder satisfaction with engagement in completed policy projects </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75</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is proposed to consolidate the 2015</w:t>
            </w:r>
            <w:r>
              <w:rPr>
                <w:rFonts w:eastAsiaTheme="minorEastAsia"/>
              </w:rPr>
              <w:noBreakHyphen/>
            </w:r>
            <w:r w:rsidRPr="00F10DD9">
              <w:rPr>
                <w:rFonts w:eastAsiaTheme="minorEastAsia"/>
              </w:rPr>
              <w:t xml:space="preserve">16 performance measures </w:t>
            </w:r>
            <w:r>
              <w:rPr>
                <w:rFonts w:eastAsiaTheme="minorEastAsia"/>
              </w:rPr>
              <w:t>‘</w:t>
            </w:r>
            <w:r w:rsidRPr="00F10DD9">
              <w:rPr>
                <w:rFonts w:eastAsiaTheme="minorEastAsia"/>
              </w:rPr>
              <w:t>Departmental stakeholder satisfaction with completed policy projects</w:t>
            </w:r>
            <w:r>
              <w:rPr>
                <w:rFonts w:eastAsiaTheme="minorEastAsia"/>
              </w:rPr>
              <w:t>’</w:t>
            </w:r>
            <w:r w:rsidRPr="00F10DD9">
              <w:rPr>
                <w:rFonts w:eastAsiaTheme="minorEastAsia"/>
              </w:rPr>
              <w:t xml:space="preserve"> and </w:t>
            </w:r>
            <w:r>
              <w:rPr>
                <w:rFonts w:eastAsiaTheme="minorEastAsia"/>
              </w:rPr>
              <w:t>‘</w:t>
            </w:r>
            <w:r w:rsidRPr="00F10DD9">
              <w:rPr>
                <w:rFonts w:eastAsiaTheme="minorEastAsia"/>
              </w:rPr>
              <w:t>Departmental stakeholder satisfaction with technical economic analysis, advice and support</w:t>
            </w:r>
            <w:r>
              <w:rPr>
                <w:rFonts w:eastAsiaTheme="minorEastAsia"/>
              </w:rPr>
              <w:t>’</w:t>
            </w:r>
            <w:r w:rsidRPr="00F10DD9">
              <w:rPr>
                <w:rFonts w:eastAsiaTheme="minorEastAsia"/>
              </w:rPr>
              <w:t xml:space="preserve"> into a new measure for 2016</w:t>
            </w:r>
            <w:r>
              <w:rPr>
                <w:rFonts w:eastAsiaTheme="minorEastAsia"/>
              </w:rPr>
              <w:noBreakHyphen/>
            </w:r>
            <w:r w:rsidRPr="00F10DD9">
              <w:rPr>
                <w:rFonts w:eastAsiaTheme="minorEastAsia"/>
              </w:rPr>
              <w:t>17. These measures have been consolidated to provide for clearer monitoring of performance and an increased emphasis on the engagement of departmental stakeholders.</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Presentations made and scientific publications in peer reviewed journals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64</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Delivery of policy, advice and research on climate change within agreed timeframes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New performance measure for 2016</w:t>
            </w:r>
            <w:r>
              <w:rPr>
                <w:rFonts w:eastAsiaTheme="minorEastAsia"/>
              </w:rPr>
              <w:noBreakHyphen/>
            </w:r>
            <w:r w:rsidRPr="00F10DD9">
              <w:rPr>
                <w:rFonts w:eastAsiaTheme="minorEastAsia"/>
              </w:rPr>
              <w:t>17 to measure the timeliness of the delivery of policy, advice and research.</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 xml:space="preserve">Native Vegetation Credit Extracts processed within 10 days </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Planning referrals relating to native vegetation processed within statutory timeframes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88</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Wildlife Licence renewals processed by target dates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96</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96</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96</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99</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BD51A4" w:rsidRDefault="00E25CC6" w:rsidP="00F10DD9">
            <w:pPr>
              <w:pStyle w:val="OGTabText"/>
              <w:rPr>
                <w:rFonts w:eastAsiaTheme="minorEastAsia"/>
                <w:lang w:eastAsia="en-AU"/>
              </w:rPr>
            </w:pPr>
            <w:r w:rsidRPr="00BD51A4">
              <w:rPr>
                <w:rFonts w:eastAsiaTheme="minorEastAsia"/>
                <w:lang w:eastAsia="en-AU"/>
              </w:rPr>
              <w:t>Total output cost</w:t>
            </w:r>
          </w:p>
        </w:tc>
        <w:tc>
          <w:tcPr>
            <w:tcW w:w="908" w:type="dxa"/>
            <w:tcBorders>
              <w:top w:val="nil"/>
              <w:left w:val="nil"/>
              <w:bottom w:val="nil"/>
              <w:right w:val="nil"/>
            </w:tcBorders>
          </w:tcPr>
          <w:p w:rsidR="00E25CC6" w:rsidRPr="00BD51A4" w:rsidRDefault="00E25CC6" w:rsidP="00F10DD9">
            <w:pPr>
              <w:autoSpaceDE w:val="0"/>
              <w:autoSpaceDN w:val="0"/>
              <w:adjustRightInd w:val="0"/>
              <w:spacing w:after="0"/>
              <w:jc w:val="center"/>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134.2</w:t>
            </w:r>
          </w:p>
        </w:tc>
        <w:tc>
          <w:tcPr>
            <w:tcW w:w="992" w:type="dxa"/>
            <w:tcBorders>
              <w:top w:val="nil"/>
              <w:left w:val="nil"/>
              <w:bottom w:val="nil"/>
              <w:right w:val="nil"/>
            </w:tcBorders>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143.0</w:t>
            </w:r>
          </w:p>
        </w:tc>
        <w:tc>
          <w:tcPr>
            <w:tcW w:w="907" w:type="dxa"/>
            <w:tcBorders>
              <w:top w:val="nil"/>
              <w:left w:val="nil"/>
              <w:bottom w:val="nil"/>
              <w:right w:val="nil"/>
            </w:tcBorders>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129.5</w:t>
            </w:r>
          </w:p>
        </w:tc>
        <w:tc>
          <w:tcPr>
            <w:tcW w:w="907" w:type="dxa"/>
            <w:tcBorders>
              <w:top w:val="nil"/>
              <w:left w:val="nil"/>
              <w:bottom w:val="nil"/>
              <w:right w:val="nil"/>
            </w:tcBorders>
          </w:tcPr>
          <w:p w:rsidR="00E25CC6" w:rsidRPr="00BD51A4"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BD51A4">
              <w:rPr>
                <w:rFonts w:ascii="Calibri" w:eastAsiaTheme="minorEastAsia" w:hAnsi="Calibri" w:cs="Calibri"/>
                <w:sz w:val="19"/>
                <w:szCs w:val="22"/>
                <w:lang w:eastAsia="en-AU"/>
              </w:rPr>
              <w:t>117.0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BD51A4" w:rsidRDefault="00E25CC6" w:rsidP="00F10DD9">
            <w:pPr>
              <w:pStyle w:val="OGNotes"/>
              <w:rPr>
                <w:rFonts w:eastAsiaTheme="minorEastAsia"/>
              </w:rPr>
            </w:pPr>
            <w:r w:rsidRPr="00BD51A4">
              <w:rPr>
                <w:rFonts w:eastAsiaTheme="minorEastAsia"/>
              </w:rPr>
              <w:t xml:space="preserve">The Environment, Biodiversity and Climate Change </w:t>
            </w:r>
            <w:r>
              <w:rPr>
                <w:rFonts w:eastAsiaTheme="minorEastAsia"/>
              </w:rPr>
              <w:t xml:space="preserve">output </w:t>
            </w:r>
            <w:r w:rsidRPr="00BD51A4">
              <w:rPr>
                <w:rFonts w:eastAsiaTheme="minorEastAsia"/>
              </w:rPr>
              <w:t>consolidates the 2015</w:t>
            </w:r>
            <w:r w:rsidRPr="00BD51A4">
              <w:rPr>
                <w:rFonts w:eastAsiaTheme="minorEastAsia"/>
              </w:rPr>
              <w:noBreakHyphen/>
              <w:t>16 outputs Environmental Policy and Environmental Programs.</w:t>
            </w:r>
          </w:p>
          <w:p w:rsidR="00E25CC6" w:rsidRPr="00BD51A4" w:rsidRDefault="00E25CC6" w:rsidP="00F10DD9">
            <w:pPr>
              <w:pStyle w:val="OGNotes"/>
              <w:rPr>
                <w:rFonts w:eastAsiaTheme="minorEastAsia" w:cs="Calibri"/>
                <w:szCs w:val="22"/>
              </w:rPr>
            </w:pPr>
            <w:r w:rsidRPr="00BD51A4">
              <w:rPr>
                <w:rFonts w:eastAsiaTheme="minorEastAsia" w:cs="Calibri"/>
                <w:szCs w:val="22"/>
              </w:rPr>
              <w:t>The 2015</w:t>
            </w:r>
            <w:r w:rsidRPr="00BD51A4">
              <w:rPr>
                <w:rFonts w:eastAsiaTheme="minorEastAsia" w:cs="Calibri"/>
                <w:szCs w:val="22"/>
              </w:rPr>
              <w:noBreakHyphen/>
              <w:t>16 expected outcome and 2015</w:t>
            </w:r>
            <w:r w:rsidRPr="00BD51A4">
              <w:rPr>
                <w:rFonts w:eastAsiaTheme="minorEastAsia" w:cs="Calibri"/>
                <w:szCs w:val="22"/>
              </w:rPr>
              <w:noBreakHyphen/>
              <w:t>16 target reflect the addition of the 2015</w:t>
            </w:r>
            <w:r w:rsidRPr="00BD51A4">
              <w:rPr>
                <w:rFonts w:eastAsiaTheme="minorEastAsia" w:cs="Calibri"/>
                <w:szCs w:val="22"/>
              </w:rPr>
              <w:noBreakHyphen/>
              <w:t>16 figures for the Environmental Policy and Environmental Programs outputs.</w:t>
            </w:r>
          </w:p>
          <w:p w:rsidR="00E25CC6" w:rsidRPr="00BD51A4" w:rsidRDefault="00E25CC6" w:rsidP="003A2D15">
            <w:pPr>
              <w:pStyle w:val="OGNotes"/>
              <w:rPr>
                <w:rFonts w:eastAsiaTheme="minorEastAsia" w:cs="Calibri"/>
                <w:szCs w:val="22"/>
              </w:rPr>
            </w:pPr>
            <w:r w:rsidRPr="00BD51A4">
              <w:rPr>
                <w:rFonts w:eastAsiaTheme="minorEastAsia" w:cs="Calibri"/>
                <w:szCs w:val="22"/>
              </w:rPr>
              <w:t>The 2015</w:t>
            </w:r>
            <w:r w:rsidRPr="00BD51A4">
              <w:rPr>
                <w:rFonts w:eastAsiaTheme="minorEastAsia" w:cs="Calibri"/>
                <w:szCs w:val="22"/>
              </w:rPr>
              <w:noBreakHyphen/>
              <w:t>16 expected outcome is higher than the 2015</w:t>
            </w:r>
            <w:r w:rsidRPr="00BD51A4">
              <w:rPr>
                <w:rFonts w:eastAsiaTheme="minorEastAsia" w:cs="Calibri"/>
                <w:szCs w:val="22"/>
              </w:rPr>
              <w:noBreakHyphen/>
              <w:t>16 target due to the timing of grant payments under a range of environmental programs.</w:t>
            </w:r>
          </w:p>
          <w:p w:rsidR="00E25CC6" w:rsidRPr="00BD51A4" w:rsidRDefault="00E25CC6" w:rsidP="003A2D15">
            <w:pPr>
              <w:pStyle w:val="OGNotes"/>
              <w:rPr>
                <w:rFonts w:eastAsiaTheme="minorEastAsia" w:cs="Calibri"/>
                <w:szCs w:val="22"/>
              </w:rPr>
            </w:pPr>
            <w:r w:rsidRPr="00BD51A4">
              <w:rPr>
                <w:rFonts w:eastAsiaTheme="minorEastAsia" w:cs="Calibri"/>
                <w:szCs w:val="22"/>
              </w:rPr>
              <w:t>The higher 2016</w:t>
            </w:r>
            <w:r w:rsidRPr="00BD51A4">
              <w:rPr>
                <w:rFonts w:eastAsiaTheme="minorEastAsia" w:cs="Calibri"/>
                <w:szCs w:val="22"/>
              </w:rPr>
              <w:noBreakHyphen/>
              <w:t xml:space="preserve">17 target primarily reflects initiatives funded as part of the </w:t>
            </w:r>
            <w:r w:rsidRPr="00BD51A4">
              <w:rPr>
                <w:rFonts w:eastAsiaTheme="minorEastAsia" w:cs="Calibri"/>
                <w:i w:val="0"/>
                <w:szCs w:val="22"/>
              </w:rPr>
              <w:t>2016</w:t>
            </w:r>
            <w:r w:rsidRPr="00BD51A4">
              <w:rPr>
                <w:rFonts w:eastAsiaTheme="minorEastAsia" w:cs="Calibri"/>
                <w:i w:val="0"/>
                <w:szCs w:val="22"/>
              </w:rPr>
              <w:noBreakHyphen/>
              <w:t>17 Budget</w:t>
            </w:r>
            <w:r w:rsidRPr="00BD51A4">
              <w:rPr>
                <w:rFonts w:eastAsiaTheme="minorEastAsia" w:cs="Calibri"/>
                <w:szCs w:val="22"/>
              </w:rPr>
              <w:t xml:space="preserve">. </w:t>
            </w:r>
          </w:p>
        </w:tc>
      </w:tr>
      <w:tr w:rsidR="00E25CC6" w:rsidRPr="00F10DD9" w:rsidTr="00F10DD9">
        <w:trPr>
          <w:cantSplit/>
        </w:trPr>
        <w:tc>
          <w:tcPr>
            <w:tcW w:w="7767" w:type="dxa"/>
            <w:gridSpan w:val="6"/>
            <w:tcBorders>
              <w:top w:val="single" w:sz="6"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Statutory Activities and Environment Protection</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Text"/>
              <w:rPr>
                <w:rFonts w:eastAsiaTheme="minorEastAsia"/>
                <w:lang w:eastAsia="en-AU"/>
              </w:rPr>
            </w:pPr>
            <w:r w:rsidRPr="00F10DD9">
              <w:rPr>
                <w:rFonts w:eastAsiaTheme="minorEastAsia"/>
                <w:lang w:eastAsia="en-AU"/>
              </w:rPr>
              <w:t>This output effectively regulates pollution through statutory and non</w:t>
            </w:r>
            <w:r>
              <w:rPr>
                <w:rFonts w:eastAsiaTheme="minorEastAsia"/>
                <w:lang w:eastAsia="en-AU"/>
              </w:rPr>
              <w:noBreakHyphen/>
            </w:r>
            <w:r w:rsidRPr="00F10DD9">
              <w:rPr>
                <w:rFonts w:eastAsiaTheme="minorEastAsia"/>
                <w:lang w:eastAsia="en-AU"/>
              </w:rPr>
              <w:t xml:space="preserve">statutory tools and settings, conducts enforcement activities and undertakes environmental condition monitoring and research. These activities protect and improve the environment to support a liveable and prosperous state by delivering clean air, healthy waterways, safe land, less waste and minimal disturbances from noise and odour for Victorians. </w:t>
            </w:r>
          </w:p>
          <w:p w:rsidR="00E25CC6" w:rsidRPr="00F10DD9" w:rsidRDefault="00E25CC6" w:rsidP="00F10DD9">
            <w:pPr>
              <w:pStyle w:val="OGText"/>
              <w:rPr>
                <w:rFonts w:eastAsiaTheme="minorEastAsia"/>
                <w:lang w:eastAsia="en-AU"/>
              </w:rPr>
            </w:pPr>
            <w:r w:rsidRPr="00F10DD9">
              <w:rPr>
                <w:rFonts w:eastAsiaTheme="minorEastAsia"/>
                <w:lang w:eastAsia="en-AU"/>
              </w:rPr>
              <w:t>This output focuses on reducing local pollution problems, working with stakeholders to improve environmental outcomes and using knowledge and science to underpin decision making to shape Victoria</w:t>
            </w:r>
            <w:r>
              <w:rPr>
                <w:rFonts w:eastAsiaTheme="minorEastAsia"/>
                <w:lang w:eastAsia="en-AU"/>
              </w:rPr>
              <w:t>’</w:t>
            </w:r>
            <w:r w:rsidRPr="00F10DD9">
              <w:rPr>
                <w:rFonts w:eastAsiaTheme="minorEastAsia"/>
                <w:lang w:eastAsia="en-AU"/>
              </w:rPr>
              <w:t>s environmental future. Through collaboration, communication and information programs, this output enables greater community involvement in, and ownership of, environmental issues.</w:t>
            </w: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Environmental condition research reports issued, improvement tools, guidelines, policies, systems and plans completed and issued</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54</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54</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54</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51</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EPA notices issued for illegal dumping of waste</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129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iCs/>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EPA</w:t>
            </w:r>
            <w:r>
              <w:rPr>
                <w:rFonts w:eastAsiaTheme="minorEastAsia"/>
              </w:rPr>
              <w:t>’</w:t>
            </w:r>
            <w:r w:rsidRPr="00F10DD9">
              <w:rPr>
                <w:rFonts w:eastAsiaTheme="minorEastAsia"/>
              </w:rPr>
              <w:t>s ongoing focus on the illegal dumping of waste.</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i/>
                <w:iCs/>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i/>
                <w:iCs/>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EPA prosecutions are successful, and conditions in enforceable undertakings are focused on improving environmental performance</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reflecting that EPA has been successful in all prosecutions to date.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Land audits submitted by EPA appointed auditors are reviewed to ensure compliance with statutory requirements and guidelines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93</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reflecting the improved effectiveness of EPA</w:t>
            </w:r>
            <w:r>
              <w:rPr>
                <w:rFonts w:eastAsiaTheme="minorEastAsia"/>
              </w:rPr>
              <w:t>’</w:t>
            </w:r>
            <w:r w:rsidRPr="00F10DD9">
              <w:rPr>
                <w:rFonts w:eastAsiaTheme="minorEastAsia"/>
              </w:rPr>
              <w:t xml:space="preserve">s approach to reviewing land audits.  </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Notices complied with by due date or escalation in line with Compliance and Enforcement policy</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87</w:t>
            </w: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pStyle w:val="OGTabText"/>
              <w:keepNext/>
              <w:rPr>
                <w:rFonts w:eastAsiaTheme="minorEastAsia"/>
                <w:lang w:eastAsia="en-AU"/>
              </w:rPr>
            </w:pPr>
            <w:r w:rsidRPr="00F10DD9">
              <w:rPr>
                <w:rFonts w:eastAsiaTheme="minorEastAsia"/>
                <w:lang w:eastAsia="en-AU"/>
              </w:rPr>
              <w:t>Pollution reporters requesting follow</w:t>
            </w:r>
            <w:r>
              <w:rPr>
                <w:rFonts w:eastAsiaTheme="minorEastAsia"/>
                <w:lang w:eastAsia="en-AU"/>
              </w:rPr>
              <w:noBreakHyphen/>
            </w:r>
            <w:r w:rsidRPr="00F10DD9">
              <w:rPr>
                <w:rFonts w:eastAsiaTheme="minorEastAsia"/>
                <w:lang w:eastAsia="en-AU"/>
              </w:rPr>
              <w:t>up by EPA receive contact within three working days</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86</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EPA</w:t>
            </w:r>
            <w:r>
              <w:rPr>
                <w:rFonts w:eastAsiaTheme="minorEastAsia"/>
              </w:rPr>
              <w:t>’</w:t>
            </w:r>
            <w:r w:rsidRPr="00F10DD9">
              <w:rPr>
                <w:rFonts w:eastAsiaTheme="minorEastAsia"/>
              </w:rPr>
              <w:t xml:space="preserve">s focus on timely follow up with pollution reporters. As such, EPA is contacting a higher than expected proportion of pollution reporters within three working days.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Works approvals and licences completed within required statutory timelines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96</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96</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improvements as part of EPA</w:t>
            </w:r>
            <w:r>
              <w:rPr>
                <w:rFonts w:eastAsiaTheme="minorEastAsia"/>
              </w:rPr>
              <w:t>’</w:t>
            </w:r>
            <w:r w:rsidRPr="00F10DD9">
              <w:rPr>
                <w:rFonts w:eastAsiaTheme="minorEastAsia"/>
              </w:rPr>
              <w:t xml:space="preserve">s reform of works approval processes. </w:t>
            </w:r>
          </w:p>
        </w:tc>
      </w:tr>
      <w:tr w:rsidR="00E25CC6" w:rsidRPr="00F10DD9" w:rsidTr="00FB77DF">
        <w:trPr>
          <w:cantSplit/>
        </w:trPr>
        <w:tc>
          <w:tcPr>
            <w:tcW w:w="3146" w:type="dxa"/>
            <w:tcBorders>
              <w:top w:val="nil"/>
              <w:left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6473B3">
        <w:trPr>
          <w:cantSplit/>
        </w:trPr>
        <w:tc>
          <w:tcPr>
            <w:tcW w:w="3146" w:type="dxa"/>
            <w:tcBorders>
              <w:top w:val="nil"/>
              <w:left w:val="nil"/>
              <w:bottom w:val="nil"/>
              <w:right w:val="nil"/>
            </w:tcBorders>
          </w:tcPr>
          <w:p w:rsidR="00E25CC6" w:rsidRPr="00861EFF" w:rsidRDefault="00E25CC6" w:rsidP="00F10DD9">
            <w:pPr>
              <w:pStyle w:val="OGTabText"/>
              <w:rPr>
                <w:rFonts w:eastAsiaTheme="minorEastAsia"/>
                <w:lang w:eastAsia="en-AU"/>
              </w:rPr>
            </w:pPr>
            <w:r w:rsidRPr="00861EFF">
              <w:rPr>
                <w:rFonts w:eastAsiaTheme="minorEastAsia"/>
                <w:lang w:eastAsia="en-AU"/>
              </w:rPr>
              <w:t>Total output cost</w:t>
            </w:r>
          </w:p>
        </w:tc>
        <w:tc>
          <w:tcPr>
            <w:tcW w:w="908" w:type="dxa"/>
            <w:tcBorders>
              <w:top w:val="nil"/>
              <w:left w:val="nil"/>
              <w:bottom w:val="nil"/>
              <w:right w:val="nil"/>
            </w:tcBorders>
          </w:tcPr>
          <w:p w:rsidR="00E25CC6" w:rsidRPr="00861EFF" w:rsidRDefault="00E25CC6" w:rsidP="00F10DD9">
            <w:pPr>
              <w:autoSpaceDE w:val="0"/>
              <w:autoSpaceDN w:val="0"/>
              <w:adjustRightInd w:val="0"/>
              <w:spacing w:after="0"/>
              <w:jc w:val="center"/>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96.4</w:t>
            </w:r>
          </w:p>
        </w:tc>
        <w:tc>
          <w:tcPr>
            <w:tcW w:w="992"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162.2</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154.1</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121.3</w:t>
            </w:r>
          </w:p>
        </w:tc>
      </w:tr>
      <w:tr w:rsidR="00E25CC6" w:rsidRPr="00F10DD9" w:rsidTr="00B365A1">
        <w:trPr>
          <w:cantSplit/>
        </w:trPr>
        <w:tc>
          <w:tcPr>
            <w:tcW w:w="7767" w:type="dxa"/>
            <w:gridSpan w:val="6"/>
            <w:tcBorders>
              <w:top w:val="nil"/>
              <w:left w:val="nil"/>
              <w:bottom w:val="single" w:sz="12" w:space="0" w:color="auto"/>
              <w:right w:val="nil"/>
            </w:tcBorders>
          </w:tcPr>
          <w:p w:rsidR="00E25CC6" w:rsidRPr="00861EFF" w:rsidRDefault="00E25CC6" w:rsidP="00B365A1">
            <w:pPr>
              <w:pStyle w:val="OGNotes"/>
              <w:rPr>
                <w:rFonts w:eastAsiaTheme="minorEastAsia"/>
              </w:rPr>
            </w:pPr>
            <w:r w:rsidRPr="00861EFF">
              <w:rPr>
                <w:rFonts w:eastAsiaTheme="minorEastAsia"/>
              </w:rPr>
              <w:t>The 2015</w:t>
            </w:r>
            <w:r w:rsidRPr="00861EFF">
              <w:rPr>
                <w:rFonts w:eastAsiaTheme="minorEastAsia"/>
              </w:rPr>
              <w:noBreakHyphen/>
              <w:t>16 expected outcome is higher than the 2015</w:t>
            </w:r>
            <w:r w:rsidRPr="00861EFF">
              <w:rPr>
                <w:rFonts w:eastAsiaTheme="minorEastAsia"/>
              </w:rPr>
              <w:noBreakHyphen/>
              <w:t xml:space="preserve">16 target due to the timing of grant payments from the Sustainability Fund. </w:t>
            </w:r>
          </w:p>
          <w:p w:rsidR="00E25CC6" w:rsidRPr="00861EFF" w:rsidRDefault="00E25CC6" w:rsidP="00A810D9">
            <w:pPr>
              <w:pStyle w:val="OGNotes"/>
              <w:rPr>
                <w:rFonts w:eastAsiaTheme="minorEastAsia" w:cs="Calibri"/>
                <w:szCs w:val="22"/>
              </w:rPr>
            </w:pPr>
            <w:r w:rsidRPr="00861EFF">
              <w:rPr>
                <w:rFonts w:eastAsiaTheme="minorEastAsia"/>
              </w:rPr>
              <w:t>The lower 2016</w:t>
            </w:r>
            <w:r w:rsidRPr="00861EFF">
              <w:rPr>
                <w:rFonts w:eastAsiaTheme="minorEastAsia"/>
              </w:rPr>
              <w:noBreakHyphen/>
              <w:t xml:space="preserve">17 target primarily reflects the reclassification of </w:t>
            </w:r>
            <w:r>
              <w:rPr>
                <w:rFonts w:eastAsiaTheme="minorEastAsia"/>
              </w:rPr>
              <w:t>Environment</w:t>
            </w:r>
            <w:r w:rsidRPr="00861EFF">
              <w:rPr>
                <w:rFonts w:eastAsiaTheme="minorEastAsia"/>
              </w:rPr>
              <w:t xml:space="preserve"> Protection Authority expenditure following the transfer of the Sustainability Fund to the Department of Environment, Land, Water and Planning.</w:t>
            </w:r>
          </w:p>
        </w:tc>
      </w:tr>
    </w:tbl>
    <w:p w:rsidR="00E25CC6" w:rsidRDefault="00E25CC6" w:rsidP="00FB77DF">
      <w:pPr>
        <w:pStyle w:val="Source"/>
        <w:rPr>
          <w:rFonts w:eastAsiaTheme="minorHAnsi"/>
        </w:rPr>
      </w:pPr>
      <w:r>
        <w:rPr>
          <w:rFonts w:eastAsiaTheme="minorHAnsi"/>
        </w:rPr>
        <w:t>Source: Department of Environment, Land, Water and Planning</w:t>
      </w:r>
      <w:bookmarkEnd w:id="68"/>
      <w:r>
        <w:rPr>
          <w:rFonts w:eastAsiaTheme="minorHAnsi"/>
        </w:rPr>
        <w:t xml:space="preserve"> </w:t>
      </w:r>
      <w:r>
        <w:rPr>
          <w:rFonts w:eastAsiaTheme="minorHAnsi"/>
        </w:rPr>
        <w:fldChar w:fldCharType="begin"/>
      </w:r>
      <w:r>
        <w:instrText xml:space="preserve"> XE "</w:instrText>
      </w:r>
      <w:r w:rsidRPr="0029514F">
        <w:instrText>Department of Environment, Land, Water and Planning:Healthy, Resilient and Biodiverse Environment</w:instrText>
      </w:r>
      <w:r>
        <w:instrText xml:space="preserve">" \r "DELWP_HealthReslntEnviro" </w:instrText>
      </w:r>
      <w:r>
        <w:rPr>
          <w:rFonts w:eastAsiaTheme="minorHAnsi"/>
        </w:rPr>
        <w:fldChar w:fldCharType="end"/>
      </w:r>
    </w:p>
    <w:p w:rsidR="00E25CC6" w:rsidRDefault="00E25CC6" w:rsidP="00C6550F">
      <w:pPr>
        <w:rPr>
          <w:rFonts w:ascii="Calibri" w:eastAsiaTheme="minorHAnsi" w:hAnsi="Calibri"/>
          <w:sz w:val="32"/>
          <w:szCs w:val="28"/>
        </w:rPr>
      </w:pPr>
      <w:r>
        <w:rPr>
          <w:rFonts w:eastAsiaTheme="minorHAnsi"/>
        </w:rPr>
        <w:br w:type="page"/>
      </w:r>
    </w:p>
    <w:p w:rsidR="00E25CC6" w:rsidRPr="00D777BC" w:rsidRDefault="00E25CC6" w:rsidP="00C6550F">
      <w:pPr>
        <w:pStyle w:val="OGHeading1"/>
        <w:rPr>
          <w:rFonts w:eastAsiaTheme="minorHAnsi"/>
        </w:rPr>
      </w:pPr>
      <w:r w:rsidRPr="00D777BC">
        <w:rPr>
          <w:rFonts w:eastAsiaTheme="minorHAnsi"/>
        </w:rPr>
        <w:t xml:space="preserve">Productive and effective land management </w:t>
      </w:r>
    </w:p>
    <w:p w:rsidR="00E25CC6" w:rsidRPr="00D777BC" w:rsidRDefault="00E25CC6" w:rsidP="00C6550F">
      <w:pPr>
        <w:pStyle w:val="OGText"/>
        <w:rPr>
          <w:rFonts w:eastAsiaTheme="minorHAnsi"/>
        </w:rPr>
      </w:pPr>
      <w:bookmarkStart w:id="69" w:name="DELWP_ProducLandMgmnt"/>
      <w:r w:rsidRPr="00D777BC">
        <w:rPr>
          <w:rFonts w:eastAsiaTheme="minorHAnsi"/>
        </w:rPr>
        <w:t>This objective delivers effective management and governance of Victoria</w:t>
      </w:r>
      <w:r>
        <w:rPr>
          <w:rFonts w:eastAsiaTheme="minorHAnsi"/>
        </w:rPr>
        <w:t>’</w:t>
      </w:r>
      <w:r w:rsidRPr="00D777BC">
        <w:rPr>
          <w:rFonts w:eastAsiaTheme="minorHAnsi"/>
        </w:rPr>
        <w:t xml:space="preserve">s public land to protect its social, economic and environmental values and maximise its use by all Victorians. </w:t>
      </w:r>
    </w:p>
    <w:p w:rsidR="00E25CC6" w:rsidRPr="00D777BC" w:rsidRDefault="00E25CC6" w:rsidP="00C6550F">
      <w:pPr>
        <w:pStyle w:val="OGText"/>
        <w:rPr>
          <w:rFonts w:eastAsiaTheme="minorHAnsi"/>
        </w:rPr>
      </w:pPr>
      <w:r w:rsidRPr="00D777BC">
        <w:rPr>
          <w:rFonts w:eastAsiaTheme="minorHAnsi"/>
        </w:rPr>
        <w:t xml:space="preserve">The Department works with statutory agencies, committees and local government to ensure that land is productive and is used in a sustainable manner; infrastructure on public land and in coastal environments is appropriate and well managed; the condition of marine, coastal and estuarine environments is protected, maintained and improved and that key biodiversity assets, priority habitats and ecological processes are healthy and secure. </w:t>
      </w:r>
    </w:p>
    <w:p w:rsidR="00E25CC6" w:rsidRPr="00C6550F" w:rsidRDefault="00E25CC6" w:rsidP="00C6550F">
      <w:pPr>
        <w:pStyle w:val="OGText"/>
        <w:rPr>
          <w:rFonts w:eastAsiaTheme="minorHAnsi"/>
        </w:rPr>
      </w:pPr>
      <w:r w:rsidRPr="00D777BC">
        <w:rPr>
          <w:rFonts w:eastAsiaTheme="minorHAnsi"/>
        </w:rPr>
        <w:t xml:space="preserve">The Department also provides quality land information services, including comprehensive and accessible spatial information, to support integrated planning and decision making and ensure confidence in the integrity and efficiency of the property system. </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8"/>
        <w:gridCol w:w="907"/>
        <w:gridCol w:w="992"/>
        <w:gridCol w:w="907"/>
        <w:gridCol w:w="907"/>
      </w:tblGrid>
      <w:tr w:rsidR="00E25CC6" w:rsidRPr="00F10DD9" w:rsidTr="0092490D">
        <w:trPr>
          <w:cantSplit/>
          <w:tblHeader/>
        </w:trPr>
        <w:tc>
          <w:tcPr>
            <w:tcW w:w="3146"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b/>
                <w:bCs/>
                <w:color w:val="FFFFFF"/>
                <w:sz w:val="19"/>
                <w:szCs w:val="22"/>
                <w:lang w:eastAsia="en-AU"/>
              </w:rPr>
              <w:t>Major outputs/deliverables</w:t>
            </w:r>
          </w:p>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Performance measures</w:t>
            </w:r>
          </w:p>
        </w:tc>
        <w:tc>
          <w:tcPr>
            <w:tcW w:w="908"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center"/>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target</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15 actual</w:t>
            </w:r>
          </w:p>
        </w:tc>
      </w:tr>
      <w:tr w:rsidR="00E25CC6" w:rsidRPr="00F10DD9" w:rsidTr="00F10DD9">
        <w:trPr>
          <w:cantSplit/>
        </w:trPr>
        <w:tc>
          <w:tcPr>
            <w:tcW w:w="7767" w:type="dxa"/>
            <w:gridSpan w:val="6"/>
            <w:tcBorders>
              <w:top w:val="single" w:sz="6"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Land Victoria</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7F5EC1">
            <w:pPr>
              <w:pStyle w:val="OGText"/>
              <w:rPr>
                <w:rFonts w:eastAsiaTheme="minorEastAsia"/>
                <w:lang w:eastAsia="en-AU"/>
              </w:rPr>
            </w:pPr>
            <w:r w:rsidRPr="00F10DD9">
              <w:rPr>
                <w:rFonts w:eastAsiaTheme="minorEastAsia"/>
                <w:lang w:eastAsia="en-AU"/>
              </w:rPr>
              <w:t>This output delivers high</w:t>
            </w:r>
            <w:r>
              <w:rPr>
                <w:rFonts w:eastAsiaTheme="minorEastAsia"/>
                <w:lang w:eastAsia="en-AU"/>
              </w:rPr>
              <w:noBreakHyphen/>
            </w:r>
            <w:r w:rsidRPr="00F10DD9">
              <w:rPr>
                <w:rFonts w:eastAsiaTheme="minorEastAsia"/>
                <w:lang w:eastAsia="en-AU"/>
              </w:rPr>
              <w:t>quality and authoritative land administration and property information services, including the registration of land titles under the Torrens system, survey, valuation and property sales and planning and property certificates.</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Planning certificates issued</w:t>
            </w:r>
          </w:p>
        </w:tc>
        <w:tc>
          <w:tcPr>
            <w:tcW w:w="908" w:type="dxa"/>
            <w:tcBorders>
              <w:top w:val="nil"/>
              <w:left w:val="nil"/>
              <w:bottom w:val="single" w:sz="6" w:space="0" w:color="auto"/>
              <w:right w:val="nil"/>
            </w:tcBorders>
          </w:tcPr>
          <w:p w:rsidR="00E25CC6" w:rsidRPr="00F10DD9" w:rsidRDefault="00E25CC6" w:rsidP="00A9188B">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w:t>
            </w:r>
            <w:r>
              <w:rPr>
                <w:rFonts w:ascii="Calibri" w:eastAsiaTheme="minorEastAsia" w:hAnsi="Calibri" w:cs="Calibri"/>
                <w:color w:val="000000"/>
                <w:sz w:val="19"/>
                <w:szCs w:val="22"/>
                <w:lang w:eastAsia="en-AU"/>
              </w:rPr>
              <w:t>000</w:t>
            </w:r>
            <w:r w:rsidRPr="00F10DD9">
              <w:rPr>
                <w:rFonts w:ascii="Calibri" w:eastAsiaTheme="minorEastAsia" w:hAnsi="Calibri" w:cs="Calibri"/>
                <w:color w:val="000000"/>
                <w:sz w:val="19"/>
                <w:szCs w:val="22"/>
                <w:lang w:eastAsia="en-AU"/>
              </w:rPr>
              <w: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55.5</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Property transfers, discharge of mortgages and registration of new mortgages</w:t>
            </w:r>
          </w:p>
        </w:tc>
        <w:tc>
          <w:tcPr>
            <w:tcW w:w="908" w:type="dxa"/>
            <w:tcBorders>
              <w:top w:val="nil"/>
              <w:left w:val="nil"/>
              <w:bottom w:val="nil"/>
              <w:right w:val="nil"/>
            </w:tcBorders>
          </w:tcPr>
          <w:p w:rsidR="00E25CC6" w:rsidRPr="00F10DD9" w:rsidRDefault="00E25CC6" w:rsidP="00A9188B">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w:t>
            </w:r>
            <w:r>
              <w:rPr>
                <w:rFonts w:ascii="Calibri" w:eastAsiaTheme="minorEastAsia" w:hAnsi="Calibri" w:cs="Calibri"/>
                <w:color w:val="000000"/>
                <w:sz w:val="19"/>
                <w:szCs w:val="22"/>
                <w:lang w:eastAsia="en-AU"/>
              </w:rPr>
              <w:t>000</w:t>
            </w:r>
            <w:r w:rsidRPr="00F10DD9">
              <w:rPr>
                <w:rFonts w:ascii="Calibri" w:eastAsiaTheme="minorEastAsia" w:hAnsi="Calibri" w:cs="Calibri"/>
                <w:color w:val="000000"/>
                <w:sz w:val="19"/>
                <w:szCs w:val="22"/>
                <w:lang w:eastAsia="en-AU"/>
              </w:rPr>
              <w:t>)</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865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750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792.3</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increased levels of activity in the property market. </w:t>
            </w:r>
          </w:p>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this increased activity. </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Proportion of title searches supplied (remotely) online</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Title searches supplied</w:t>
            </w:r>
          </w:p>
        </w:tc>
        <w:tc>
          <w:tcPr>
            <w:tcW w:w="908" w:type="dxa"/>
            <w:tcBorders>
              <w:top w:val="single" w:sz="6" w:space="0" w:color="auto"/>
              <w:left w:val="nil"/>
              <w:bottom w:val="single" w:sz="6" w:space="0" w:color="auto"/>
              <w:right w:val="nil"/>
            </w:tcBorders>
          </w:tcPr>
          <w:p w:rsidR="00E25CC6" w:rsidRPr="00F10DD9" w:rsidRDefault="00E25CC6" w:rsidP="00A9188B">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w:t>
            </w:r>
            <w:r>
              <w:rPr>
                <w:rFonts w:ascii="Calibri" w:eastAsiaTheme="minorEastAsia" w:hAnsi="Calibri" w:cs="Calibri"/>
                <w:color w:val="000000"/>
                <w:sz w:val="19"/>
                <w:szCs w:val="22"/>
                <w:lang w:eastAsia="en-AU"/>
              </w:rPr>
              <w:t>000</w:t>
            </w:r>
            <w:r w:rsidRPr="00F10DD9">
              <w:rPr>
                <w:rFonts w:ascii="Calibri" w:eastAsiaTheme="minorEastAsia" w:hAnsi="Calibri" w:cs="Calibri"/>
                <w:color w:val="000000"/>
                <w:sz w:val="19"/>
                <w:szCs w:val="22"/>
                <w:lang w:eastAsia="en-AU"/>
              </w:rPr>
              <w: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2 220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2 220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2 220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2 242</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Government owned properties sold, bought or leased within 10 per cent of valuation</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7F5EC1">
            <w:pPr>
              <w:pStyle w:val="OGTabText"/>
              <w:rPr>
                <w:rFonts w:eastAsiaTheme="minorEastAsia"/>
                <w:lang w:eastAsia="en-AU"/>
              </w:rPr>
            </w:pPr>
            <w:r w:rsidRPr="00F10DD9">
              <w:rPr>
                <w:rFonts w:eastAsiaTheme="minorEastAsia"/>
                <w:lang w:eastAsia="en-AU"/>
              </w:rPr>
              <w:t>Land dealings registered within five</w:t>
            </w:r>
            <w:r>
              <w:rPr>
                <w:rFonts w:eastAsiaTheme="minorEastAsia"/>
                <w:lang w:eastAsia="en-AU"/>
              </w:rPr>
              <w:noBreakHyphen/>
            </w:r>
            <w:r w:rsidRPr="00F10DD9">
              <w:rPr>
                <w:rFonts w:eastAsiaTheme="minorEastAsia"/>
                <w:lang w:eastAsia="en-AU"/>
              </w:rPr>
              <w:t>days</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99</w:t>
            </w: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pStyle w:val="OGTabText"/>
              <w:keepNext/>
              <w:rPr>
                <w:rFonts w:eastAsiaTheme="minorEastAsia"/>
                <w:lang w:eastAsia="en-AU"/>
              </w:rPr>
            </w:pPr>
            <w:r w:rsidRPr="00F10DD9">
              <w:rPr>
                <w:rFonts w:eastAsiaTheme="minorEastAsia"/>
                <w:lang w:eastAsia="en-AU"/>
              </w:rPr>
              <w:t>New titles (subdivisions) created within three weeks</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75</w:t>
            </w: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lower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higher than anticipated levels of demand for service and more complex plans being lodged. </w:t>
            </w:r>
          </w:p>
        </w:tc>
      </w:tr>
      <w:tr w:rsidR="00E25CC6" w:rsidRPr="00F10DD9" w:rsidTr="00F10DD9">
        <w:trPr>
          <w:cantSplit/>
        </w:trPr>
        <w:tc>
          <w:tcPr>
            <w:tcW w:w="3146" w:type="dxa"/>
            <w:tcBorders>
              <w:top w:val="nil"/>
              <w:left w:val="nil"/>
              <w:bottom w:val="nil"/>
              <w:right w:val="nil"/>
            </w:tcBorders>
          </w:tcPr>
          <w:p w:rsidR="00E25CC6" w:rsidRPr="00F10DD9" w:rsidRDefault="00E25CC6" w:rsidP="00A9188B">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bottom w:val="nil"/>
              <w:right w:val="nil"/>
            </w:tcBorders>
          </w:tcPr>
          <w:p w:rsidR="00E25CC6" w:rsidRPr="00F10DD9" w:rsidRDefault="00E25CC6" w:rsidP="00A9188B">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A9188B">
            <w:pPr>
              <w:keepNext/>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A9188B">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A9188B">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A9188B">
            <w:pPr>
              <w:keepNext/>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15190D">
        <w:trPr>
          <w:cantSplit/>
        </w:trPr>
        <w:tc>
          <w:tcPr>
            <w:tcW w:w="3146" w:type="dxa"/>
            <w:tcBorders>
              <w:top w:val="nil"/>
              <w:left w:val="nil"/>
              <w:right w:val="nil"/>
            </w:tcBorders>
          </w:tcPr>
          <w:p w:rsidR="00E25CC6" w:rsidRPr="00861EFF" w:rsidRDefault="00E25CC6" w:rsidP="00F10DD9">
            <w:pPr>
              <w:pStyle w:val="OGTabText"/>
              <w:rPr>
                <w:rFonts w:eastAsiaTheme="minorEastAsia"/>
                <w:lang w:eastAsia="en-AU"/>
              </w:rPr>
            </w:pPr>
            <w:r w:rsidRPr="00861EFF">
              <w:rPr>
                <w:rFonts w:eastAsiaTheme="minorEastAsia"/>
                <w:lang w:eastAsia="en-AU"/>
              </w:rPr>
              <w:t>Total output cost</w:t>
            </w:r>
          </w:p>
        </w:tc>
        <w:tc>
          <w:tcPr>
            <w:tcW w:w="908" w:type="dxa"/>
            <w:tcBorders>
              <w:top w:val="nil"/>
              <w:left w:val="nil"/>
              <w:right w:val="nil"/>
            </w:tcBorders>
          </w:tcPr>
          <w:p w:rsidR="00E25CC6" w:rsidRPr="00861EFF" w:rsidRDefault="00E25CC6" w:rsidP="00F10DD9">
            <w:pPr>
              <w:autoSpaceDE w:val="0"/>
              <w:autoSpaceDN w:val="0"/>
              <w:adjustRightInd w:val="0"/>
              <w:spacing w:after="0"/>
              <w:jc w:val="center"/>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 million</w:t>
            </w:r>
          </w:p>
        </w:tc>
        <w:tc>
          <w:tcPr>
            <w:tcW w:w="907" w:type="dxa"/>
            <w:tcBorders>
              <w:top w:val="nil"/>
              <w:left w:val="nil"/>
              <w:right w:val="nil"/>
            </w:tcBorders>
            <w:shd w:val="clear" w:color="auto" w:fill="DCDCDC"/>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77.0</w:t>
            </w:r>
          </w:p>
        </w:tc>
        <w:tc>
          <w:tcPr>
            <w:tcW w:w="992" w:type="dxa"/>
            <w:tcBorders>
              <w:top w:val="nil"/>
              <w:left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86.1</w:t>
            </w:r>
          </w:p>
        </w:tc>
        <w:tc>
          <w:tcPr>
            <w:tcW w:w="907" w:type="dxa"/>
            <w:tcBorders>
              <w:top w:val="nil"/>
              <w:left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65.8</w:t>
            </w:r>
          </w:p>
        </w:tc>
        <w:tc>
          <w:tcPr>
            <w:tcW w:w="907" w:type="dxa"/>
            <w:tcBorders>
              <w:top w:val="nil"/>
              <w:left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82.7</w:t>
            </w:r>
          </w:p>
        </w:tc>
      </w:tr>
      <w:tr w:rsidR="00E25CC6" w:rsidRPr="00F10DD9" w:rsidTr="00B365A1">
        <w:trPr>
          <w:cantSplit/>
        </w:trPr>
        <w:tc>
          <w:tcPr>
            <w:tcW w:w="7767" w:type="dxa"/>
            <w:gridSpan w:val="6"/>
            <w:tcBorders>
              <w:top w:val="nil"/>
              <w:left w:val="nil"/>
              <w:bottom w:val="single" w:sz="6" w:space="0" w:color="auto"/>
              <w:right w:val="nil"/>
            </w:tcBorders>
          </w:tcPr>
          <w:p w:rsidR="00E25CC6" w:rsidRPr="00861EFF" w:rsidRDefault="00E25CC6" w:rsidP="003C0DF2">
            <w:pPr>
              <w:pStyle w:val="OGNotes"/>
              <w:rPr>
                <w:rFonts w:eastAsiaTheme="minorEastAsia"/>
              </w:rPr>
            </w:pPr>
            <w:r w:rsidRPr="00861EFF">
              <w:rPr>
                <w:rFonts w:eastAsiaTheme="minorEastAsia"/>
              </w:rPr>
              <w:t>The 2015</w:t>
            </w:r>
            <w:r w:rsidRPr="00861EFF">
              <w:rPr>
                <w:rFonts w:eastAsiaTheme="minorEastAsia"/>
              </w:rPr>
              <w:noBreakHyphen/>
              <w:t>16 expected outcome is higher than the 2015</w:t>
            </w:r>
            <w:r w:rsidRPr="00861EFF">
              <w:rPr>
                <w:rFonts w:eastAsiaTheme="minorEastAsia"/>
              </w:rPr>
              <w:noBreakHyphen/>
              <w:t xml:space="preserve">16 target due to additional funding provided to the Electronic Conveyancing and </w:t>
            </w:r>
            <w:r w:rsidRPr="00861EFF">
              <w:t xml:space="preserve">Spears </w:t>
            </w:r>
            <w:r w:rsidRPr="00861EFF">
              <w:rPr>
                <w:rFonts w:eastAsiaTheme="minorEastAsia"/>
              </w:rPr>
              <w:t xml:space="preserve">initiatives. </w:t>
            </w:r>
          </w:p>
          <w:p w:rsidR="00E25CC6" w:rsidRPr="00861EFF" w:rsidRDefault="00E25CC6" w:rsidP="003C0DF2">
            <w:pPr>
              <w:pStyle w:val="OGNotes"/>
              <w:rPr>
                <w:rFonts w:eastAsiaTheme="minorEastAsia" w:cs="Calibri"/>
                <w:sz w:val="19"/>
                <w:szCs w:val="22"/>
              </w:rPr>
            </w:pPr>
            <w:r w:rsidRPr="00861EFF">
              <w:rPr>
                <w:rFonts w:eastAsiaTheme="minorEastAsia"/>
              </w:rPr>
              <w:t>The higher 2016</w:t>
            </w:r>
            <w:r w:rsidRPr="00861EFF">
              <w:rPr>
                <w:rFonts w:eastAsiaTheme="minorEastAsia"/>
              </w:rPr>
              <w:noBreakHyphen/>
              <w:t xml:space="preserve">17 target primarily reflects higher revenue estimates for the Valuation and Survey, Land Title, and Landata initiatives. </w:t>
            </w:r>
          </w:p>
        </w:tc>
      </w:tr>
      <w:tr w:rsidR="00E25CC6" w:rsidRPr="00F10DD9" w:rsidTr="00F10DD9">
        <w:trPr>
          <w:cantSplit/>
        </w:trPr>
        <w:tc>
          <w:tcPr>
            <w:tcW w:w="7767" w:type="dxa"/>
            <w:gridSpan w:val="6"/>
            <w:tcBorders>
              <w:top w:val="single" w:sz="6"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Management of Forests, Parks and Public Land</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Text"/>
              <w:rPr>
                <w:rFonts w:eastAsiaTheme="minorEastAsia"/>
                <w:lang w:eastAsia="en-AU"/>
              </w:rPr>
            </w:pPr>
            <w:r w:rsidRPr="00F10DD9">
              <w:rPr>
                <w:rFonts w:eastAsiaTheme="minorEastAsia"/>
                <w:lang w:eastAsia="en-AU"/>
              </w:rPr>
              <w:t>This output provides for the improved stewardship of Victoria</w:t>
            </w:r>
            <w:r>
              <w:rPr>
                <w:rFonts w:eastAsiaTheme="minorEastAsia"/>
                <w:lang w:eastAsia="en-AU"/>
              </w:rPr>
              <w:t>’</w:t>
            </w:r>
            <w:r w:rsidRPr="00F10DD9">
              <w:rPr>
                <w:rFonts w:eastAsiaTheme="minorEastAsia"/>
                <w:lang w:eastAsia="en-AU"/>
              </w:rPr>
              <w:t xml:space="preserve">s public land estate including forests, parks, coasts and Crown land reserves. Through this output, the Department manages the development and protection of natural, cultural and community assets for the enjoyment and sustainable use by all Victorians. The Department works to ensure natural, built and historic assets are managed responsibly, and incorporates management of public land in partnership with statutory agencies, committees and local government.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Crown land leases directly managed by the Department</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684</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699</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684</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687</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Crown land licenses directly managed by the Department</w:t>
            </w:r>
          </w:p>
        </w:tc>
        <w:tc>
          <w:tcPr>
            <w:tcW w:w="908" w:type="dxa"/>
            <w:tcBorders>
              <w:top w:val="single" w:sz="6" w:space="0" w:color="auto"/>
              <w:left w:val="nil"/>
              <w:bottom w:val="single" w:sz="6" w:space="0" w:color="auto"/>
              <w:right w:val="nil"/>
            </w:tcBorders>
          </w:tcPr>
          <w:p w:rsidR="00E25CC6" w:rsidRPr="00F10DD9" w:rsidRDefault="00E25CC6" w:rsidP="00A9188B">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w:t>
            </w:r>
            <w:r>
              <w:rPr>
                <w:rFonts w:ascii="Calibri" w:eastAsiaTheme="minorEastAsia" w:hAnsi="Calibri" w:cs="Calibri"/>
                <w:color w:val="000000"/>
                <w:sz w:val="19"/>
                <w:szCs w:val="22"/>
                <w:lang w:eastAsia="en-AU"/>
              </w:rPr>
              <w:t>000</w:t>
            </w:r>
            <w:r w:rsidRPr="00F10DD9">
              <w:rPr>
                <w:rFonts w:ascii="Calibri" w:eastAsiaTheme="minorEastAsia" w:hAnsi="Calibri" w:cs="Calibri"/>
                <w:color w:val="000000"/>
                <w:sz w:val="19"/>
                <w:szCs w:val="22"/>
                <w:lang w:eastAsia="en-AU"/>
              </w:rPr>
              <w: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43</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44</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43</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44</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Maps generated on Land Channel</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(million)</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17.5</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16.5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14.0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15.8</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increased demand for maps. </w:t>
            </w:r>
          </w:p>
          <w:p w:rsidR="00E25CC6" w:rsidRPr="00F10DD9" w:rsidRDefault="00E25CC6" w:rsidP="00F10DD9">
            <w:pPr>
              <w:pStyle w:val="OGNotes"/>
              <w:rPr>
                <w:rFonts w:eastAsiaTheme="minorEastAsia"/>
              </w:rPr>
            </w:pPr>
            <w:r w:rsidRPr="00F10DD9">
              <w:rPr>
                <w:rFonts w:eastAsiaTheme="minorEastAsia"/>
              </w:rPr>
              <w:t xml:space="preserve">The </w:t>
            </w:r>
            <w:r>
              <w:rPr>
                <w:rFonts w:eastAsiaTheme="minorEastAsia"/>
              </w:rPr>
              <w:t xml:space="preserve">higher </w:t>
            </w:r>
            <w:r w:rsidRPr="00F10DD9">
              <w:rPr>
                <w:rFonts w:eastAsiaTheme="minorEastAsia"/>
              </w:rPr>
              <w:t>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this increased demand. </w:t>
            </w:r>
          </w:p>
          <w:p w:rsidR="00E25CC6" w:rsidRPr="00F10DD9" w:rsidRDefault="00E25CC6" w:rsidP="00B365A1">
            <w:pPr>
              <w:pStyle w:val="OGNotes"/>
              <w:rPr>
                <w:rFonts w:eastAsiaTheme="minorEastAsia"/>
              </w:rPr>
            </w:pPr>
            <w:r w:rsidRPr="00F10DD9">
              <w:rPr>
                <w:rFonts w:eastAsiaTheme="minorEastAsia"/>
              </w:rPr>
              <w:t xml:space="preserve">Note the data published as part of the </w:t>
            </w:r>
            <w:r w:rsidRPr="00B365A1">
              <w:rPr>
                <w:rFonts w:eastAsiaTheme="minorEastAsia"/>
                <w:i w:val="0"/>
              </w:rPr>
              <w:t>2015</w:t>
            </w:r>
            <w:r w:rsidRPr="00B365A1">
              <w:rPr>
                <w:rFonts w:eastAsiaTheme="minorEastAsia"/>
                <w:i w:val="0"/>
              </w:rPr>
              <w:noBreakHyphen/>
              <w:t>16 Budget</w:t>
            </w:r>
            <w:r w:rsidRPr="00F10DD9">
              <w:rPr>
                <w:rFonts w:eastAsiaTheme="minorEastAsia"/>
              </w:rPr>
              <w:t xml:space="preserve"> was reported with the incorrect unit of measure. The unit of measure and performance data has been corrected for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including historical data.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Activities undertaken by Coastcare Victoria participants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Number of activities undertaken by Coastcare Victoria participants</w:t>
            </w:r>
            <w:r>
              <w:rPr>
                <w:rFonts w:eastAsiaTheme="minorEastAsia"/>
              </w:rPr>
              <w:t>’</w:t>
            </w:r>
            <w:r w:rsidRPr="00F10DD9">
              <w:rPr>
                <w:rFonts w:eastAsiaTheme="minorEastAsia"/>
              </w:rPr>
              <w:t>. The new measure reports on the same activity as the previous measure, however has been amended for increased clarity.</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Area treated to minimise the impact of pest plants, pest animals and over abundant native animals in parks managed by Parks Victoria</w:t>
            </w:r>
          </w:p>
        </w:tc>
        <w:tc>
          <w:tcPr>
            <w:tcW w:w="908" w:type="dxa"/>
            <w:tcBorders>
              <w:top w:val="nil"/>
              <w:left w:val="nil"/>
              <w:bottom w:val="nil"/>
              <w:right w:val="nil"/>
            </w:tcBorders>
          </w:tcPr>
          <w:p w:rsidR="00E25CC6" w:rsidRPr="00F10DD9" w:rsidRDefault="00E25CC6" w:rsidP="00A9188B">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hectares (</w:t>
            </w:r>
            <w:r>
              <w:rPr>
                <w:rFonts w:ascii="Calibri" w:eastAsiaTheme="minorEastAsia" w:hAnsi="Calibri" w:cs="Calibri"/>
                <w:color w:val="000000"/>
                <w:sz w:val="19"/>
                <w:szCs w:val="22"/>
                <w:lang w:eastAsia="en-AU"/>
              </w:rPr>
              <w:t>000</w:t>
            </w:r>
            <w:r w:rsidRPr="00F10DD9">
              <w:rPr>
                <w:rFonts w:ascii="Calibri" w:eastAsiaTheme="minorEastAsia" w:hAnsi="Calibri" w:cs="Calibri"/>
                <w:color w:val="000000"/>
                <w:sz w:val="19"/>
                <w:szCs w:val="22"/>
                <w:lang w:eastAsia="en-AU"/>
              </w:rPr>
              <w: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1 700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Number of hectares treated to minimise the impact of pest plants, pest animals and over abundant native animals in parks managed by Parks Victoria</w:t>
            </w:r>
            <w:r>
              <w:rPr>
                <w:rFonts w:eastAsiaTheme="minorEastAsia"/>
              </w:rPr>
              <w:t>’</w:t>
            </w:r>
            <w:r w:rsidRPr="00F10DD9">
              <w:rPr>
                <w:rFonts w:eastAsiaTheme="minorEastAsia"/>
              </w:rPr>
              <w:t>. The new measure reports on the same activity as the previous measure, however has been amended for increased clarity.</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Visitors to the Royal Botanic Gardens in Melbourne and Cranbourne</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(million)</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1.6</w:t>
            </w:r>
            <w:r>
              <w:rPr>
                <w:rFonts w:ascii="Calibri" w:eastAsiaTheme="minorEastAsia" w:hAnsi="Calibri" w:cs="Calibri"/>
                <w:color w:val="000000"/>
                <w:sz w:val="19"/>
                <w:szCs w:val="22"/>
                <w:lang w:eastAsia="en-AU"/>
              </w:rPr>
              <w:noBreakHyphen/>
            </w:r>
            <w:r w:rsidRPr="00F10DD9">
              <w:rPr>
                <w:rFonts w:ascii="Calibri" w:eastAsiaTheme="minorEastAsia" w:hAnsi="Calibri" w:cs="Calibri"/>
                <w:color w:val="000000"/>
                <w:sz w:val="19"/>
                <w:szCs w:val="22"/>
                <w:lang w:eastAsia="en-AU"/>
              </w:rPr>
              <w:t>2</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1.6</w:t>
            </w:r>
            <w:r>
              <w:rPr>
                <w:rFonts w:ascii="Calibri" w:eastAsiaTheme="minorEastAsia" w:hAnsi="Calibri" w:cs="Calibri"/>
                <w:color w:val="000000"/>
                <w:sz w:val="19"/>
                <w:szCs w:val="22"/>
                <w:lang w:eastAsia="en-AU"/>
              </w:rPr>
              <w:noBreakHyphen/>
            </w:r>
            <w:r w:rsidRPr="00F10DD9">
              <w:rPr>
                <w:rFonts w:ascii="Calibri" w:eastAsiaTheme="minorEastAsia" w:hAnsi="Calibri" w:cs="Calibri"/>
                <w:color w:val="000000"/>
                <w:sz w:val="19"/>
                <w:szCs w:val="22"/>
                <w:lang w:eastAsia="en-AU"/>
              </w:rPr>
              <w:t>2</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1.6</w:t>
            </w:r>
            <w:r>
              <w:rPr>
                <w:rFonts w:ascii="Calibri" w:eastAsiaTheme="minorEastAsia" w:hAnsi="Calibri" w:cs="Calibri"/>
                <w:color w:val="000000"/>
                <w:sz w:val="19"/>
                <w:szCs w:val="22"/>
                <w:lang w:eastAsia="en-AU"/>
              </w:rPr>
              <w:noBreakHyphen/>
            </w:r>
            <w:r w:rsidRPr="00F10DD9">
              <w:rPr>
                <w:rFonts w:ascii="Calibri" w:eastAsiaTheme="minorEastAsia" w:hAnsi="Calibri" w:cs="Calibri"/>
                <w:color w:val="000000"/>
                <w:sz w:val="19"/>
                <w:szCs w:val="22"/>
                <w:lang w:eastAsia="en-AU"/>
              </w:rPr>
              <w:t>2</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Number of visitors to the Royal Botanic Gardens in Melbourne and Cranbourne</w:t>
            </w:r>
            <w:r>
              <w:rPr>
                <w:rFonts w:eastAsiaTheme="minorEastAsia"/>
              </w:rPr>
              <w:t>’</w:t>
            </w:r>
            <w:r w:rsidRPr="00F10DD9">
              <w:rPr>
                <w:rFonts w:eastAsiaTheme="minorEastAsia"/>
              </w:rPr>
              <w:t>. The new measure reports on the same activity as the previous measure, however has been amended for increased clarity.</w:t>
            </w:r>
          </w:p>
        </w:tc>
      </w:tr>
      <w:tr w:rsidR="00E25CC6" w:rsidRPr="00F10DD9" w:rsidTr="00F10DD9">
        <w:trPr>
          <w:cantSplit/>
        </w:trPr>
        <w:tc>
          <w:tcPr>
            <w:tcW w:w="3146" w:type="dxa"/>
            <w:tcBorders>
              <w:top w:val="nil"/>
              <w:left w:val="nil"/>
              <w:bottom w:val="nil"/>
              <w:right w:val="nil"/>
            </w:tcBorders>
          </w:tcPr>
          <w:p w:rsidR="00E25CC6" w:rsidRPr="00F10DD9" w:rsidRDefault="00E25CC6" w:rsidP="00B365A1">
            <w:pPr>
              <w:pStyle w:val="OGTabText"/>
              <w:keepNext/>
              <w:rPr>
                <w:rFonts w:eastAsiaTheme="minorEastAsia"/>
                <w:lang w:eastAsia="en-AU"/>
              </w:rPr>
            </w:pPr>
            <w:r w:rsidRPr="00F10DD9">
              <w:rPr>
                <w:rFonts w:eastAsiaTheme="minorEastAsia"/>
                <w:lang w:eastAsia="en-AU"/>
              </w:rPr>
              <w:t>Visits to Parks Victoria managed estate</w:t>
            </w:r>
          </w:p>
        </w:tc>
        <w:tc>
          <w:tcPr>
            <w:tcW w:w="908" w:type="dxa"/>
            <w:tcBorders>
              <w:top w:val="nil"/>
              <w:left w:val="nil"/>
              <w:bottom w:val="nil"/>
              <w:right w:val="nil"/>
            </w:tcBorders>
          </w:tcPr>
          <w:p w:rsidR="00E25CC6" w:rsidRPr="00F10DD9" w:rsidRDefault="00E25CC6" w:rsidP="00B365A1">
            <w:pPr>
              <w:keepNext/>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(million)</w:t>
            </w:r>
          </w:p>
        </w:tc>
        <w:tc>
          <w:tcPr>
            <w:tcW w:w="907" w:type="dxa"/>
            <w:tcBorders>
              <w:top w:val="nil"/>
              <w:left w:val="nil"/>
              <w:bottom w:val="nil"/>
              <w:right w:val="nil"/>
            </w:tcBorders>
            <w:shd w:val="clear" w:color="auto" w:fill="DCDCDC"/>
          </w:tcPr>
          <w:p w:rsidR="00E25CC6" w:rsidRPr="00F10DD9" w:rsidRDefault="00E25CC6" w:rsidP="00B365A1">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93</w:t>
            </w:r>
            <w:r>
              <w:rPr>
                <w:rFonts w:ascii="Calibri" w:eastAsiaTheme="minorEastAsia" w:hAnsi="Calibri" w:cs="Calibri"/>
                <w:color w:val="000000"/>
                <w:sz w:val="19"/>
                <w:szCs w:val="22"/>
                <w:lang w:eastAsia="en-AU"/>
              </w:rPr>
              <w:noBreakHyphen/>
            </w:r>
            <w:r w:rsidRPr="00F10DD9">
              <w:rPr>
                <w:rFonts w:ascii="Calibri" w:eastAsiaTheme="minorEastAsia" w:hAnsi="Calibri" w:cs="Calibri"/>
                <w:color w:val="000000"/>
                <w:sz w:val="19"/>
                <w:szCs w:val="22"/>
                <w:lang w:eastAsia="en-AU"/>
              </w:rPr>
              <w:t>97</w:t>
            </w:r>
          </w:p>
        </w:tc>
        <w:tc>
          <w:tcPr>
            <w:tcW w:w="992" w:type="dxa"/>
            <w:tcBorders>
              <w:top w:val="nil"/>
              <w:left w:val="nil"/>
              <w:bottom w:val="nil"/>
              <w:right w:val="nil"/>
            </w:tcBorders>
          </w:tcPr>
          <w:p w:rsidR="00E25CC6" w:rsidRPr="00F10DD9" w:rsidRDefault="00E25CC6" w:rsidP="00B365A1">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98.5</w:t>
            </w:r>
          </w:p>
        </w:tc>
        <w:tc>
          <w:tcPr>
            <w:tcW w:w="907" w:type="dxa"/>
            <w:tcBorders>
              <w:top w:val="nil"/>
              <w:left w:val="nil"/>
              <w:bottom w:val="nil"/>
              <w:right w:val="nil"/>
            </w:tcBorders>
          </w:tcPr>
          <w:p w:rsidR="00E25CC6" w:rsidRPr="00F10DD9" w:rsidRDefault="00E25CC6" w:rsidP="00B365A1">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93</w:t>
            </w:r>
            <w:r>
              <w:rPr>
                <w:rFonts w:ascii="Calibri" w:eastAsiaTheme="minorEastAsia" w:hAnsi="Calibri" w:cs="Calibri"/>
                <w:color w:val="000000"/>
                <w:sz w:val="19"/>
                <w:szCs w:val="22"/>
                <w:lang w:eastAsia="en-AU"/>
              </w:rPr>
              <w:noBreakHyphen/>
            </w:r>
            <w:r w:rsidRPr="00F10DD9">
              <w:rPr>
                <w:rFonts w:ascii="Calibri" w:eastAsiaTheme="minorEastAsia" w:hAnsi="Calibri" w:cs="Calibri"/>
                <w:color w:val="000000"/>
                <w:sz w:val="19"/>
                <w:szCs w:val="22"/>
                <w:lang w:eastAsia="en-AU"/>
              </w:rPr>
              <w:t>97</w:t>
            </w:r>
          </w:p>
        </w:tc>
        <w:tc>
          <w:tcPr>
            <w:tcW w:w="907" w:type="dxa"/>
            <w:tcBorders>
              <w:top w:val="nil"/>
              <w:left w:val="nil"/>
              <w:bottom w:val="nil"/>
              <w:right w:val="nil"/>
            </w:tcBorders>
          </w:tcPr>
          <w:p w:rsidR="00E25CC6" w:rsidRPr="00F10DD9" w:rsidRDefault="00E25CC6" w:rsidP="00B365A1">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98.5</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Number of visits to Parks Victoria managed estate</w:t>
            </w:r>
            <w:r>
              <w:rPr>
                <w:rFonts w:eastAsiaTheme="minorEastAsia"/>
              </w:rPr>
              <w:t>’</w:t>
            </w:r>
            <w:r w:rsidRPr="00F10DD9">
              <w:rPr>
                <w:rFonts w:eastAsiaTheme="minorEastAsia"/>
              </w:rPr>
              <w:t>. The new measure reports on the same activity as the previous measure, however has been amended for increased clarity.</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Reports generated on Land Channel</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(million)</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3.9</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3.9</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3.29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lower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lower than expected demand for reports.</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Specimens curated in the State Botanical Collection</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12 100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is proposed to replace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Threatened native species and communities for which specifically targeted conservation measures are in place at Royal Botanic Gardens</w:t>
            </w:r>
            <w:r>
              <w:rPr>
                <w:rFonts w:eastAsiaTheme="minorEastAsia"/>
              </w:rPr>
              <w:t>’</w:t>
            </w:r>
            <w:r w:rsidRPr="00F10DD9">
              <w:rPr>
                <w:rFonts w:eastAsiaTheme="minorEastAsia"/>
              </w:rPr>
              <w:t>. The new measure provides information on the internationally significant State Botanical Collection.</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Total area of estate managed by Parks Victoria</w:t>
            </w:r>
          </w:p>
        </w:tc>
        <w:tc>
          <w:tcPr>
            <w:tcW w:w="908" w:type="dxa"/>
            <w:tcBorders>
              <w:top w:val="nil"/>
              <w:left w:val="nil"/>
              <w:bottom w:val="nil"/>
              <w:right w:val="nil"/>
            </w:tcBorders>
          </w:tcPr>
          <w:p w:rsidR="00E25CC6" w:rsidRPr="00F10DD9" w:rsidRDefault="00E25CC6" w:rsidP="00A9188B">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hectares (</w:t>
            </w:r>
            <w:r>
              <w:rPr>
                <w:rFonts w:ascii="Calibri" w:eastAsiaTheme="minorEastAsia" w:hAnsi="Calibri" w:cs="Calibri"/>
                <w:color w:val="000000"/>
                <w:sz w:val="19"/>
                <w:szCs w:val="22"/>
                <w:lang w:eastAsia="en-AU"/>
              </w:rPr>
              <w:t>000</w:t>
            </w:r>
            <w:r w:rsidRPr="00F10DD9">
              <w:rPr>
                <w:rFonts w:ascii="Calibri" w:eastAsiaTheme="minorEastAsia" w:hAnsi="Calibri" w:cs="Calibri"/>
                <w:color w:val="000000"/>
                <w:sz w:val="19"/>
                <w:szCs w:val="22"/>
                <w:lang w:eastAsia="en-AU"/>
              </w:rPr>
              <w: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4 104</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4 104</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4 106</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4 106</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lower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the transfer of land from the Parks Victoria managed estate.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 xml:space="preserve">Visitors to Zoos Victoria at Melbourne, Werribee and Healesville </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 (million)</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2.49</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2.39</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1.95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2.29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an increase in Zoos Victoria memberships and repeat visitations. </w:t>
            </w:r>
          </w:p>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this increase.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Audited Vicmap digital map base not requiring correction</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97</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improved performance. </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 xml:space="preserve">Foreshore protection assets around Port Phillip and Western Port Bays rated as </w:t>
            </w:r>
            <w:r>
              <w:rPr>
                <w:rFonts w:eastAsiaTheme="minorEastAsia"/>
                <w:lang w:eastAsia="en-AU"/>
              </w:rPr>
              <w:t>‘</w:t>
            </w:r>
            <w:r w:rsidRPr="00F10DD9">
              <w:rPr>
                <w:rFonts w:eastAsiaTheme="minorEastAsia"/>
                <w:lang w:eastAsia="en-AU"/>
              </w:rPr>
              <w:t>good</w:t>
            </w:r>
            <w:r>
              <w:rPr>
                <w:rFonts w:eastAsiaTheme="minorEastAsia"/>
                <w:lang w:eastAsia="en-AU"/>
              </w:rPr>
              <w:t>’</w:t>
            </w:r>
            <w:r w:rsidRPr="00F10DD9">
              <w:rPr>
                <w:rFonts w:eastAsiaTheme="minorEastAsia"/>
                <w:lang w:eastAsia="en-AU"/>
              </w:rPr>
              <w:t xml:space="preserve"> to </w:t>
            </w:r>
            <w:r>
              <w:rPr>
                <w:rFonts w:eastAsiaTheme="minorEastAsia"/>
                <w:lang w:eastAsia="en-AU"/>
              </w:rPr>
              <w:t>‘</w:t>
            </w:r>
            <w:r w:rsidRPr="00F10DD9">
              <w:rPr>
                <w:rFonts w:eastAsiaTheme="minorEastAsia"/>
                <w:lang w:eastAsia="en-AU"/>
              </w:rPr>
              <w:t>very good</w:t>
            </w:r>
            <w:r>
              <w:rPr>
                <w:rFonts w:eastAsiaTheme="minorEastAsia"/>
                <w:lang w:eastAsia="en-AU"/>
              </w:rPr>
              <w:t>’</w:t>
            </w:r>
            <w:r w:rsidRPr="00F10DD9">
              <w:rPr>
                <w:rFonts w:eastAsiaTheme="minorEastAsia"/>
                <w:lang w:eastAsia="en-AU"/>
              </w:rPr>
              <w:t xml:space="preserve"> condition</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55</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Level of compliance with environmental regulatory framework for commercial timber operations as required by the Forest Audit Program</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82</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93</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A9188B">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lower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the introduction of a new risk</w:t>
            </w:r>
            <w:r>
              <w:rPr>
                <w:rFonts w:eastAsiaTheme="minorEastAsia"/>
              </w:rPr>
              <w:noBreakHyphen/>
            </w:r>
            <w:r w:rsidRPr="00F10DD9">
              <w:rPr>
                <w:rFonts w:eastAsiaTheme="minorEastAsia"/>
              </w:rPr>
              <w:t xml:space="preserve">based approach that focuses on key compliance priorities, such as the protection of mandatory exclusion areas from the impacts of timber harvesting and the rehabilitation of waterway crossings. </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Publicly elected Committees of Management that have a current statutory appointment</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91</w:t>
            </w: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pStyle w:val="OGTabText"/>
              <w:keepNext/>
              <w:rPr>
                <w:rFonts w:eastAsiaTheme="minorEastAsia"/>
                <w:lang w:eastAsia="en-AU"/>
              </w:rPr>
            </w:pPr>
            <w:r w:rsidRPr="00F10DD9">
              <w:rPr>
                <w:rFonts w:eastAsiaTheme="minorEastAsia"/>
                <w:lang w:eastAsia="en-AU"/>
              </w:rPr>
              <w:t>Recreational facilities in state forests with a life expectancy greater than five years</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75</w:t>
            </w: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w:t>
            </w: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improvements in facilities and assets replaced following the 2009 bushfires and 2010</w:t>
            </w:r>
            <w:r>
              <w:rPr>
                <w:rFonts w:eastAsiaTheme="minorEastAsia"/>
              </w:rPr>
              <w:noBreakHyphen/>
            </w:r>
            <w:r w:rsidRPr="00F10DD9">
              <w:rPr>
                <w:rFonts w:eastAsiaTheme="minorEastAsia"/>
              </w:rPr>
              <w:t xml:space="preserve">11 and 2012 floods. </w:t>
            </w:r>
          </w:p>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this improvement in facilities and assets.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Significant built bay assets managed by Parks Victoria rated in average to excellent condition</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75</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75</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improvement and maintenance works completed at key sites across the State.</w:t>
            </w:r>
          </w:p>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these works.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Significant built park assets managed by Parks Victoria rated in average to excellent condition</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88</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88</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83</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87</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the addition of new assets across the State. </w:t>
            </w:r>
          </w:p>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these new assets.</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1A1E8B">
            <w:pPr>
              <w:pStyle w:val="OGTabText"/>
              <w:rPr>
                <w:rFonts w:eastAsiaTheme="minorEastAsia"/>
                <w:lang w:eastAsia="en-AU"/>
              </w:rPr>
            </w:pPr>
            <w:r w:rsidRPr="00F10DD9">
              <w:rPr>
                <w:rFonts w:eastAsiaTheme="minorEastAsia"/>
                <w:lang w:eastAsia="en-AU"/>
              </w:rPr>
              <w:t>Rent reviews of Department managed Crown land leases undertaken within specified timeframes</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95</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Update transactions for the Vicmap digital map base processed within the required timeframes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98</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99</w:t>
            </w:r>
          </w:p>
        </w:tc>
      </w:tr>
      <w:tr w:rsidR="00E25CC6" w:rsidRPr="00F10DD9" w:rsidTr="00FB77DF">
        <w:trPr>
          <w:cantSplit/>
        </w:trPr>
        <w:tc>
          <w:tcPr>
            <w:tcW w:w="3146" w:type="dxa"/>
            <w:tcBorders>
              <w:top w:val="nil"/>
              <w:left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B3516B">
        <w:trPr>
          <w:cantSplit/>
        </w:trPr>
        <w:tc>
          <w:tcPr>
            <w:tcW w:w="3146" w:type="dxa"/>
            <w:tcBorders>
              <w:top w:val="nil"/>
              <w:left w:val="nil"/>
              <w:bottom w:val="nil"/>
              <w:right w:val="nil"/>
            </w:tcBorders>
          </w:tcPr>
          <w:p w:rsidR="00E25CC6" w:rsidRPr="00861EFF" w:rsidRDefault="00E25CC6" w:rsidP="00F10DD9">
            <w:pPr>
              <w:pStyle w:val="OGTabText"/>
              <w:rPr>
                <w:rFonts w:eastAsiaTheme="minorEastAsia"/>
                <w:lang w:eastAsia="en-AU"/>
              </w:rPr>
            </w:pPr>
            <w:r w:rsidRPr="00861EFF">
              <w:rPr>
                <w:rFonts w:eastAsiaTheme="minorEastAsia"/>
                <w:lang w:eastAsia="en-AU"/>
              </w:rPr>
              <w:t>Total output cost</w:t>
            </w:r>
          </w:p>
        </w:tc>
        <w:tc>
          <w:tcPr>
            <w:tcW w:w="908" w:type="dxa"/>
            <w:tcBorders>
              <w:top w:val="nil"/>
              <w:left w:val="nil"/>
              <w:bottom w:val="nil"/>
              <w:right w:val="nil"/>
            </w:tcBorders>
          </w:tcPr>
          <w:p w:rsidR="00E25CC6" w:rsidRPr="00861EFF" w:rsidRDefault="00E25CC6" w:rsidP="00F10DD9">
            <w:pPr>
              <w:autoSpaceDE w:val="0"/>
              <w:autoSpaceDN w:val="0"/>
              <w:adjustRightInd w:val="0"/>
              <w:spacing w:after="0"/>
              <w:jc w:val="center"/>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321.8</w:t>
            </w:r>
          </w:p>
        </w:tc>
        <w:tc>
          <w:tcPr>
            <w:tcW w:w="992"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319.6</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304.2</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298.9</w:t>
            </w:r>
          </w:p>
        </w:tc>
      </w:tr>
      <w:tr w:rsidR="00E25CC6" w:rsidRPr="00F10DD9" w:rsidTr="00B365A1">
        <w:trPr>
          <w:cantSplit/>
        </w:trPr>
        <w:tc>
          <w:tcPr>
            <w:tcW w:w="7767" w:type="dxa"/>
            <w:gridSpan w:val="6"/>
            <w:tcBorders>
              <w:top w:val="nil"/>
              <w:left w:val="nil"/>
              <w:bottom w:val="single" w:sz="12" w:space="0" w:color="auto"/>
              <w:right w:val="nil"/>
            </w:tcBorders>
          </w:tcPr>
          <w:p w:rsidR="00E25CC6" w:rsidRPr="00861EFF" w:rsidRDefault="00E25CC6" w:rsidP="001C7122">
            <w:pPr>
              <w:pStyle w:val="OGNotes"/>
              <w:rPr>
                <w:rFonts w:eastAsiaTheme="minorEastAsia"/>
              </w:rPr>
            </w:pPr>
            <w:r w:rsidRPr="00861EFF">
              <w:rPr>
                <w:rFonts w:eastAsiaTheme="minorEastAsia"/>
              </w:rPr>
              <w:t>The 2015</w:t>
            </w:r>
            <w:r w:rsidRPr="00861EFF">
              <w:rPr>
                <w:rFonts w:eastAsiaTheme="minorEastAsia"/>
              </w:rPr>
              <w:noBreakHyphen/>
              <w:t>16 expected outcome is higher than the 2015</w:t>
            </w:r>
            <w:r w:rsidRPr="00861EFF">
              <w:rPr>
                <w:rFonts w:eastAsiaTheme="minorEastAsia"/>
              </w:rPr>
              <w:noBreakHyphen/>
              <w:t xml:space="preserve">16 target primarily due to funding provided from the Parks and Reserves Trust Account for a number of environmental programs. </w:t>
            </w:r>
          </w:p>
          <w:p w:rsidR="00E25CC6" w:rsidRPr="00861EFF" w:rsidRDefault="00E25CC6" w:rsidP="008F41A9">
            <w:pPr>
              <w:pStyle w:val="OGNotes"/>
              <w:rPr>
                <w:rFonts w:eastAsiaTheme="minorEastAsia"/>
              </w:rPr>
            </w:pPr>
            <w:r w:rsidRPr="00861EFF">
              <w:rPr>
                <w:rFonts w:eastAsiaTheme="minorEastAsia"/>
              </w:rPr>
              <w:t>The higher 2016</w:t>
            </w:r>
            <w:r w:rsidRPr="00861EFF">
              <w:rPr>
                <w:rFonts w:eastAsiaTheme="minorEastAsia"/>
              </w:rPr>
              <w:noBreakHyphen/>
              <w:t xml:space="preserve">17 target reflects </w:t>
            </w:r>
            <w:r w:rsidRPr="00861EFF">
              <w:rPr>
                <w:rFonts w:eastAsiaTheme="minorEastAsia" w:cs="Calibri"/>
                <w:szCs w:val="22"/>
              </w:rPr>
              <w:t xml:space="preserve">initiatives funded as part of the </w:t>
            </w:r>
            <w:r w:rsidRPr="00861EFF">
              <w:rPr>
                <w:rFonts w:eastAsiaTheme="minorEastAsia" w:cs="Calibri"/>
                <w:i w:val="0"/>
                <w:szCs w:val="22"/>
              </w:rPr>
              <w:t>2016</w:t>
            </w:r>
            <w:r w:rsidRPr="00861EFF">
              <w:rPr>
                <w:rFonts w:eastAsiaTheme="minorEastAsia"/>
                <w:i w:val="0"/>
              </w:rPr>
              <w:noBreakHyphen/>
            </w:r>
            <w:r w:rsidRPr="00861EFF">
              <w:rPr>
                <w:rFonts w:eastAsiaTheme="minorEastAsia" w:cs="Calibri"/>
                <w:i w:val="0"/>
                <w:szCs w:val="22"/>
              </w:rPr>
              <w:t>17 Budget</w:t>
            </w:r>
            <w:r w:rsidRPr="00861EFF">
              <w:rPr>
                <w:rFonts w:eastAsiaTheme="minorEastAsia" w:cs="Calibri"/>
                <w:szCs w:val="22"/>
              </w:rPr>
              <w:t xml:space="preserve"> and additional payments from the Parks and Reserves Trust Account. </w:t>
            </w:r>
          </w:p>
        </w:tc>
      </w:tr>
    </w:tbl>
    <w:p w:rsidR="00E25CC6" w:rsidRDefault="00E25CC6" w:rsidP="00FB77DF">
      <w:pPr>
        <w:pStyle w:val="Source"/>
        <w:rPr>
          <w:rFonts w:eastAsiaTheme="minorHAnsi"/>
        </w:rPr>
      </w:pPr>
      <w:r>
        <w:rPr>
          <w:rFonts w:eastAsiaTheme="minorHAnsi"/>
        </w:rPr>
        <w:t>Source: Department of Environment, Land, Water and Planning</w:t>
      </w:r>
      <w:bookmarkEnd w:id="69"/>
      <w:r>
        <w:rPr>
          <w:rFonts w:eastAsiaTheme="minorHAnsi"/>
        </w:rPr>
        <w:t xml:space="preserve"> </w:t>
      </w:r>
      <w:r>
        <w:rPr>
          <w:rFonts w:eastAsiaTheme="minorHAnsi"/>
        </w:rPr>
        <w:fldChar w:fldCharType="begin"/>
      </w:r>
      <w:r>
        <w:instrText xml:space="preserve"> XE "</w:instrText>
      </w:r>
      <w:r w:rsidRPr="008A16B4">
        <w:instrText>Department of Environment, Land, Water and Planning:Productive and Effective Land Management</w:instrText>
      </w:r>
      <w:r>
        <w:instrText xml:space="preserve">" \r "DELWP_ProducLandMgmnt" </w:instrText>
      </w:r>
      <w:r>
        <w:rPr>
          <w:rFonts w:eastAsiaTheme="minorHAnsi"/>
        </w:rPr>
        <w:fldChar w:fldCharType="end"/>
      </w:r>
    </w:p>
    <w:p w:rsidR="00E25CC6" w:rsidRDefault="00E25CC6" w:rsidP="00C6550F">
      <w:pPr>
        <w:rPr>
          <w:rFonts w:ascii="Calibri" w:eastAsiaTheme="minorHAnsi" w:hAnsi="Calibri"/>
          <w:sz w:val="32"/>
          <w:szCs w:val="28"/>
        </w:rPr>
      </w:pPr>
      <w:r>
        <w:rPr>
          <w:rFonts w:eastAsiaTheme="minorHAnsi"/>
        </w:rPr>
        <w:br w:type="page"/>
      </w:r>
    </w:p>
    <w:p w:rsidR="00E25CC6" w:rsidRPr="00D777BC" w:rsidRDefault="00E25CC6" w:rsidP="00C6550F">
      <w:pPr>
        <w:pStyle w:val="OGHeading1"/>
        <w:rPr>
          <w:rFonts w:eastAsiaTheme="minorHAnsi"/>
        </w:rPr>
      </w:pPr>
      <w:r w:rsidRPr="00D777BC">
        <w:rPr>
          <w:rFonts w:eastAsiaTheme="minorHAnsi"/>
        </w:rPr>
        <w:t xml:space="preserve">Safe and sustainable water resources </w:t>
      </w:r>
    </w:p>
    <w:p w:rsidR="00E25CC6" w:rsidRPr="00D777BC" w:rsidRDefault="00E25CC6" w:rsidP="00C6550F">
      <w:pPr>
        <w:pStyle w:val="OGText"/>
        <w:rPr>
          <w:rFonts w:eastAsiaTheme="minorHAnsi"/>
        </w:rPr>
      </w:pPr>
      <w:bookmarkStart w:id="70" w:name="DELWP_SafeSustainWater"/>
      <w:r w:rsidRPr="00D777BC">
        <w:rPr>
          <w:rFonts w:eastAsiaTheme="minorHAnsi"/>
        </w:rPr>
        <w:t xml:space="preserve">This objective increases the efficiency of supply and use of water in cities and towns and improves environmental conditions of waterways to ensure Victoria has safe and sustainable water resources to meet future urban, rural and environmental needs. </w:t>
      </w:r>
    </w:p>
    <w:p w:rsidR="00E25CC6" w:rsidRPr="00C6550F" w:rsidRDefault="00E25CC6" w:rsidP="00C6550F">
      <w:pPr>
        <w:pStyle w:val="OGText"/>
        <w:rPr>
          <w:rFonts w:eastAsiaTheme="minorHAnsi"/>
        </w:rPr>
      </w:pPr>
      <w:r w:rsidRPr="00D777BC">
        <w:rPr>
          <w:rFonts w:eastAsiaTheme="minorHAnsi"/>
        </w:rPr>
        <w:t>The Department works in partnership with water corporations, catchment management authorities, government agencies, industry and the community to balance the economic, environmental and social values of water. This helps to deliver secure water supplies, greener and liveable cities and towns</w:t>
      </w:r>
      <w:r>
        <w:rPr>
          <w:rFonts w:eastAsiaTheme="minorHAnsi"/>
        </w:rPr>
        <w:t>,</w:t>
      </w:r>
      <w:r w:rsidRPr="00D777BC">
        <w:rPr>
          <w:rFonts w:eastAsiaTheme="minorHAnsi"/>
        </w:rPr>
        <w:t xml:space="preserve"> and healthy waterways and aquifers. </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8"/>
        <w:gridCol w:w="907"/>
        <w:gridCol w:w="992"/>
        <w:gridCol w:w="907"/>
        <w:gridCol w:w="907"/>
      </w:tblGrid>
      <w:tr w:rsidR="00E25CC6" w:rsidRPr="00F10DD9" w:rsidTr="0092490D">
        <w:trPr>
          <w:cantSplit/>
          <w:tblHeader/>
        </w:trPr>
        <w:tc>
          <w:tcPr>
            <w:tcW w:w="3146"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b/>
                <w:bCs/>
                <w:color w:val="FFFFFF"/>
                <w:sz w:val="19"/>
                <w:szCs w:val="22"/>
                <w:lang w:eastAsia="en-AU"/>
              </w:rPr>
              <w:t>Major outputs/deliverables</w:t>
            </w:r>
          </w:p>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Performance measures</w:t>
            </w:r>
          </w:p>
        </w:tc>
        <w:tc>
          <w:tcPr>
            <w:tcW w:w="908"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center"/>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target</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15 actual</w:t>
            </w:r>
          </w:p>
        </w:tc>
      </w:tr>
      <w:tr w:rsidR="00E25CC6" w:rsidRPr="00F10DD9" w:rsidTr="00F10DD9">
        <w:trPr>
          <w:cantSplit/>
        </w:trPr>
        <w:tc>
          <w:tcPr>
            <w:tcW w:w="7767" w:type="dxa"/>
            <w:gridSpan w:val="6"/>
            <w:tcBorders>
              <w:top w:val="single" w:sz="6"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Effective Water Management and Supply</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A9188B">
            <w:pPr>
              <w:pStyle w:val="OGText"/>
              <w:rPr>
                <w:rFonts w:eastAsiaTheme="minorEastAsia"/>
                <w:lang w:eastAsia="en-AU"/>
              </w:rPr>
            </w:pPr>
            <w:r w:rsidRPr="00F10DD9">
              <w:rPr>
                <w:rFonts w:eastAsiaTheme="minorEastAsia"/>
                <w:lang w:eastAsia="en-AU"/>
              </w:rPr>
              <w:t>This output develops policies, provides strategic advice and oversees regulatory systems and institutional arrangements to effectively manage Victoria</w:t>
            </w:r>
            <w:r>
              <w:rPr>
                <w:rFonts w:eastAsiaTheme="minorEastAsia"/>
                <w:lang w:eastAsia="en-AU"/>
              </w:rPr>
              <w:t>’</w:t>
            </w:r>
            <w:r w:rsidRPr="00F10DD9">
              <w:rPr>
                <w:rFonts w:eastAsiaTheme="minorEastAsia"/>
                <w:lang w:eastAsia="en-AU"/>
              </w:rPr>
              <w:t>s water resources. Through this output</w:t>
            </w:r>
            <w:r>
              <w:rPr>
                <w:rFonts w:eastAsiaTheme="minorEastAsia"/>
                <w:lang w:eastAsia="en-AU"/>
              </w:rPr>
              <w:t>,</w:t>
            </w:r>
            <w:r w:rsidRPr="00F10DD9">
              <w:rPr>
                <w:rFonts w:eastAsiaTheme="minorEastAsia"/>
                <w:lang w:eastAsia="en-AU"/>
              </w:rPr>
              <w:t xml:space="preserve"> the Department delivers on</w:t>
            </w:r>
            <w:r>
              <w:rPr>
                <w:rFonts w:eastAsiaTheme="minorEastAsia"/>
                <w:lang w:eastAsia="en-AU"/>
              </w:rPr>
              <w:noBreakHyphen/>
            </w:r>
            <w:r w:rsidRPr="00F10DD9">
              <w:rPr>
                <w:rFonts w:eastAsiaTheme="minorEastAsia"/>
                <w:lang w:eastAsia="en-AU"/>
              </w:rPr>
              <w:t>ground environmental programs to improve the health of waterways</w:t>
            </w:r>
            <w:r>
              <w:rPr>
                <w:rFonts w:eastAsiaTheme="minorEastAsia"/>
                <w:lang w:eastAsia="en-AU"/>
              </w:rPr>
              <w:t>,</w:t>
            </w:r>
            <w:r w:rsidRPr="00F10DD9">
              <w:rPr>
                <w:rFonts w:eastAsiaTheme="minorEastAsia"/>
                <w:lang w:eastAsia="en-AU"/>
              </w:rPr>
              <w:t xml:space="preserve"> water industry reform, governance and performance oversight</w:t>
            </w:r>
            <w:r>
              <w:rPr>
                <w:rFonts w:eastAsiaTheme="minorEastAsia"/>
                <w:lang w:eastAsia="en-AU"/>
              </w:rPr>
              <w:t>,</w:t>
            </w:r>
            <w:r w:rsidRPr="00F10DD9">
              <w:rPr>
                <w:rFonts w:eastAsiaTheme="minorEastAsia"/>
                <w:lang w:eastAsia="en-AU"/>
              </w:rPr>
              <w:t xml:space="preserve"> sustainable irrigation programs and makes water resource information accessible to enable informed decision</w:t>
            </w:r>
            <w:r>
              <w:rPr>
                <w:rFonts w:eastAsiaTheme="minorEastAsia"/>
                <w:lang w:eastAsia="en-AU"/>
              </w:rPr>
              <w:noBreakHyphen/>
            </w:r>
            <w:r w:rsidRPr="00F10DD9">
              <w:rPr>
                <w:rFonts w:eastAsiaTheme="minorEastAsia"/>
                <w:lang w:eastAsia="en-AU"/>
              </w:rPr>
              <w:t xml:space="preserve">making.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Area of waterway vegetation works undertaken to improve the health and resilience of waterways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hectares</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8 500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6 000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3 000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5 153</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funding provided in the 2015</w:t>
            </w:r>
            <w:r>
              <w:rPr>
                <w:rFonts w:eastAsiaTheme="minorEastAsia"/>
              </w:rPr>
              <w:noBreakHyphen/>
            </w:r>
            <w:r w:rsidRPr="00F10DD9">
              <w:rPr>
                <w:rFonts w:eastAsiaTheme="minorEastAsia"/>
              </w:rPr>
              <w:t xml:space="preserve">16 Budget for riparian and wetland works. </w:t>
            </w:r>
          </w:p>
          <w:p w:rsidR="00E25CC6" w:rsidRPr="00F10DD9" w:rsidRDefault="00E25CC6" w:rsidP="00F10DD9">
            <w:pPr>
              <w:pStyle w:val="OGNotes"/>
              <w:rPr>
                <w:rFonts w:eastAsiaTheme="minorEastAsia"/>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w:t>
            </w:r>
            <w:r>
              <w:rPr>
                <w:rFonts w:eastAsiaTheme="minorEastAsia"/>
              </w:rPr>
              <w:t>‘</w:t>
            </w:r>
            <w:r w:rsidRPr="00F10DD9">
              <w:rPr>
                <w:rFonts w:eastAsiaTheme="minorEastAsia"/>
              </w:rPr>
              <w:t>Improving the health of waterways in regional Victoria</w:t>
            </w:r>
            <w:r>
              <w:rPr>
                <w:rFonts w:eastAsiaTheme="minorEastAsia"/>
              </w:rPr>
              <w:t>’</w:t>
            </w:r>
            <w:r w:rsidRPr="00F10DD9">
              <w:rPr>
                <w:rFonts w:eastAsiaTheme="minorEastAsia"/>
              </w:rPr>
              <w:t xml:space="preserve"> initiative.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Cumulative water savings (permanent reduction in irrigation distribution system delivery losses) realised through water recovery projects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megalitres</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682 056</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681 056</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749 600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673 856</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lower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delays in implementing the works program for the Goulburn</w:t>
            </w:r>
            <w:r>
              <w:rPr>
                <w:rFonts w:eastAsiaTheme="minorEastAsia"/>
              </w:rPr>
              <w:noBreakHyphen/>
            </w:r>
            <w:r w:rsidRPr="00F10DD9">
              <w:rPr>
                <w:rFonts w:eastAsiaTheme="minorEastAsia"/>
              </w:rPr>
              <w:t>Murray Water Connections Project. These delays are a result of a number of historical assumptions that did not eventuate.</w:t>
            </w:r>
          </w:p>
          <w:p w:rsidR="00E25CC6" w:rsidRPr="00F10DD9" w:rsidRDefault="00E25CC6" w:rsidP="00E36898">
            <w:pPr>
              <w:pStyle w:val="OGNotes"/>
              <w:rPr>
                <w:rFonts w:eastAsiaTheme="minorEastAsia"/>
              </w:rPr>
            </w:pPr>
            <w:r w:rsidRPr="00F10DD9">
              <w:rPr>
                <w:rFonts w:eastAsiaTheme="minorEastAsia"/>
              </w:rPr>
              <w:t xml:space="preserve">The </w:t>
            </w:r>
            <w:r>
              <w:rPr>
                <w:rFonts w:eastAsiaTheme="minorEastAsia"/>
              </w:rPr>
              <w:t>lower</w:t>
            </w:r>
            <w:r w:rsidRPr="00F10DD9">
              <w:rPr>
                <w:rFonts w:eastAsiaTheme="minorEastAsia"/>
              </w:rPr>
              <w:t xml:space="preserve">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the revision of water recovery targets as part of the reset of the Goulburn</w:t>
            </w:r>
            <w:r>
              <w:rPr>
                <w:rFonts w:eastAsiaTheme="minorEastAsia"/>
              </w:rPr>
              <w:noBreakHyphen/>
            </w:r>
            <w:r w:rsidRPr="00F10DD9">
              <w:rPr>
                <w:rFonts w:eastAsiaTheme="minorEastAsia"/>
              </w:rPr>
              <w:t xml:space="preserve">Murray Water Connections Project.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Number of sites with environmental water managed to meet environmental objectives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160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180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134</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181</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favourable seasonable conditions, water availability and environmental requirements.</w:t>
            </w:r>
          </w:p>
          <w:p w:rsidR="00E25CC6" w:rsidRPr="00F10DD9" w:rsidRDefault="00E25CC6" w:rsidP="00F10DD9">
            <w:pPr>
              <w:pStyle w:val="OGNotes"/>
              <w:rPr>
                <w:rFonts w:eastAsiaTheme="minorEastAsia"/>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w:t>
            </w:r>
            <w:r>
              <w:rPr>
                <w:rFonts w:eastAsiaTheme="minorEastAsia"/>
              </w:rPr>
              <w:t>‘</w:t>
            </w:r>
            <w:r w:rsidRPr="00F10DD9">
              <w:rPr>
                <w:rFonts w:eastAsiaTheme="minorEastAsia"/>
              </w:rPr>
              <w:t>Improving the health of waterways in regional Victoria</w:t>
            </w:r>
            <w:r>
              <w:rPr>
                <w:rFonts w:eastAsiaTheme="minorEastAsia"/>
              </w:rPr>
              <w:t>’</w:t>
            </w:r>
            <w:r w:rsidRPr="00F10DD9">
              <w:rPr>
                <w:rFonts w:eastAsiaTheme="minorEastAsia"/>
              </w:rPr>
              <w:t xml:space="preserve"> initiative.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Other Victorian retail water entitlements (including licences to take and use water and other miscellaneous entitlements) recorded in the water register as the authoritative record</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91</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81.9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the cumulative nature of the measure.</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People engaged to increase the knowledge/capacity of waterway management</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4 500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6 600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4 500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2 499</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Number of people engaged to increase the knowledge/capacity of water management</w:t>
            </w:r>
            <w:r>
              <w:rPr>
                <w:rFonts w:eastAsiaTheme="minorEastAsia"/>
              </w:rPr>
              <w:t>’</w:t>
            </w:r>
            <w:r w:rsidRPr="00F10DD9">
              <w:rPr>
                <w:rFonts w:eastAsiaTheme="minorEastAsia"/>
              </w:rPr>
              <w:t xml:space="preserve">. This measure reports on the same activity as the previous measure, however has been amended for increased clarity. </w:t>
            </w:r>
          </w:p>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increased levels of community engagement and participation associated with the funding provided in the </w:t>
            </w:r>
            <w:r w:rsidRPr="00B365A1">
              <w:rPr>
                <w:rFonts w:eastAsiaTheme="minorEastAsia"/>
                <w:i w:val="0"/>
              </w:rPr>
              <w:t>2015</w:t>
            </w:r>
            <w:r w:rsidRPr="00B365A1">
              <w:rPr>
                <w:rFonts w:eastAsiaTheme="minorEastAsia"/>
                <w:i w:val="0"/>
              </w:rPr>
              <w:noBreakHyphen/>
              <w:t>16 Budget</w:t>
            </w:r>
            <w:r w:rsidRPr="00F10DD9">
              <w:rPr>
                <w:rFonts w:eastAsiaTheme="minorEastAsia"/>
              </w:rPr>
              <w:t xml:space="preserve"> for additio</w:t>
            </w:r>
            <w:r>
              <w:rPr>
                <w:rFonts w:eastAsiaTheme="minorEastAsia"/>
              </w:rPr>
              <w:t>nal riparian and wetland works.</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Sites where works have been undertaken to improve in stream health</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60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116</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72</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Number of sites where works have been undertaken to improve in stream health</w:t>
            </w:r>
            <w:r>
              <w:rPr>
                <w:rFonts w:eastAsiaTheme="minorEastAsia"/>
              </w:rPr>
              <w:t>’</w:t>
            </w:r>
            <w:r w:rsidRPr="00F10DD9">
              <w:rPr>
                <w:rFonts w:eastAsiaTheme="minorEastAsia"/>
              </w:rPr>
              <w:t xml:space="preserve">. This measure reports on the same activity as the previous measure, however has been amended for increased clarity. </w:t>
            </w:r>
          </w:p>
          <w:p w:rsidR="00E25CC6" w:rsidRPr="00F10DD9" w:rsidRDefault="00E25CC6" w:rsidP="00F10DD9">
            <w:pPr>
              <w:pStyle w:val="OGNotes"/>
              <w:rPr>
                <w:rFonts w:eastAsiaTheme="minorEastAsia"/>
              </w:rPr>
            </w:pPr>
            <w:r w:rsidRPr="00F10DD9">
              <w:rPr>
                <w:rFonts w:eastAsiaTheme="minorEastAsia"/>
              </w:rPr>
              <w:t>The 2015</w:t>
            </w:r>
            <w:r>
              <w:rPr>
                <w:rFonts w:eastAsiaTheme="minorEastAsia"/>
              </w:rPr>
              <w:noBreakHyphen/>
            </w:r>
            <w:r w:rsidRPr="00F10DD9">
              <w:rPr>
                <w:rFonts w:eastAsiaTheme="minorEastAsia"/>
              </w:rPr>
              <w:t xml:space="preserve">16 </w:t>
            </w:r>
            <w:r w:rsidRPr="0092490D">
              <w:rPr>
                <w:rFonts w:eastAsiaTheme="minorEastAsia"/>
              </w:rPr>
              <w:t>expected outcome</w:t>
            </w:r>
            <w:r w:rsidRPr="00F10DD9">
              <w:rPr>
                <w:rFonts w:eastAsiaTheme="minorEastAsia"/>
              </w:rPr>
              <w:t xml:space="preserve"> is higher than the 2015</w:t>
            </w:r>
            <w:r>
              <w:rPr>
                <w:rFonts w:eastAsiaTheme="minorEastAsia"/>
              </w:rPr>
              <w:noBreakHyphen/>
            </w:r>
            <w:r w:rsidRPr="00F10DD9">
              <w:rPr>
                <w:rFonts w:eastAsiaTheme="minorEastAsia"/>
              </w:rPr>
              <w:t xml:space="preserve">16 </w:t>
            </w:r>
            <w:r w:rsidRPr="0092490D">
              <w:rPr>
                <w:rFonts w:eastAsiaTheme="minorEastAsia"/>
              </w:rPr>
              <w:t>target</w:t>
            </w:r>
            <w:r w:rsidRPr="00F10DD9">
              <w:rPr>
                <w:rFonts w:eastAsiaTheme="minorEastAsia"/>
              </w:rPr>
              <w:t xml:space="preserve"> due to provision of funding in the </w:t>
            </w:r>
            <w:r w:rsidRPr="00B365A1">
              <w:rPr>
                <w:rFonts w:eastAsiaTheme="minorEastAsia"/>
                <w:i w:val="0"/>
              </w:rPr>
              <w:t>2015</w:t>
            </w:r>
            <w:r w:rsidRPr="00B365A1">
              <w:rPr>
                <w:rFonts w:eastAsiaTheme="minorEastAsia"/>
                <w:i w:val="0"/>
              </w:rPr>
              <w:noBreakHyphen/>
              <w:t>16 Budget</w:t>
            </w:r>
            <w:r w:rsidRPr="00F10DD9">
              <w:rPr>
                <w:rFonts w:eastAsiaTheme="minorEastAsia"/>
              </w:rPr>
              <w:t xml:space="preserve"> for additional riparian and wetland works which has enabled more works</w:t>
            </w:r>
            <w:r>
              <w:rPr>
                <w:rFonts w:eastAsiaTheme="minorEastAsia"/>
              </w:rPr>
              <w:t xml:space="preserve"> to be delivered at more sites.</w:t>
            </w:r>
          </w:p>
          <w:p w:rsidR="00E25CC6" w:rsidRPr="00F10DD9" w:rsidRDefault="00E25CC6" w:rsidP="00F10DD9">
            <w:pPr>
              <w:pStyle w:val="OGNotes"/>
              <w:rPr>
                <w:rFonts w:eastAsiaTheme="minorEastAsia"/>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funding provided in the </w:t>
            </w:r>
            <w:r w:rsidRPr="00B365A1">
              <w:rPr>
                <w:rFonts w:eastAsiaTheme="minorEastAsia"/>
                <w:i w:val="0"/>
              </w:rPr>
              <w:t>2016</w:t>
            </w:r>
            <w:r w:rsidRPr="00B365A1">
              <w:rPr>
                <w:rFonts w:eastAsiaTheme="minorEastAsia"/>
                <w:i w:val="0"/>
              </w:rPr>
              <w:noBreakHyphen/>
              <w:t>17 Budget</w:t>
            </w:r>
            <w:r w:rsidRPr="00F10DD9">
              <w:rPr>
                <w:rFonts w:eastAsiaTheme="minorEastAsia"/>
              </w:rPr>
              <w:t xml:space="preserve"> for the </w:t>
            </w:r>
            <w:r>
              <w:rPr>
                <w:rFonts w:eastAsiaTheme="minorEastAsia"/>
              </w:rPr>
              <w:t>‘</w:t>
            </w:r>
            <w:r w:rsidRPr="00F10DD9">
              <w:rPr>
                <w:rFonts w:eastAsiaTheme="minorEastAsia"/>
              </w:rPr>
              <w:t>Clear, transparent water information for sustainable water management</w:t>
            </w:r>
            <w:r>
              <w:rPr>
                <w:rFonts w:eastAsiaTheme="minorEastAsia"/>
              </w:rPr>
              <w:t>’</w:t>
            </w:r>
            <w:r w:rsidRPr="00F10DD9">
              <w:rPr>
                <w:rFonts w:eastAsiaTheme="minorEastAsia"/>
              </w:rPr>
              <w:t xml:space="preserve"> initiative.</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Water information products (including annual water accounts, water resource condition reports and water monitoring materials) delivered for greater accountability in sustainable water resource management</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5</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Manage Victoria</w:t>
            </w:r>
            <w:r>
              <w:rPr>
                <w:rFonts w:eastAsiaTheme="minorEastAsia"/>
                <w:lang w:eastAsia="en-AU"/>
              </w:rPr>
              <w:t>’</w:t>
            </w:r>
            <w:r w:rsidRPr="00F10DD9">
              <w:rPr>
                <w:rFonts w:eastAsiaTheme="minorEastAsia"/>
                <w:lang w:eastAsia="en-AU"/>
              </w:rPr>
              <w:t>s salinity impacts in the Murray Darling Basin so that Victoria is compliant with the Murray Darling Basin Agreement</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Percentage of bulk and environmental entitlement records publicly available</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Statutory obligations of Water Corporations complied with, including annual reports, audits and corporate plans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 xml:space="preserve">Statutory obligations of Water Corporations complied with, including annual reports and audits, corporate plans, and exercises under the </w:t>
            </w:r>
            <w:r w:rsidRPr="00A9188B">
              <w:rPr>
                <w:rFonts w:eastAsiaTheme="minorEastAsia"/>
                <w:i w:val="0"/>
              </w:rPr>
              <w:t>Terrorism (Community Protection) Act</w:t>
            </w:r>
            <w:r w:rsidRPr="00F10DD9">
              <w:rPr>
                <w:rFonts w:eastAsiaTheme="minorEastAsia"/>
              </w:rPr>
              <w:t xml:space="preserve"> </w:t>
            </w:r>
            <w:r w:rsidRPr="008B0140">
              <w:rPr>
                <w:rFonts w:eastAsiaTheme="minorEastAsia"/>
                <w:i w:val="0"/>
              </w:rPr>
              <w:t>2003</w:t>
            </w:r>
            <w:r>
              <w:rPr>
                <w:rFonts w:eastAsiaTheme="minorEastAsia"/>
              </w:rPr>
              <w:t>’</w:t>
            </w:r>
            <w:r w:rsidRPr="00F10DD9">
              <w:rPr>
                <w:rFonts w:eastAsiaTheme="minorEastAsia"/>
              </w:rPr>
              <w:t>. This measure reports on the same activity as the previous measure, however has been amended for increased clarity.</w:t>
            </w:r>
          </w:p>
        </w:tc>
      </w:tr>
      <w:tr w:rsidR="00E25CC6" w:rsidRPr="00F10DD9" w:rsidTr="00FB77DF">
        <w:trPr>
          <w:cantSplit/>
        </w:trPr>
        <w:tc>
          <w:tcPr>
            <w:tcW w:w="3146" w:type="dxa"/>
            <w:tcBorders>
              <w:top w:val="nil"/>
              <w:left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6B7B4A">
        <w:trPr>
          <w:cantSplit/>
        </w:trPr>
        <w:tc>
          <w:tcPr>
            <w:tcW w:w="3146" w:type="dxa"/>
            <w:tcBorders>
              <w:top w:val="nil"/>
              <w:left w:val="nil"/>
              <w:bottom w:val="nil"/>
              <w:right w:val="nil"/>
            </w:tcBorders>
          </w:tcPr>
          <w:p w:rsidR="00E25CC6" w:rsidRPr="00861EFF" w:rsidRDefault="00E25CC6" w:rsidP="00F10DD9">
            <w:pPr>
              <w:pStyle w:val="OGTabText"/>
              <w:rPr>
                <w:rFonts w:eastAsiaTheme="minorEastAsia"/>
                <w:lang w:eastAsia="en-AU"/>
              </w:rPr>
            </w:pPr>
            <w:r w:rsidRPr="00861EFF">
              <w:rPr>
                <w:rFonts w:eastAsiaTheme="minorEastAsia"/>
                <w:lang w:eastAsia="en-AU"/>
              </w:rPr>
              <w:t>Total output cost</w:t>
            </w:r>
          </w:p>
        </w:tc>
        <w:tc>
          <w:tcPr>
            <w:tcW w:w="908" w:type="dxa"/>
            <w:tcBorders>
              <w:top w:val="nil"/>
              <w:left w:val="nil"/>
              <w:bottom w:val="nil"/>
              <w:right w:val="nil"/>
            </w:tcBorders>
          </w:tcPr>
          <w:p w:rsidR="00E25CC6" w:rsidRPr="00861EFF" w:rsidRDefault="00E25CC6" w:rsidP="00F10DD9">
            <w:pPr>
              <w:autoSpaceDE w:val="0"/>
              <w:autoSpaceDN w:val="0"/>
              <w:adjustRightInd w:val="0"/>
              <w:spacing w:after="0"/>
              <w:jc w:val="center"/>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486.2</w:t>
            </w:r>
          </w:p>
        </w:tc>
        <w:tc>
          <w:tcPr>
            <w:tcW w:w="992"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450.1</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603.3</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377.5</w:t>
            </w:r>
          </w:p>
        </w:tc>
      </w:tr>
      <w:tr w:rsidR="00E25CC6" w:rsidRPr="00F10DD9" w:rsidTr="00B365A1">
        <w:trPr>
          <w:cantSplit/>
        </w:trPr>
        <w:tc>
          <w:tcPr>
            <w:tcW w:w="7767" w:type="dxa"/>
            <w:gridSpan w:val="6"/>
            <w:tcBorders>
              <w:top w:val="nil"/>
              <w:left w:val="nil"/>
              <w:bottom w:val="single" w:sz="12" w:space="0" w:color="auto"/>
              <w:right w:val="nil"/>
            </w:tcBorders>
          </w:tcPr>
          <w:p w:rsidR="00E25CC6" w:rsidRPr="00861EFF" w:rsidRDefault="00E25CC6" w:rsidP="006B7B4A">
            <w:pPr>
              <w:pStyle w:val="OGNotes"/>
              <w:rPr>
                <w:rFonts w:eastAsiaTheme="minorEastAsia"/>
              </w:rPr>
            </w:pPr>
            <w:r w:rsidRPr="00861EFF">
              <w:rPr>
                <w:rFonts w:eastAsiaTheme="minorEastAsia"/>
              </w:rPr>
              <w:t>The 2015</w:t>
            </w:r>
            <w:r w:rsidRPr="00861EFF">
              <w:rPr>
                <w:rFonts w:eastAsiaTheme="minorEastAsia"/>
              </w:rPr>
              <w:noBreakHyphen/>
              <w:t>16 expected outcome is lower than the 2015</w:t>
            </w:r>
            <w:r w:rsidRPr="00861EFF">
              <w:rPr>
                <w:rFonts w:eastAsiaTheme="minorEastAsia"/>
              </w:rPr>
              <w:noBreakHyphen/>
              <w:t>16 target due to the rephasing of the Goulburn</w:t>
            </w:r>
            <w:r>
              <w:rPr>
                <w:rFonts w:eastAsiaTheme="minorEastAsia"/>
              </w:rPr>
              <w:t>-Murray</w:t>
            </w:r>
            <w:r w:rsidRPr="00861EFF">
              <w:rPr>
                <w:rFonts w:eastAsiaTheme="minorEastAsia"/>
              </w:rPr>
              <w:t xml:space="preserve"> Water Connections project.</w:t>
            </w:r>
          </w:p>
          <w:p w:rsidR="00E25CC6" w:rsidRPr="00861EFF" w:rsidRDefault="00E25CC6" w:rsidP="00136F4A">
            <w:pPr>
              <w:pStyle w:val="OGNotes"/>
              <w:rPr>
                <w:rFonts w:eastAsiaTheme="minorEastAsia"/>
              </w:rPr>
            </w:pPr>
            <w:r w:rsidRPr="00861EFF">
              <w:rPr>
                <w:rFonts w:eastAsiaTheme="minorEastAsia"/>
              </w:rPr>
              <w:t>The lower 2016</w:t>
            </w:r>
            <w:r w:rsidRPr="00861EFF">
              <w:rPr>
                <w:rFonts w:eastAsiaTheme="minorEastAsia"/>
              </w:rPr>
              <w:noBreakHyphen/>
              <w:t xml:space="preserve">17 target primarily reflects the rephasing of the Goulburn-Murray Water Connections project. </w:t>
            </w:r>
          </w:p>
        </w:tc>
      </w:tr>
    </w:tbl>
    <w:p w:rsidR="00E25CC6" w:rsidRDefault="00E25CC6" w:rsidP="00FB77DF">
      <w:pPr>
        <w:pStyle w:val="Source"/>
        <w:rPr>
          <w:rFonts w:eastAsiaTheme="minorHAnsi"/>
        </w:rPr>
      </w:pPr>
      <w:r>
        <w:rPr>
          <w:rFonts w:eastAsiaTheme="minorHAnsi"/>
        </w:rPr>
        <w:t>Source: Department of Environment, Land, Water and Planning</w:t>
      </w:r>
      <w:bookmarkEnd w:id="70"/>
      <w:r>
        <w:rPr>
          <w:rFonts w:eastAsiaTheme="minorHAnsi"/>
        </w:rPr>
        <w:t xml:space="preserve"> </w:t>
      </w:r>
      <w:r>
        <w:rPr>
          <w:rFonts w:eastAsiaTheme="minorHAnsi"/>
        </w:rPr>
        <w:fldChar w:fldCharType="begin"/>
      </w:r>
      <w:r>
        <w:instrText xml:space="preserve"> XE "</w:instrText>
      </w:r>
      <w:r w:rsidRPr="006B46F0">
        <w:instrText>Department of Environment, Land, Water and Planning:Safe and Sustainable Water Resources</w:instrText>
      </w:r>
      <w:r>
        <w:instrText xml:space="preserve">" \r "DELWP_SafeSustainWater" </w:instrText>
      </w:r>
      <w:r>
        <w:rPr>
          <w:rFonts w:eastAsiaTheme="minorHAnsi"/>
        </w:rPr>
        <w:fldChar w:fldCharType="end"/>
      </w:r>
    </w:p>
    <w:p w:rsidR="00E25CC6" w:rsidRDefault="00E25CC6" w:rsidP="00C6550F">
      <w:pPr>
        <w:rPr>
          <w:rFonts w:ascii="Calibri" w:eastAsiaTheme="minorHAnsi" w:hAnsi="Calibri"/>
          <w:sz w:val="32"/>
          <w:szCs w:val="28"/>
        </w:rPr>
      </w:pPr>
      <w:r>
        <w:rPr>
          <w:rFonts w:eastAsiaTheme="minorHAnsi"/>
        </w:rPr>
        <w:br w:type="page"/>
      </w:r>
    </w:p>
    <w:p w:rsidR="00E25CC6" w:rsidRPr="00D777BC" w:rsidRDefault="00E25CC6" w:rsidP="00C6550F">
      <w:pPr>
        <w:pStyle w:val="OGHeading1"/>
        <w:rPr>
          <w:rFonts w:eastAsiaTheme="minorHAnsi"/>
        </w:rPr>
      </w:pPr>
      <w:r w:rsidRPr="00D777BC">
        <w:rPr>
          <w:rFonts w:eastAsiaTheme="minorHAnsi"/>
        </w:rPr>
        <w:t xml:space="preserve">Sustainable and effective local governments </w:t>
      </w:r>
    </w:p>
    <w:p w:rsidR="00E25CC6" w:rsidRPr="00D777BC" w:rsidRDefault="00E25CC6" w:rsidP="00C6550F">
      <w:pPr>
        <w:pStyle w:val="OGText"/>
        <w:rPr>
          <w:rFonts w:eastAsiaTheme="minorHAnsi"/>
        </w:rPr>
      </w:pPr>
      <w:bookmarkStart w:id="71" w:name="DELWP_SustLocGovt"/>
      <w:r w:rsidRPr="00D777BC">
        <w:rPr>
          <w:rFonts w:eastAsiaTheme="minorHAnsi"/>
        </w:rPr>
        <w:t xml:space="preserve">This objective supports effective and efficient local governance and service provision and supports communities to manage change and growth at a local level. </w:t>
      </w:r>
    </w:p>
    <w:p w:rsidR="00E25CC6" w:rsidRPr="00C6550F" w:rsidRDefault="00E25CC6" w:rsidP="00C6550F">
      <w:pPr>
        <w:pStyle w:val="OGText"/>
        <w:rPr>
          <w:rFonts w:eastAsiaTheme="minorHAnsi"/>
        </w:rPr>
      </w:pPr>
      <w:r w:rsidRPr="00D777BC">
        <w:rPr>
          <w:rFonts w:eastAsiaTheme="minorHAnsi"/>
        </w:rPr>
        <w:t xml:space="preserve">The Department works with local governments to support the delivery of services and infrastructure and build stronger communities across the state. </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8"/>
        <w:gridCol w:w="907"/>
        <w:gridCol w:w="992"/>
        <w:gridCol w:w="907"/>
        <w:gridCol w:w="907"/>
      </w:tblGrid>
      <w:tr w:rsidR="00E25CC6" w:rsidRPr="00F10DD9" w:rsidTr="0092490D">
        <w:trPr>
          <w:cantSplit/>
          <w:tblHeader/>
        </w:trPr>
        <w:tc>
          <w:tcPr>
            <w:tcW w:w="3146"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b/>
                <w:bCs/>
                <w:color w:val="FFFFFF"/>
                <w:sz w:val="19"/>
                <w:szCs w:val="22"/>
                <w:lang w:eastAsia="en-AU"/>
              </w:rPr>
              <w:t>Major outputs/deliverables</w:t>
            </w:r>
          </w:p>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Performance measures</w:t>
            </w:r>
          </w:p>
        </w:tc>
        <w:tc>
          <w:tcPr>
            <w:tcW w:w="908"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center"/>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target</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15 actual</w:t>
            </w:r>
          </w:p>
        </w:tc>
      </w:tr>
      <w:tr w:rsidR="00E25CC6" w:rsidRPr="00F10DD9" w:rsidTr="00F10DD9">
        <w:trPr>
          <w:cantSplit/>
        </w:trPr>
        <w:tc>
          <w:tcPr>
            <w:tcW w:w="7767" w:type="dxa"/>
            <w:gridSpan w:val="6"/>
            <w:tcBorders>
              <w:top w:val="single" w:sz="6"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Local Government</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D55DE9">
            <w:pPr>
              <w:pStyle w:val="OGText"/>
              <w:rPr>
                <w:rFonts w:eastAsiaTheme="minorEastAsia"/>
                <w:lang w:eastAsia="en-AU"/>
              </w:rPr>
            </w:pPr>
            <w:r w:rsidRPr="00F10DD9">
              <w:rPr>
                <w:rFonts w:eastAsiaTheme="minorEastAsia"/>
                <w:lang w:eastAsia="en-AU"/>
              </w:rPr>
              <w:t xml:space="preserve">This output delivers activities in partnership with the local government sector to support effective and efficient governance and service provision. Through this output, the Department administers programs to support local governments </w:t>
            </w:r>
            <w:r>
              <w:rPr>
                <w:rFonts w:eastAsiaTheme="minorEastAsia"/>
                <w:lang w:eastAsia="en-AU"/>
              </w:rPr>
              <w:t>increase accountability and provide</w:t>
            </w:r>
            <w:r w:rsidRPr="00F10DD9">
              <w:rPr>
                <w:rFonts w:eastAsiaTheme="minorEastAsia"/>
                <w:lang w:eastAsia="en-AU"/>
              </w:rPr>
              <w:t xml:space="preserve"> support to the Victoria Grants Commission.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Meetings held with Ministerial Mayors Advisory Panel</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Percentage of Roadside Weeds and Pest Management grant payments made against completion of milestone deliverables under funding agreement</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Percentage of identified councils funded as part of the Vulnerable People in Emergencies Program who have met milestone criteria</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Percentage of public library services grant payments made against completion of milestone deliverables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0F650C">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Local Government Victoria</w:t>
            </w:r>
            <w:r>
              <w:rPr>
                <w:rFonts w:eastAsiaTheme="minorEastAsia"/>
                <w:lang w:eastAsia="en-AU"/>
              </w:rPr>
              <w:t>’</w:t>
            </w:r>
            <w:r w:rsidRPr="00F10DD9">
              <w:rPr>
                <w:rFonts w:eastAsiaTheme="minorEastAsia"/>
                <w:lang w:eastAsia="en-AU"/>
              </w:rPr>
              <w:t>s legislative and regulatory initiatives incorporate stakeholder feedback</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Local Government Victoria</w:t>
            </w:r>
            <w:r>
              <w:rPr>
                <w:rFonts w:eastAsiaTheme="minorEastAsia"/>
                <w:lang w:eastAsia="en-AU"/>
              </w:rPr>
              <w:t>’</w:t>
            </w:r>
            <w:r w:rsidRPr="00F10DD9">
              <w:rPr>
                <w:rFonts w:eastAsiaTheme="minorEastAsia"/>
                <w:lang w:eastAsia="en-AU"/>
              </w:rPr>
              <w:t>s policy and program development processes incorporate stakeholder feedback</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3146" w:type="dxa"/>
            <w:tcBorders>
              <w:top w:val="nil"/>
              <w:left w:val="nil"/>
              <w:bottom w:val="nil"/>
              <w:right w:val="nil"/>
            </w:tcBorders>
          </w:tcPr>
          <w:p w:rsidR="00E25CC6" w:rsidRPr="00F10DD9" w:rsidRDefault="00E25CC6" w:rsidP="00200CCC">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200CCC">
            <w:pPr>
              <w:keepNext/>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200CCC">
            <w:pPr>
              <w:keepNext/>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Victoria Grants Commission allocations finalised to support the completion of council budgets within statutory timeframes</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B77DF">
        <w:trPr>
          <w:cantSplit/>
        </w:trPr>
        <w:tc>
          <w:tcPr>
            <w:tcW w:w="3146" w:type="dxa"/>
            <w:tcBorders>
              <w:top w:val="nil"/>
              <w:left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8E30CF">
        <w:trPr>
          <w:cantSplit/>
        </w:trPr>
        <w:tc>
          <w:tcPr>
            <w:tcW w:w="3146" w:type="dxa"/>
            <w:tcBorders>
              <w:top w:val="nil"/>
              <w:left w:val="nil"/>
              <w:bottom w:val="nil"/>
              <w:right w:val="nil"/>
            </w:tcBorders>
          </w:tcPr>
          <w:p w:rsidR="00E25CC6" w:rsidRPr="00861EFF" w:rsidRDefault="00E25CC6" w:rsidP="00F10DD9">
            <w:pPr>
              <w:pStyle w:val="OGTabText"/>
              <w:rPr>
                <w:rFonts w:eastAsiaTheme="minorEastAsia"/>
                <w:lang w:eastAsia="en-AU"/>
              </w:rPr>
            </w:pPr>
            <w:r w:rsidRPr="00861EFF">
              <w:rPr>
                <w:rFonts w:eastAsiaTheme="minorEastAsia"/>
                <w:lang w:eastAsia="en-AU"/>
              </w:rPr>
              <w:t>Total output cost</w:t>
            </w:r>
          </w:p>
        </w:tc>
        <w:tc>
          <w:tcPr>
            <w:tcW w:w="908" w:type="dxa"/>
            <w:tcBorders>
              <w:top w:val="nil"/>
              <w:left w:val="nil"/>
              <w:bottom w:val="nil"/>
              <w:right w:val="nil"/>
            </w:tcBorders>
          </w:tcPr>
          <w:p w:rsidR="00E25CC6" w:rsidRPr="00861EFF" w:rsidRDefault="00E25CC6" w:rsidP="00F10DD9">
            <w:pPr>
              <w:autoSpaceDE w:val="0"/>
              <w:autoSpaceDN w:val="0"/>
              <w:adjustRightInd w:val="0"/>
              <w:spacing w:after="0"/>
              <w:jc w:val="center"/>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Pr>
                <w:rFonts w:ascii="Calibri" w:eastAsiaTheme="minorEastAsia" w:hAnsi="Calibri" w:cs="Calibri"/>
                <w:sz w:val="19"/>
                <w:szCs w:val="22"/>
                <w:lang w:eastAsia="en-AU"/>
              </w:rPr>
              <w:t>114</w:t>
            </w:r>
            <w:r w:rsidRPr="00861EFF">
              <w:rPr>
                <w:rFonts w:ascii="Calibri" w:eastAsiaTheme="minorEastAsia" w:hAnsi="Calibri" w:cs="Calibri"/>
                <w:sz w:val="19"/>
                <w:szCs w:val="22"/>
                <w:lang w:eastAsia="en-AU"/>
              </w:rPr>
              <w:t>.4</w:t>
            </w:r>
          </w:p>
        </w:tc>
        <w:tc>
          <w:tcPr>
            <w:tcW w:w="992"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116.3</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112.1</w:t>
            </w:r>
          </w:p>
        </w:tc>
        <w:tc>
          <w:tcPr>
            <w:tcW w:w="907" w:type="dxa"/>
            <w:tcBorders>
              <w:top w:val="nil"/>
              <w:left w:val="nil"/>
              <w:bottom w:val="nil"/>
              <w:right w:val="nil"/>
            </w:tcBorders>
          </w:tcPr>
          <w:p w:rsidR="00E25CC6" w:rsidRPr="00861EFF" w:rsidRDefault="00E25CC6" w:rsidP="00F10DD9">
            <w:pPr>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60.8</w:t>
            </w:r>
          </w:p>
        </w:tc>
      </w:tr>
      <w:tr w:rsidR="00E25CC6" w:rsidRPr="00F10DD9" w:rsidTr="00B365A1">
        <w:trPr>
          <w:cantSplit/>
        </w:trPr>
        <w:tc>
          <w:tcPr>
            <w:tcW w:w="7767" w:type="dxa"/>
            <w:gridSpan w:val="6"/>
            <w:tcBorders>
              <w:top w:val="nil"/>
              <w:left w:val="nil"/>
              <w:bottom w:val="single" w:sz="12" w:space="0" w:color="auto"/>
              <w:right w:val="nil"/>
            </w:tcBorders>
          </w:tcPr>
          <w:p w:rsidR="00E25CC6" w:rsidRPr="00861EFF" w:rsidRDefault="00E25CC6" w:rsidP="000B2FA4">
            <w:pPr>
              <w:pStyle w:val="OGNotes"/>
              <w:rPr>
                <w:rFonts w:eastAsiaTheme="minorEastAsia"/>
              </w:rPr>
            </w:pPr>
            <w:r w:rsidRPr="00861EFF">
              <w:rPr>
                <w:rFonts w:eastAsiaTheme="minorEastAsia" w:cs="Calibri"/>
                <w:szCs w:val="22"/>
              </w:rPr>
              <w:t>The higher 2016</w:t>
            </w:r>
            <w:r w:rsidRPr="00861EFF">
              <w:rPr>
                <w:rFonts w:eastAsiaTheme="minorEastAsia"/>
              </w:rPr>
              <w:noBreakHyphen/>
            </w:r>
            <w:r w:rsidRPr="00861EFF">
              <w:rPr>
                <w:rFonts w:eastAsiaTheme="minorEastAsia" w:cs="Calibri"/>
                <w:szCs w:val="22"/>
              </w:rPr>
              <w:t xml:space="preserve">17 target primarily reflects initiatives funded as part of the </w:t>
            </w:r>
            <w:r w:rsidRPr="00861EFF">
              <w:rPr>
                <w:rFonts w:eastAsiaTheme="minorEastAsia" w:cs="Calibri"/>
                <w:i w:val="0"/>
                <w:szCs w:val="22"/>
              </w:rPr>
              <w:t>2016</w:t>
            </w:r>
            <w:r w:rsidRPr="00861EFF">
              <w:rPr>
                <w:rFonts w:eastAsiaTheme="minorEastAsia"/>
                <w:i w:val="0"/>
              </w:rPr>
              <w:noBreakHyphen/>
            </w:r>
            <w:r w:rsidRPr="00861EFF">
              <w:rPr>
                <w:rFonts w:eastAsiaTheme="minorEastAsia" w:cs="Calibri"/>
                <w:i w:val="0"/>
                <w:szCs w:val="22"/>
              </w:rPr>
              <w:t xml:space="preserve">17 Budget </w:t>
            </w:r>
            <w:r w:rsidRPr="00861EFF">
              <w:rPr>
                <w:rFonts w:eastAsiaTheme="minorHAnsi"/>
              </w:rPr>
              <w:t>including the Interface Growth Fund and Supporting Victoria</w:t>
            </w:r>
            <w:r>
              <w:rPr>
                <w:rFonts w:eastAsiaTheme="minorHAnsi"/>
              </w:rPr>
              <w:t>’</w:t>
            </w:r>
            <w:r w:rsidRPr="00861EFF">
              <w:rPr>
                <w:rFonts w:eastAsiaTheme="minorHAnsi"/>
              </w:rPr>
              <w:t>s public libraries.</w:t>
            </w:r>
          </w:p>
        </w:tc>
      </w:tr>
    </w:tbl>
    <w:p w:rsidR="00E25CC6" w:rsidRDefault="00E25CC6" w:rsidP="00FB77DF">
      <w:pPr>
        <w:pStyle w:val="Source"/>
        <w:rPr>
          <w:rFonts w:eastAsiaTheme="minorHAnsi"/>
        </w:rPr>
      </w:pPr>
      <w:r>
        <w:rPr>
          <w:rFonts w:eastAsiaTheme="minorHAnsi"/>
        </w:rPr>
        <w:t>Source: Department of Environment, Land, Water and Planning</w:t>
      </w:r>
      <w:bookmarkEnd w:id="71"/>
      <w:r>
        <w:rPr>
          <w:rFonts w:eastAsiaTheme="minorHAnsi"/>
        </w:rPr>
        <w:t xml:space="preserve"> </w:t>
      </w:r>
      <w:r>
        <w:rPr>
          <w:rFonts w:eastAsiaTheme="minorHAnsi"/>
        </w:rPr>
        <w:fldChar w:fldCharType="begin"/>
      </w:r>
      <w:r>
        <w:instrText xml:space="preserve"> XE "</w:instrText>
      </w:r>
      <w:r w:rsidRPr="000E61BA">
        <w:instrText>Department of Environment, Land, Water and Planning:Sustainable and Effective Local Governments</w:instrText>
      </w:r>
      <w:r>
        <w:instrText xml:space="preserve">" \r "DELWP_SustLocGovt" </w:instrText>
      </w:r>
      <w:r>
        <w:rPr>
          <w:rFonts w:eastAsiaTheme="minorHAnsi"/>
        </w:rPr>
        <w:fldChar w:fldCharType="end"/>
      </w:r>
      <w:r>
        <w:rPr>
          <w:rFonts w:eastAsiaTheme="minorHAnsi"/>
        </w:rPr>
        <w:t xml:space="preserve"> </w:t>
      </w:r>
      <w:r>
        <w:rPr>
          <w:rFonts w:eastAsiaTheme="minorHAnsi"/>
        </w:rPr>
        <w:fldChar w:fldCharType="begin"/>
      </w:r>
      <w:r>
        <w:instrText xml:space="preserve"> XE "Local Government</w:instrText>
      </w:r>
      <w:r w:rsidRPr="000E61BA">
        <w:instrText>:Sustainable and Effective Local Governments</w:instrText>
      </w:r>
      <w:r>
        <w:instrText xml:space="preserve">" \r "DELWP_SustLocGovt" </w:instrText>
      </w:r>
      <w:r>
        <w:rPr>
          <w:rFonts w:eastAsiaTheme="minorHAnsi"/>
        </w:rPr>
        <w:fldChar w:fldCharType="end"/>
      </w:r>
    </w:p>
    <w:p w:rsidR="00E25CC6" w:rsidRDefault="00E25CC6" w:rsidP="00C6550F">
      <w:pPr>
        <w:rPr>
          <w:rFonts w:ascii="Calibri" w:eastAsiaTheme="minorHAnsi" w:hAnsi="Calibri"/>
          <w:sz w:val="32"/>
          <w:szCs w:val="28"/>
        </w:rPr>
      </w:pPr>
      <w:r>
        <w:rPr>
          <w:rFonts w:eastAsiaTheme="minorHAnsi"/>
        </w:rPr>
        <w:br w:type="page"/>
      </w:r>
    </w:p>
    <w:p w:rsidR="00E25CC6" w:rsidRPr="00D777BC" w:rsidRDefault="00E25CC6" w:rsidP="00C6550F">
      <w:pPr>
        <w:pStyle w:val="OGHeading1"/>
        <w:rPr>
          <w:rFonts w:eastAsiaTheme="minorHAnsi"/>
        </w:rPr>
      </w:pPr>
      <w:r w:rsidRPr="00D777BC">
        <w:rPr>
          <w:rFonts w:eastAsiaTheme="minorHAnsi"/>
        </w:rPr>
        <w:t xml:space="preserve">Reduced impact of major bushfires and other emergencies on people, property and the environment </w:t>
      </w:r>
    </w:p>
    <w:p w:rsidR="00E25CC6" w:rsidRPr="00D777BC" w:rsidRDefault="00E25CC6" w:rsidP="00C6550F">
      <w:pPr>
        <w:pStyle w:val="OGText"/>
        <w:rPr>
          <w:rFonts w:eastAsiaTheme="minorHAnsi"/>
        </w:rPr>
      </w:pPr>
      <w:bookmarkStart w:id="72" w:name="DELWP_RedImpBushfire"/>
      <w:r w:rsidRPr="00D777BC">
        <w:rPr>
          <w:rFonts w:eastAsiaTheme="minorHAnsi"/>
        </w:rPr>
        <w:t xml:space="preserve">This objective delivers an integrated approach to reducing the risk of bushfires to protect people, property and the environment. </w:t>
      </w:r>
    </w:p>
    <w:p w:rsidR="00E25CC6" w:rsidRPr="00C6550F" w:rsidRDefault="00E25CC6" w:rsidP="00C6550F">
      <w:pPr>
        <w:pStyle w:val="OGText"/>
        <w:rPr>
          <w:rFonts w:eastAsiaTheme="minorHAnsi"/>
        </w:rPr>
      </w:pPr>
      <w:r w:rsidRPr="00D777BC">
        <w:rPr>
          <w:rFonts w:eastAsiaTheme="minorHAnsi"/>
        </w:rPr>
        <w:t>The Department works together with land and fire managers and with the community to plan and deliver bushfire management across public and private land and uses world</w:t>
      </w:r>
      <w:r>
        <w:rPr>
          <w:rFonts w:eastAsiaTheme="minorHAnsi"/>
        </w:rPr>
        <w:noBreakHyphen/>
      </w:r>
      <w:r w:rsidRPr="00D777BC">
        <w:rPr>
          <w:rFonts w:eastAsiaTheme="minorHAnsi"/>
        </w:rPr>
        <w:t>leading science to manage fire and ecosystems.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8"/>
        <w:gridCol w:w="907"/>
        <w:gridCol w:w="992"/>
        <w:gridCol w:w="907"/>
        <w:gridCol w:w="907"/>
      </w:tblGrid>
      <w:tr w:rsidR="00E25CC6" w:rsidRPr="00F10DD9" w:rsidTr="0092490D">
        <w:trPr>
          <w:cantSplit/>
          <w:tblHeader/>
        </w:trPr>
        <w:tc>
          <w:tcPr>
            <w:tcW w:w="3146"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b/>
                <w:bCs/>
                <w:color w:val="FFFFFF"/>
                <w:sz w:val="19"/>
                <w:szCs w:val="22"/>
                <w:lang w:eastAsia="en-AU"/>
              </w:rPr>
              <w:t>Major outputs/deliverables</w:t>
            </w:r>
          </w:p>
          <w:p w:rsidR="00E25CC6" w:rsidRPr="00F10DD9" w:rsidRDefault="00E25CC6" w:rsidP="0092490D">
            <w:pPr>
              <w:autoSpaceDE w:val="0"/>
              <w:autoSpaceDN w:val="0"/>
              <w:adjustRightInd w:val="0"/>
              <w:spacing w:after="0"/>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Performance measures</w:t>
            </w:r>
          </w:p>
        </w:tc>
        <w:tc>
          <w:tcPr>
            <w:tcW w:w="908"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center"/>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16 target</w:t>
            </w:r>
          </w:p>
        </w:tc>
        <w:tc>
          <w:tcPr>
            <w:tcW w:w="907" w:type="dxa"/>
            <w:tcBorders>
              <w:top w:val="nil"/>
              <w:left w:val="nil"/>
              <w:bottom w:val="single" w:sz="4" w:space="0" w:color="auto"/>
              <w:right w:val="nil"/>
            </w:tcBorders>
            <w:shd w:val="solid" w:color="000000" w:fill="auto"/>
            <w:vAlign w:val="bottom"/>
          </w:tcPr>
          <w:p w:rsidR="00E25CC6" w:rsidRPr="00F10DD9" w:rsidRDefault="00E25CC6" w:rsidP="0092490D">
            <w:pPr>
              <w:autoSpaceDE w:val="0"/>
              <w:autoSpaceDN w:val="0"/>
              <w:adjustRightInd w:val="0"/>
              <w:spacing w:after="0"/>
              <w:jc w:val="right"/>
              <w:rPr>
                <w:rFonts w:ascii="Calibri" w:eastAsiaTheme="minorEastAsia" w:hAnsi="Calibri" w:cs="Calibri"/>
                <w:i/>
                <w:iCs/>
                <w:color w:val="FFFFFF"/>
                <w:sz w:val="19"/>
                <w:szCs w:val="22"/>
                <w:lang w:eastAsia="en-AU"/>
              </w:rPr>
            </w:pPr>
            <w:r w:rsidRPr="00F10DD9">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F10DD9">
              <w:rPr>
                <w:rFonts w:ascii="Calibri" w:eastAsiaTheme="minorEastAsia" w:hAnsi="Calibri" w:cs="Calibri"/>
                <w:i/>
                <w:iCs/>
                <w:color w:val="FFFFFF"/>
                <w:sz w:val="19"/>
                <w:szCs w:val="22"/>
                <w:lang w:eastAsia="en-AU"/>
              </w:rPr>
              <w:t>15 actual</w:t>
            </w:r>
          </w:p>
        </w:tc>
      </w:tr>
      <w:tr w:rsidR="00E25CC6" w:rsidRPr="00F10DD9" w:rsidTr="00F10DD9">
        <w:trPr>
          <w:cantSplit/>
        </w:trPr>
        <w:tc>
          <w:tcPr>
            <w:tcW w:w="7767" w:type="dxa"/>
            <w:gridSpan w:val="6"/>
            <w:tcBorders>
              <w:top w:val="single" w:sz="6" w:space="0" w:color="auto"/>
              <w:left w:val="nil"/>
              <w:bottom w:val="nil"/>
              <w:right w:val="nil"/>
            </w:tcBorders>
          </w:tcPr>
          <w:p w:rsidR="00E25CC6" w:rsidRPr="00F10DD9" w:rsidRDefault="00E25CC6" w:rsidP="00F10DD9">
            <w:pPr>
              <w:pStyle w:val="OGHeading2"/>
              <w:rPr>
                <w:rFonts w:eastAsiaTheme="minorEastAsia" w:cs="Calibri"/>
                <w:bCs/>
                <w:color w:val="000000"/>
                <w:szCs w:val="28"/>
                <w:lang w:eastAsia="en-AU"/>
              </w:rPr>
            </w:pPr>
            <w:r w:rsidRPr="00F10DD9">
              <w:rPr>
                <w:rFonts w:eastAsiaTheme="minorEastAsia"/>
                <w:lang w:eastAsia="en-AU"/>
              </w:rPr>
              <w:t>Fire and Emergency Management</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CD12E2">
            <w:pPr>
              <w:pStyle w:val="OGText"/>
              <w:rPr>
                <w:rFonts w:eastAsiaTheme="minorEastAsia"/>
                <w:lang w:eastAsia="en-AU"/>
              </w:rPr>
            </w:pPr>
            <w:r w:rsidRPr="00F10DD9">
              <w:rPr>
                <w:rFonts w:eastAsiaTheme="minorEastAsia"/>
                <w:lang w:eastAsia="en-AU"/>
              </w:rPr>
              <w:t>This output plans and delivers integrated bushfire management. Through this output, the Department works with land and fire managers to plan and deliver bushfire management across public and private land; involves local communities in decision making, drawing on local values and insights to promote resilience; invests in science and partnerships to build knowledge of the relationship between fire and the environment to better manage risk; monitors and assesses the impact and effectiveness of fire management operations; ensures its workforce is effectively trained and prepared; and maintains a strategic road network to facilitate fire and emergency</w:t>
            </w:r>
            <w:r>
              <w:rPr>
                <w:rFonts w:eastAsiaTheme="minorEastAsia"/>
                <w:lang w:eastAsia="en-AU"/>
              </w:rPr>
              <w:noBreakHyphen/>
            </w:r>
            <w:r w:rsidRPr="00F10DD9">
              <w:rPr>
                <w:rFonts w:eastAsiaTheme="minorEastAsia"/>
                <w:lang w:eastAsia="en-AU"/>
              </w:rPr>
              <w:t xml:space="preserve">related activities and provide access for the community, timber and tourism industries.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Quantity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1A1E8B">
            <w:pPr>
              <w:pStyle w:val="OGTabText"/>
              <w:rPr>
                <w:rFonts w:eastAsiaTheme="minorEastAsia"/>
                <w:lang w:eastAsia="en-AU"/>
              </w:rPr>
            </w:pPr>
            <w:r w:rsidRPr="00F10DD9">
              <w:rPr>
                <w:rFonts w:eastAsiaTheme="minorEastAsia"/>
                <w:lang w:eastAsia="en-AU"/>
              </w:rPr>
              <w:t>Bushfire management engagement plans developed and implemented for high</w:t>
            </w:r>
            <w:r>
              <w:rPr>
                <w:rFonts w:eastAsiaTheme="minorEastAsia"/>
                <w:lang w:eastAsia="en-AU"/>
              </w:rPr>
              <w:noBreakHyphen/>
            </w:r>
            <w:r w:rsidRPr="00F10DD9">
              <w:rPr>
                <w:rFonts w:eastAsiaTheme="minorEastAsia"/>
                <w:lang w:eastAsia="en-AU"/>
              </w:rPr>
              <w:t xml:space="preserve">risk communities </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12</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is proposed to replace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Community engagement plans developed and implemented in accordance with the statewide strategy for bushfire management engagement</w:t>
            </w:r>
            <w:r>
              <w:rPr>
                <w:rFonts w:eastAsiaTheme="minorEastAsia"/>
              </w:rPr>
              <w:t>’</w:t>
            </w:r>
            <w:r w:rsidRPr="00F10DD9">
              <w:rPr>
                <w:rFonts w:eastAsiaTheme="minorEastAsia"/>
              </w:rPr>
              <w:t xml:space="preserve">. The new measure provides a clearer basis to better assess the impact and effectiveness of community engagement activities related to bushfire management. </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Length of strategic fire access roads and fuel breaks treated to manage safety risks posed by dangerous trees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km</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1 000</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400</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DE16FC">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The higher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reflects the cumulative nature of this program. </w:t>
            </w:r>
          </w:p>
        </w:tc>
      </w:tr>
      <w:tr w:rsidR="00E25CC6" w:rsidRPr="00F10DD9" w:rsidTr="00DE16FC">
        <w:trPr>
          <w:cantSplit/>
        </w:trPr>
        <w:tc>
          <w:tcPr>
            <w:tcW w:w="3146" w:type="dxa"/>
            <w:tcBorders>
              <w:top w:val="single" w:sz="6" w:space="0" w:color="auto"/>
              <w:left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Personnel with accreditation in a fire and emergency management role</w:t>
            </w:r>
          </w:p>
        </w:tc>
        <w:tc>
          <w:tcPr>
            <w:tcW w:w="908" w:type="dxa"/>
            <w:tcBorders>
              <w:top w:val="single" w:sz="6" w:space="0" w:color="auto"/>
              <w:left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1 950</w:t>
            </w:r>
          </w:p>
        </w:tc>
        <w:tc>
          <w:tcPr>
            <w:tcW w:w="992" w:type="dxa"/>
            <w:tcBorders>
              <w:top w:val="single" w:sz="6" w:space="0" w:color="auto"/>
              <w:left w:val="nil"/>
              <w:right w:val="nil"/>
            </w:tcBorders>
          </w:tcPr>
          <w:p w:rsidR="00E25CC6" w:rsidRPr="00F10DD9" w:rsidRDefault="00E25CC6" w:rsidP="00DE16FC">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1 975</w:t>
            </w:r>
          </w:p>
        </w:tc>
        <w:tc>
          <w:tcPr>
            <w:tcW w:w="907" w:type="dxa"/>
            <w:tcBorders>
              <w:top w:val="single" w:sz="6" w:space="0" w:color="auto"/>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1 800</w:t>
            </w:r>
          </w:p>
        </w:tc>
        <w:tc>
          <w:tcPr>
            <w:tcW w:w="907" w:type="dxa"/>
            <w:tcBorders>
              <w:top w:val="single" w:sz="6" w:space="0" w:color="auto"/>
              <w:left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2 221</w:t>
            </w:r>
          </w:p>
        </w:tc>
      </w:tr>
      <w:tr w:rsidR="00E25CC6" w:rsidRPr="00F10DD9" w:rsidTr="00DE16FC">
        <w:trPr>
          <w:cantSplit/>
        </w:trPr>
        <w:tc>
          <w:tcPr>
            <w:tcW w:w="7767" w:type="dxa"/>
            <w:gridSpan w:val="6"/>
            <w:tcBorders>
              <w:left w:val="nil"/>
              <w:bottom w:val="single" w:sz="6" w:space="0" w:color="auto"/>
              <w:right w:val="nil"/>
            </w:tcBorders>
          </w:tcPr>
          <w:p w:rsidR="00E25CC6" w:rsidRPr="00F10DD9" w:rsidRDefault="00E25CC6" w:rsidP="00DE16FC">
            <w:pPr>
              <w:pStyle w:val="OGNotes"/>
              <w:rPr>
                <w:rFonts w:eastAsiaTheme="minorEastAsia" w:cs="Calibri"/>
                <w:color w:val="000000"/>
                <w:szCs w:val="22"/>
              </w:rPr>
            </w:pPr>
            <w:r w:rsidRPr="00DE16FC">
              <w:rPr>
                <w:rFonts w:eastAsiaTheme="minorEastAsia" w:cs="Calibri"/>
                <w:color w:val="000000"/>
                <w:szCs w:val="22"/>
              </w:rPr>
              <w:t xml:space="preserve">The 2016-17 target and 2015-16 expected outcome are higher than 2015-16 target </w:t>
            </w:r>
            <w:r>
              <w:rPr>
                <w:rFonts w:eastAsiaTheme="minorEastAsia" w:cs="Calibri"/>
                <w:color w:val="000000"/>
                <w:szCs w:val="22"/>
              </w:rPr>
              <w:t xml:space="preserve">due to </w:t>
            </w:r>
            <w:r w:rsidRPr="00DE16FC">
              <w:rPr>
                <w:rFonts w:eastAsiaTheme="minorEastAsia" w:cs="Calibri"/>
                <w:color w:val="000000"/>
                <w:szCs w:val="22"/>
              </w:rPr>
              <w:t xml:space="preserve"> an increased focus on fire resources as a result of</w:t>
            </w:r>
            <w:r w:rsidRPr="00DE16FC">
              <w:rPr>
                <w:rFonts w:eastAsiaTheme="minorEastAsia" w:cs="Calibri"/>
                <w:i w:val="0"/>
                <w:color w:val="000000"/>
                <w:szCs w:val="22"/>
              </w:rPr>
              <w:t xml:space="preserve"> Safer Together</w:t>
            </w:r>
            <w:r>
              <w:rPr>
                <w:rFonts w:eastAsiaTheme="minorEastAsia" w:cs="Calibri"/>
                <w:color w:val="000000"/>
                <w:szCs w:val="22"/>
              </w:rPr>
              <w:t>.</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State forests roads (Category 1) and bridges (on Category 1 roads) with documented inspections and/or maintenance programs to meet regulatory obligations</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100</w:t>
            </w:r>
          </w:p>
        </w:tc>
      </w:tr>
      <w:tr w:rsidR="00E25CC6" w:rsidRPr="00F10DD9" w:rsidTr="00F10DD9">
        <w:trPr>
          <w:cantSplit/>
        </w:trPr>
        <w:tc>
          <w:tcPr>
            <w:tcW w:w="3146" w:type="dxa"/>
            <w:tcBorders>
              <w:top w:val="nil"/>
              <w:left w:val="nil"/>
              <w:bottom w:val="nil"/>
              <w:right w:val="nil"/>
            </w:tcBorders>
          </w:tcPr>
          <w:p w:rsidR="00E25CC6" w:rsidRPr="00F10DD9" w:rsidRDefault="00E25CC6" w:rsidP="000F650C">
            <w:pPr>
              <w:pStyle w:val="OGTabText"/>
              <w:keepNext/>
              <w:rPr>
                <w:rFonts w:eastAsiaTheme="minorEastAsia"/>
                <w:lang w:eastAsia="en-AU"/>
              </w:rPr>
            </w:pPr>
            <w:r w:rsidRPr="00F10DD9">
              <w:rPr>
                <w:rFonts w:eastAsiaTheme="minorEastAsia"/>
                <w:lang w:eastAsia="en-AU"/>
              </w:rPr>
              <w:t xml:space="preserve">Statewide bushfire risk is maintained at or below the target </w:t>
            </w:r>
          </w:p>
        </w:tc>
        <w:tc>
          <w:tcPr>
            <w:tcW w:w="908" w:type="dxa"/>
            <w:tcBorders>
              <w:top w:val="nil"/>
              <w:left w:val="nil"/>
              <w:bottom w:val="nil"/>
              <w:right w:val="nil"/>
            </w:tcBorders>
          </w:tcPr>
          <w:p w:rsidR="00E25CC6" w:rsidRPr="00F10DD9" w:rsidRDefault="00E25CC6" w:rsidP="000F650C">
            <w:pPr>
              <w:keepNext/>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F10DD9" w:rsidRDefault="00E25CC6" w:rsidP="000F650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70</w:t>
            </w:r>
          </w:p>
        </w:tc>
        <w:tc>
          <w:tcPr>
            <w:tcW w:w="992" w:type="dxa"/>
            <w:tcBorders>
              <w:top w:val="nil"/>
              <w:left w:val="nil"/>
              <w:bottom w:val="nil"/>
              <w:right w:val="nil"/>
            </w:tcBorders>
          </w:tcPr>
          <w:p w:rsidR="00E25CC6" w:rsidRPr="00F10DD9" w:rsidRDefault="00E25CC6" w:rsidP="000F650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0F650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0F650C">
            <w:pPr>
              <w:keepNext/>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replaces the 2015</w:t>
            </w:r>
            <w:r>
              <w:rPr>
                <w:rFonts w:eastAsiaTheme="minorEastAsia"/>
              </w:rPr>
              <w:noBreakHyphen/>
            </w:r>
            <w:r w:rsidRPr="00F10DD9">
              <w:rPr>
                <w:rFonts w:eastAsiaTheme="minorEastAsia"/>
              </w:rPr>
              <w:t xml:space="preserve">16 measure </w:t>
            </w:r>
            <w:r>
              <w:rPr>
                <w:rFonts w:eastAsiaTheme="minorEastAsia"/>
              </w:rPr>
              <w:t>‘</w:t>
            </w:r>
            <w:r w:rsidRPr="00F10DD9">
              <w:rPr>
                <w:rFonts w:eastAsiaTheme="minorEastAsia"/>
              </w:rPr>
              <w:t>Bushfire fuel management completed to protect key assets</w:t>
            </w:r>
            <w:r>
              <w:rPr>
                <w:rFonts w:eastAsiaTheme="minorEastAsia"/>
              </w:rPr>
              <w:t>’</w:t>
            </w:r>
            <w:r w:rsidRPr="00F10DD9">
              <w:rPr>
                <w:rFonts w:eastAsiaTheme="minorEastAsia"/>
              </w:rPr>
              <w:t xml:space="preserve"> as part of a new approach to reducing the risk of bushfire in Victoria, detailed in the Government</w:t>
            </w:r>
            <w:r>
              <w:rPr>
                <w:rFonts w:eastAsiaTheme="minorEastAsia"/>
              </w:rPr>
              <w:t>’</w:t>
            </w:r>
            <w:r w:rsidRPr="00F10DD9">
              <w:rPr>
                <w:rFonts w:eastAsiaTheme="minorEastAsia"/>
              </w:rPr>
              <w:t>s policy statement Safer Together. The new measure addresses recommendations from the Inspector</w:t>
            </w:r>
            <w:r>
              <w:rPr>
                <w:rFonts w:eastAsiaTheme="minorEastAsia"/>
              </w:rPr>
              <w:noBreakHyphen/>
            </w:r>
            <w:r w:rsidRPr="00F10DD9">
              <w:rPr>
                <w:rFonts w:eastAsiaTheme="minorEastAsia"/>
              </w:rPr>
              <w:t>General for Emergency Management that a risk reduction target is the most effective form of performance target for bushfire fuel management on public land to protect life, property and the environment.</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 xml:space="preserve">Stakeholder and community forums on bushfire management and planned burning held </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18</w:t>
            </w: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nm</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is proposed to replace the 2015</w:t>
            </w:r>
            <w:r>
              <w:rPr>
                <w:rFonts w:eastAsiaTheme="minorEastAsia"/>
              </w:rPr>
              <w:noBreakHyphen/>
            </w:r>
            <w:r w:rsidRPr="00F10DD9">
              <w:rPr>
                <w:rFonts w:eastAsiaTheme="minorEastAsia"/>
              </w:rPr>
              <w:t xml:space="preserve">16 measure </w:t>
            </w:r>
            <w:r>
              <w:rPr>
                <w:rFonts w:eastAsiaTheme="minorEastAsia"/>
              </w:rPr>
              <w:t>‘</w:t>
            </w:r>
            <w:r w:rsidRPr="00F10DD9">
              <w:rPr>
                <w:rFonts w:eastAsiaTheme="minorEastAsia"/>
              </w:rPr>
              <w:t>Strategic engagement forums held to enhance stakeholder and community understanding of bushfire management</w:t>
            </w:r>
            <w:r>
              <w:rPr>
                <w:rFonts w:eastAsiaTheme="minorEastAsia"/>
              </w:rPr>
              <w:t>’</w:t>
            </w:r>
            <w:r w:rsidRPr="00F10DD9">
              <w:rPr>
                <w:rFonts w:eastAsiaTheme="minorEastAsia"/>
              </w:rPr>
              <w:t>. The new measure provides a clearer basis to better assess the impact and effectiveness of community engagement activities related to bushfire management.</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Quality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single" w:sz="6" w:space="0" w:color="auto"/>
              <w:right w:val="nil"/>
            </w:tcBorders>
          </w:tcPr>
          <w:p w:rsidR="00E25CC6" w:rsidRPr="00F10DD9" w:rsidRDefault="00E25CC6" w:rsidP="000F650C">
            <w:pPr>
              <w:pStyle w:val="OGTabText"/>
              <w:rPr>
                <w:rFonts w:eastAsiaTheme="minorEastAsia"/>
                <w:lang w:eastAsia="en-AU"/>
              </w:rPr>
            </w:pPr>
            <w:r w:rsidRPr="00F10DD9">
              <w:rPr>
                <w:rFonts w:eastAsiaTheme="minorEastAsia"/>
                <w:lang w:eastAsia="en-AU"/>
              </w:rPr>
              <w:t>Fires contained at less than 5</w:t>
            </w:r>
            <w:r>
              <w:rPr>
                <w:rFonts w:eastAsiaTheme="minorEastAsia"/>
                <w:lang w:eastAsia="en-AU"/>
              </w:rPr>
              <w:t> </w:t>
            </w:r>
            <w:r w:rsidRPr="00F10DD9">
              <w:rPr>
                <w:rFonts w:eastAsiaTheme="minorEastAsia"/>
                <w:lang w:eastAsia="en-AU"/>
              </w:rPr>
              <w:t>hectares to suppress fires before they become established, minimising impact</w:t>
            </w:r>
          </w:p>
        </w:tc>
        <w:tc>
          <w:tcPr>
            <w:tcW w:w="908"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92"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nil"/>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87</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Personnel accredited to serve in a senior capacity (level 2 or 3) in a fire and emergency management role</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300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300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295</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Timeliness</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Assessment of model of cover completed to assess resource requirements and availability</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date</w:t>
            </w:r>
          </w:p>
        </w:tc>
        <w:tc>
          <w:tcPr>
            <w:tcW w:w="907" w:type="dxa"/>
            <w:tcBorders>
              <w:top w:val="nil"/>
              <w:left w:val="nil"/>
              <w:bottom w:val="nil"/>
              <w:right w:val="nil"/>
            </w:tcBorders>
            <w:shd w:val="clear" w:color="auto" w:fill="DCDCDC"/>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2016</w:t>
            </w:r>
          </w:p>
        </w:tc>
        <w:tc>
          <w:tcPr>
            <w:tcW w:w="992"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 xml:space="preserve">Dec </w:t>
            </w:r>
            <w:r w:rsidRPr="00F10DD9">
              <w:rPr>
                <w:rFonts w:ascii="Calibri" w:eastAsiaTheme="minorEastAsia" w:hAnsi="Calibri" w:cs="Calibri"/>
                <w:color w:val="000000"/>
                <w:sz w:val="19"/>
                <w:szCs w:val="22"/>
                <w:lang w:eastAsia="en-AU"/>
              </w:rPr>
              <w:t>2015</w:t>
            </w:r>
          </w:p>
        </w:tc>
        <w:tc>
          <w:tcPr>
            <w:tcW w:w="907"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2015</w:t>
            </w:r>
          </w:p>
        </w:tc>
        <w:tc>
          <w:tcPr>
            <w:tcW w:w="907"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2014</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Assessment of model of cover completed prior to fire season to assess resources available and requirement for the upcoming fire season</w:t>
            </w:r>
            <w:r>
              <w:rPr>
                <w:rFonts w:eastAsiaTheme="minorEastAsia"/>
              </w:rPr>
              <w:t>’</w:t>
            </w:r>
            <w:r w:rsidRPr="00F10DD9">
              <w:rPr>
                <w:rFonts w:eastAsiaTheme="minorEastAsia"/>
              </w:rPr>
              <w:t>. This measure reports on the same activity as the previous measure, however has been amended for increased clarity.</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Fire operation</w:t>
            </w:r>
            <w:r>
              <w:rPr>
                <w:rFonts w:eastAsiaTheme="minorEastAsia"/>
                <w:lang w:eastAsia="en-AU"/>
              </w:rPr>
              <w:t>s</w:t>
            </w:r>
            <w:r w:rsidRPr="00F10DD9">
              <w:rPr>
                <w:rFonts w:eastAsiaTheme="minorEastAsia"/>
                <w:lang w:eastAsia="en-AU"/>
              </w:rPr>
              <w:t xml:space="preserve"> plans completed</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date</w:t>
            </w:r>
          </w:p>
        </w:tc>
        <w:tc>
          <w:tcPr>
            <w:tcW w:w="907" w:type="dxa"/>
            <w:tcBorders>
              <w:top w:val="nil"/>
              <w:left w:val="nil"/>
              <w:bottom w:val="nil"/>
              <w:right w:val="nil"/>
            </w:tcBorders>
            <w:shd w:val="clear" w:color="auto" w:fill="DCDCDC"/>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Oct 2016</w:t>
            </w:r>
          </w:p>
        </w:tc>
        <w:tc>
          <w:tcPr>
            <w:tcW w:w="992"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Oct 2015</w:t>
            </w:r>
          </w:p>
        </w:tc>
        <w:tc>
          <w:tcPr>
            <w:tcW w:w="907"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Oct 2014</w:t>
            </w:r>
          </w:p>
        </w:tc>
        <w:tc>
          <w:tcPr>
            <w:tcW w:w="907"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Sep 2014</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cs="Calibri"/>
                <w:color w:val="000000"/>
                <w:szCs w:val="22"/>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District fire operations plans completed</w:t>
            </w:r>
            <w:r>
              <w:rPr>
                <w:rFonts w:eastAsiaTheme="minorEastAsia"/>
              </w:rPr>
              <w:t>’</w:t>
            </w:r>
            <w:r w:rsidRPr="00F10DD9">
              <w:rPr>
                <w:rFonts w:eastAsiaTheme="minorEastAsia"/>
              </w:rPr>
              <w:t>. This measure reports on the same activity as the previous measure, however has been amended to capture both regional and district level fire operation</w:t>
            </w:r>
            <w:r>
              <w:rPr>
                <w:rFonts w:eastAsiaTheme="minorEastAsia"/>
              </w:rPr>
              <w:t>s</w:t>
            </w:r>
            <w:r w:rsidRPr="00F10DD9">
              <w:rPr>
                <w:rFonts w:eastAsiaTheme="minorEastAsia"/>
              </w:rPr>
              <w:t xml:space="preserve"> plans.</w:t>
            </w:r>
          </w:p>
        </w:tc>
      </w:tr>
      <w:tr w:rsidR="00E25CC6" w:rsidRPr="00F10DD9" w:rsidTr="00F10DD9">
        <w:trPr>
          <w:cantSplit/>
        </w:trPr>
        <w:tc>
          <w:tcPr>
            <w:tcW w:w="3146" w:type="dxa"/>
            <w:tcBorders>
              <w:top w:val="single" w:sz="6" w:space="0" w:color="auto"/>
              <w:left w:val="nil"/>
              <w:bottom w:val="single" w:sz="6" w:space="0" w:color="auto"/>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Fires contained at first attack to suppress fires before they become established, minimising impact</w:t>
            </w:r>
          </w:p>
        </w:tc>
        <w:tc>
          <w:tcPr>
            <w:tcW w:w="908"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F10DD9" w:rsidRDefault="00E25CC6" w:rsidP="00F10DD9">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83</w:t>
            </w:r>
          </w:p>
        </w:tc>
      </w:tr>
      <w:tr w:rsidR="00E25CC6" w:rsidRPr="00F10DD9" w:rsidTr="00F10DD9">
        <w:trPr>
          <w:cantSplit/>
        </w:trPr>
        <w:tc>
          <w:tcPr>
            <w:tcW w:w="3146" w:type="dxa"/>
            <w:tcBorders>
              <w:top w:val="nil"/>
              <w:left w:val="nil"/>
              <w:bottom w:val="nil"/>
              <w:right w:val="nil"/>
            </w:tcBorders>
          </w:tcPr>
          <w:p w:rsidR="00E25CC6" w:rsidRPr="00F10DD9" w:rsidRDefault="00E25CC6" w:rsidP="00F10DD9">
            <w:pPr>
              <w:pStyle w:val="OGTabText"/>
              <w:rPr>
                <w:rFonts w:eastAsiaTheme="minorEastAsia"/>
                <w:lang w:eastAsia="en-AU"/>
              </w:rPr>
            </w:pPr>
            <w:r w:rsidRPr="00F10DD9">
              <w:rPr>
                <w:rFonts w:eastAsiaTheme="minorEastAsia"/>
                <w:lang w:eastAsia="en-AU"/>
              </w:rPr>
              <w:t>Readiness and response plans completed prior to the upcoming fire season</w:t>
            </w:r>
          </w:p>
        </w:tc>
        <w:tc>
          <w:tcPr>
            <w:tcW w:w="908" w:type="dxa"/>
            <w:tcBorders>
              <w:top w:val="nil"/>
              <w:left w:val="nil"/>
              <w:bottom w:val="nil"/>
              <w:right w:val="nil"/>
            </w:tcBorders>
          </w:tcPr>
          <w:p w:rsidR="00E25CC6" w:rsidRPr="00F10DD9" w:rsidRDefault="00E25CC6" w:rsidP="00F10DD9">
            <w:pPr>
              <w:autoSpaceDE w:val="0"/>
              <w:autoSpaceDN w:val="0"/>
              <w:adjustRightInd w:val="0"/>
              <w:spacing w:after="0"/>
              <w:jc w:val="center"/>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date</w:t>
            </w:r>
          </w:p>
        </w:tc>
        <w:tc>
          <w:tcPr>
            <w:tcW w:w="907" w:type="dxa"/>
            <w:tcBorders>
              <w:top w:val="single" w:sz="6" w:space="0" w:color="auto"/>
              <w:left w:val="nil"/>
              <w:bottom w:val="nil"/>
              <w:right w:val="nil"/>
            </w:tcBorders>
            <w:shd w:val="clear" w:color="auto" w:fill="DCDCDC"/>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Oct 2016</w:t>
            </w:r>
          </w:p>
        </w:tc>
        <w:tc>
          <w:tcPr>
            <w:tcW w:w="992"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2015</w:t>
            </w:r>
          </w:p>
        </w:tc>
        <w:tc>
          <w:tcPr>
            <w:tcW w:w="907"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2015</w:t>
            </w:r>
          </w:p>
        </w:tc>
        <w:tc>
          <w:tcPr>
            <w:tcW w:w="907" w:type="dxa"/>
            <w:tcBorders>
              <w:top w:val="nil"/>
              <w:left w:val="nil"/>
              <w:bottom w:val="nil"/>
              <w:right w:val="nil"/>
            </w:tcBorders>
          </w:tcPr>
          <w:p w:rsidR="00E25CC6" w:rsidRPr="00F10DD9" w:rsidRDefault="00E25CC6" w:rsidP="009F3D7E">
            <w:pPr>
              <w:autoSpaceDE w:val="0"/>
              <w:autoSpaceDN w:val="0"/>
              <w:adjustRightInd w:val="0"/>
              <w:spacing w:after="0"/>
              <w:jc w:val="right"/>
              <w:rPr>
                <w:rFonts w:ascii="Calibri" w:eastAsiaTheme="minorEastAsia" w:hAnsi="Calibri" w:cs="Calibri"/>
                <w:color w:val="000000"/>
                <w:sz w:val="19"/>
                <w:szCs w:val="22"/>
                <w:lang w:eastAsia="en-AU"/>
              </w:rPr>
            </w:pPr>
            <w:r w:rsidRPr="00F10DD9">
              <w:rPr>
                <w:rFonts w:ascii="Calibri" w:eastAsiaTheme="minorEastAsia" w:hAnsi="Calibri" w:cs="Calibri"/>
                <w:color w:val="000000"/>
                <w:sz w:val="19"/>
                <w:szCs w:val="22"/>
                <w:lang w:eastAsia="en-AU"/>
              </w:rPr>
              <w:t>Dec 2014</w:t>
            </w:r>
          </w:p>
        </w:tc>
      </w:tr>
      <w:tr w:rsidR="00E25CC6" w:rsidRPr="00F10DD9" w:rsidTr="00F10DD9">
        <w:trPr>
          <w:cantSplit/>
        </w:trPr>
        <w:tc>
          <w:tcPr>
            <w:tcW w:w="7767" w:type="dxa"/>
            <w:gridSpan w:val="6"/>
            <w:tcBorders>
              <w:top w:val="nil"/>
              <w:left w:val="nil"/>
              <w:bottom w:val="single" w:sz="6" w:space="0" w:color="auto"/>
              <w:right w:val="nil"/>
            </w:tcBorders>
          </w:tcPr>
          <w:p w:rsidR="00E25CC6" w:rsidRPr="00F10DD9" w:rsidRDefault="00E25CC6" w:rsidP="00F10DD9">
            <w:pPr>
              <w:pStyle w:val="OGNotes"/>
              <w:rPr>
                <w:rFonts w:eastAsiaTheme="minorEastAsia"/>
              </w:rPr>
            </w:pPr>
            <w:r w:rsidRPr="00F10DD9">
              <w:rPr>
                <w:rFonts w:eastAsiaTheme="minorEastAsia"/>
              </w:rPr>
              <w:t>This performance measure renames the 2015</w:t>
            </w:r>
            <w:r>
              <w:rPr>
                <w:rFonts w:eastAsiaTheme="minorEastAsia"/>
              </w:rPr>
              <w:noBreakHyphen/>
            </w:r>
            <w:r w:rsidRPr="00F10DD9">
              <w:rPr>
                <w:rFonts w:eastAsiaTheme="minorEastAsia"/>
              </w:rPr>
              <w:t xml:space="preserve">16 performance measure </w:t>
            </w:r>
            <w:r>
              <w:rPr>
                <w:rFonts w:eastAsiaTheme="minorEastAsia"/>
              </w:rPr>
              <w:t>‘</w:t>
            </w:r>
            <w:r w:rsidRPr="00F10DD9">
              <w:rPr>
                <w:rFonts w:eastAsiaTheme="minorEastAsia"/>
              </w:rPr>
              <w:t>Readiness and response plans completed prior to fire season</w:t>
            </w:r>
            <w:r>
              <w:rPr>
                <w:rFonts w:eastAsiaTheme="minorEastAsia"/>
              </w:rPr>
              <w:t>’</w:t>
            </w:r>
            <w:r w:rsidRPr="00F10DD9">
              <w:rPr>
                <w:rFonts w:eastAsiaTheme="minorEastAsia"/>
              </w:rPr>
              <w:t xml:space="preserve">. This measure reports on the same activity as the previous measure, however, has been amended for increased clarity. </w:t>
            </w:r>
          </w:p>
          <w:p w:rsidR="00E25CC6" w:rsidRPr="00F10DD9" w:rsidRDefault="00E25CC6" w:rsidP="00AA316E">
            <w:pPr>
              <w:pStyle w:val="OGNotes"/>
              <w:rPr>
                <w:rFonts w:eastAsiaTheme="minorEastAsia"/>
              </w:rPr>
            </w:pPr>
            <w:r w:rsidRPr="00F10DD9">
              <w:rPr>
                <w:rFonts w:eastAsiaTheme="minorEastAsia"/>
              </w:rPr>
              <w:t>The 2016</w:t>
            </w:r>
            <w:r>
              <w:rPr>
                <w:rFonts w:eastAsiaTheme="minorEastAsia"/>
              </w:rPr>
              <w:noBreakHyphen/>
            </w:r>
            <w:r w:rsidRPr="00F10DD9">
              <w:rPr>
                <w:rFonts w:eastAsiaTheme="minorEastAsia"/>
              </w:rPr>
              <w:t xml:space="preserve">17 </w:t>
            </w:r>
            <w:r w:rsidRPr="0092490D">
              <w:rPr>
                <w:rFonts w:eastAsiaTheme="minorEastAsia"/>
              </w:rPr>
              <w:t>target</w:t>
            </w:r>
            <w:r w:rsidRPr="00F10DD9">
              <w:rPr>
                <w:rFonts w:eastAsiaTheme="minorEastAsia"/>
              </w:rPr>
              <w:t xml:space="preserve"> has also been bought forward to allow for early completion of preparation activities.</w:t>
            </w:r>
          </w:p>
        </w:tc>
      </w:tr>
      <w:tr w:rsidR="00E25CC6" w:rsidRPr="00F10DD9" w:rsidTr="00F10DD9">
        <w:trPr>
          <w:cantSplit/>
        </w:trPr>
        <w:tc>
          <w:tcPr>
            <w:tcW w:w="3146" w:type="dxa"/>
            <w:tcBorders>
              <w:top w:val="nil"/>
              <w:left w:val="nil"/>
              <w:bottom w:val="nil"/>
              <w:right w:val="nil"/>
            </w:tcBorders>
          </w:tcPr>
          <w:p w:rsidR="00E25CC6" w:rsidRPr="00F10DD9" w:rsidRDefault="00E25CC6" w:rsidP="00487194">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F10DD9">
              <w:rPr>
                <w:rFonts w:ascii="Calibri" w:eastAsiaTheme="minorEastAsia" w:hAnsi="Calibri" w:cs="Calibri"/>
                <w:i/>
                <w:iCs/>
                <w:color w:val="000000"/>
                <w:sz w:val="19"/>
                <w:szCs w:val="22"/>
                <w:lang w:eastAsia="en-AU"/>
              </w:rPr>
              <w:t>Cost</w:t>
            </w:r>
          </w:p>
        </w:tc>
        <w:tc>
          <w:tcPr>
            <w:tcW w:w="908" w:type="dxa"/>
            <w:tcBorders>
              <w:top w:val="nil"/>
              <w:left w:val="nil"/>
              <w:bottom w:val="nil"/>
              <w:right w:val="nil"/>
            </w:tcBorders>
          </w:tcPr>
          <w:p w:rsidR="00E25CC6" w:rsidRPr="00F10DD9" w:rsidRDefault="00E25CC6" w:rsidP="00487194">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F10DD9" w:rsidRDefault="00E25CC6" w:rsidP="00487194">
            <w:pPr>
              <w:keepNext/>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F10DD9" w:rsidRDefault="00E25CC6" w:rsidP="00487194">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487194">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F10DD9" w:rsidRDefault="00E25CC6" w:rsidP="00487194">
            <w:pPr>
              <w:keepNext/>
              <w:autoSpaceDE w:val="0"/>
              <w:autoSpaceDN w:val="0"/>
              <w:adjustRightInd w:val="0"/>
              <w:spacing w:after="0"/>
              <w:rPr>
                <w:rFonts w:ascii="Calibri" w:eastAsiaTheme="minorEastAsia" w:hAnsi="Calibri" w:cs="Calibri"/>
                <w:color w:val="000000"/>
                <w:sz w:val="19"/>
                <w:szCs w:val="22"/>
                <w:lang w:eastAsia="en-AU"/>
              </w:rPr>
            </w:pPr>
          </w:p>
        </w:tc>
      </w:tr>
      <w:tr w:rsidR="00E25CC6" w:rsidRPr="00861EFF" w:rsidTr="00FF1758">
        <w:trPr>
          <w:cantSplit/>
        </w:trPr>
        <w:tc>
          <w:tcPr>
            <w:tcW w:w="3146" w:type="dxa"/>
            <w:tcBorders>
              <w:top w:val="nil"/>
              <w:left w:val="nil"/>
              <w:bottom w:val="nil"/>
              <w:right w:val="nil"/>
            </w:tcBorders>
          </w:tcPr>
          <w:p w:rsidR="00E25CC6" w:rsidRPr="00861EFF" w:rsidRDefault="00E25CC6" w:rsidP="00487194">
            <w:pPr>
              <w:pStyle w:val="OGTabText"/>
              <w:keepNext/>
              <w:rPr>
                <w:rFonts w:eastAsiaTheme="minorEastAsia"/>
                <w:lang w:eastAsia="en-AU"/>
              </w:rPr>
            </w:pPr>
            <w:r w:rsidRPr="00861EFF">
              <w:rPr>
                <w:rFonts w:eastAsiaTheme="minorEastAsia"/>
                <w:lang w:eastAsia="en-AU"/>
              </w:rPr>
              <w:t>Total output cost</w:t>
            </w:r>
          </w:p>
        </w:tc>
        <w:tc>
          <w:tcPr>
            <w:tcW w:w="908" w:type="dxa"/>
            <w:tcBorders>
              <w:top w:val="nil"/>
              <w:left w:val="nil"/>
              <w:bottom w:val="nil"/>
              <w:right w:val="nil"/>
            </w:tcBorders>
          </w:tcPr>
          <w:p w:rsidR="00E25CC6" w:rsidRPr="00861EFF" w:rsidRDefault="00E25CC6" w:rsidP="00487194">
            <w:pPr>
              <w:keepNext/>
              <w:autoSpaceDE w:val="0"/>
              <w:autoSpaceDN w:val="0"/>
              <w:adjustRightInd w:val="0"/>
              <w:spacing w:after="0"/>
              <w:jc w:val="center"/>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861EFF" w:rsidRDefault="00E25CC6" w:rsidP="00487194">
            <w:pPr>
              <w:keepNext/>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371.8</w:t>
            </w:r>
          </w:p>
        </w:tc>
        <w:tc>
          <w:tcPr>
            <w:tcW w:w="992" w:type="dxa"/>
            <w:tcBorders>
              <w:top w:val="nil"/>
              <w:left w:val="nil"/>
              <w:bottom w:val="nil"/>
              <w:right w:val="nil"/>
            </w:tcBorders>
          </w:tcPr>
          <w:p w:rsidR="00E25CC6" w:rsidRPr="00861EFF" w:rsidRDefault="00E25CC6" w:rsidP="00487194">
            <w:pPr>
              <w:keepNext/>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353.7</w:t>
            </w:r>
          </w:p>
        </w:tc>
        <w:tc>
          <w:tcPr>
            <w:tcW w:w="907" w:type="dxa"/>
            <w:tcBorders>
              <w:top w:val="nil"/>
              <w:left w:val="nil"/>
              <w:bottom w:val="nil"/>
              <w:right w:val="nil"/>
            </w:tcBorders>
          </w:tcPr>
          <w:p w:rsidR="00E25CC6" w:rsidRPr="00861EFF" w:rsidRDefault="00E25CC6" w:rsidP="00487194">
            <w:pPr>
              <w:keepNext/>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335.1</w:t>
            </w:r>
          </w:p>
        </w:tc>
        <w:tc>
          <w:tcPr>
            <w:tcW w:w="907" w:type="dxa"/>
            <w:tcBorders>
              <w:top w:val="nil"/>
              <w:left w:val="nil"/>
              <w:bottom w:val="nil"/>
              <w:right w:val="nil"/>
            </w:tcBorders>
          </w:tcPr>
          <w:p w:rsidR="00E25CC6" w:rsidRPr="00861EFF" w:rsidRDefault="00E25CC6" w:rsidP="00487194">
            <w:pPr>
              <w:keepNext/>
              <w:autoSpaceDE w:val="0"/>
              <w:autoSpaceDN w:val="0"/>
              <w:adjustRightInd w:val="0"/>
              <w:spacing w:after="0"/>
              <w:jc w:val="right"/>
              <w:rPr>
                <w:rFonts w:ascii="Calibri" w:eastAsiaTheme="minorEastAsia" w:hAnsi="Calibri" w:cs="Calibri"/>
                <w:sz w:val="19"/>
                <w:szCs w:val="22"/>
                <w:lang w:eastAsia="en-AU"/>
              </w:rPr>
            </w:pPr>
            <w:r w:rsidRPr="00861EFF">
              <w:rPr>
                <w:rFonts w:ascii="Calibri" w:eastAsiaTheme="minorEastAsia" w:hAnsi="Calibri" w:cs="Calibri"/>
                <w:sz w:val="19"/>
                <w:szCs w:val="22"/>
                <w:lang w:eastAsia="en-AU"/>
              </w:rPr>
              <w:t>347.8</w:t>
            </w:r>
          </w:p>
        </w:tc>
      </w:tr>
      <w:tr w:rsidR="00E25CC6" w:rsidRPr="00F10DD9" w:rsidTr="00B365A1">
        <w:trPr>
          <w:cantSplit/>
        </w:trPr>
        <w:tc>
          <w:tcPr>
            <w:tcW w:w="7767" w:type="dxa"/>
            <w:gridSpan w:val="6"/>
            <w:tcBorders>
              <w:top w:val="nil"/>
              <w:left w:val="nil"/>
              <w:bottom w:val="single" w:sz="12" w:space="0" w:color="auto"/>
              <w:right w:val="nil"/>
            </w:tcBorders>
          </w:tcPr>
          <w:p w:rsidR="00E25CC6" w:rsidRPr="00861EFF" w:rsidRDefault="00E25CC6" w:rsidP="00FF1758">
            <w:pPr>
              <w:pStyle w:val="OGNotes"/>
              <w:rPr>
                <w:rFonts w:eastAsiaTheme="minorEastAsia"/>
              </w:rPr>
            </w:pPr>
            <w:r w:rsidRPr="00861EFF">
              <w:rPr>
                <w:rFonts w:eastAsiaTheme="minorEastAsia"/>
              </w:rPr>
              <w:t>The 2015</w:t>
            </w:r>
            <w:r w:rsidRPr="00861EFF">
              <w:rPr>
                <w:rFonts w:eastAsiaTheme="minorEastAsia"/>
              </w:rPr>
              <w:noBreakHyphen/>
              <w:t>16 expected outcome is higher than the 2015</w:t>
            </w:r>
            <w:r w:rsidRPr="00861EFF">
              <w:rPr>
                <w:rFonts w:eastAsiaTheme="minorEastAsia"/>
              </w:rPr>
              <w:noBreakHyphen/>
              <w:t>16 target due to one-off funding for a range of fire-related initiatives.</w:t>
            </w:r>
          </w:p>
          <w:p w:rsidR="00E25CC6" w:rsidRPr="00861EFF" w:rsidRDefault="00E25CC6" w:rsidP="009F13B8">
            <w:pPr>
              <w:pStyle w:val="OGNotes"/>
              <w:rPr>
                <w:rFonts w:eastAsiaTheme="minorEastAsia"/>
              </w:rPr>
            </w:pPr>
            <w:r w:rsidRPr="00861EFF">
              <w:rPr>
                <w:rFonts w:eastAsiaTheme="minorEastAsia"/>
              </w:rPr>
              <w:t>The higher 2016</w:t>
            </w:r>
            <w:r w:rsidRPr="00861EFF">
              <w:rPr>
                <w:rFonts w:eastAsiaTheme="minorEastAsia"/>
              </w:rPr>
              <w:noBreakHyphen/>
              <w:t xml:space="preserve">17 target primarily reflects initiatives funded as part of the </w:t>
            </w:r>
            <w:r w:rsidRPr="00861EFF">
              <w:rPr>
                <w:rFonts w:eastAsiaTheme="minorEastAsia"/>
                <w:i w:val="0"/>
              </w:rPr>
              <w:t>2016</w:t>
            </w:r>
            <w:r w:rsidRPr="00861EFF">
              <w:rPr>
                <w:rFonts w:eastAsiaTheme="minorEastAsia"/>
                <w:i w:val="0"/>
              </w:rPr>
              <w:noBreakHyphen/>
              <w:t>17 Budget</w:t>
            </w:r>
            <w:r w:rsidRPr="00861EFF">
              <w:rPr>
                <w:rFonts w:eastAsiaTheme="minorEastAsia"/>
              </w:rPr>
              <w:t>.</w:t>
            </w:r>
          </w:p>
        </w:tc>
      </w:tr>
    </w:tbl>
    <w:p w:rsidR="00E25CC6" w:rsidRPr="009B15FF" w:rsidRDefault="00E25CC6" w:rsidP="00FB77DF">
      <w:pPr>
        <w:pStyle w:val="Source"/>
        <w:rPr>
          <w:rFonts w:eastAsiaTheme="minorHAnsi"/>
        </w:rPr>
      </w:pPr>
      <w:r>
        <w:rPr>
          <w:rFonts w:eastAsiaTheme="minorHAnsi"/>
        </w:rPr>
        <w:t>Source: Department of Environment, Land, Water and Planning</w:t>
      </w:r>
      <w:bookmarkEnd w:id="72"/>
      <w:r>
        <w:rPr>
          <w:rFonts w:eastAsiaTheme="minorHAnsi"/>
        </w:rPr>
        <w:t xml:space="preserve"> </w:t>
      </w:r>
      <w:r>
        <w:rPr>
          <w:rFonts w:eastAsiaTheme="minorHAnsi"/>
        </w:rPr>
        <w:fldChar w:fldCharType="begin"/>
      </w:r>
      <w:r>
        <w:instrText xml:space="preserve"> XE "</w:instrText>
      </w:r>
      <w:r w:rsidRPr="00E90DC0">
        <w:instrText>Department of Environment, Land, Water and Planning:Reduced impact of major bushfires and other emergencies on people, property and the environment</w:instrText>
      </w:r>
      <w:r>
        <w:instrText xml:space="preserve">" \r "DELWP_RedImpBushfire" </w:instrText>
      </w:r>
      <w:r>
        <w:rPr>
          <w:rFonts w:eastAsiaTheme="minorHAnsi"/>
        </w:rPr>
        <w:fldChar w:fldCharType="end"/>
      </w:r>
      <w:r>
        <w:rPr>
          <w:rFonts w:eastAsiaTheme="minorHAnsi"/>
        </w:rPr>
        <w:t xml:space="preserve"> </w:t>
      </w:r>
      <w:r>
        <w:rPr>
          <w:rFonts w:eastAsiaTheme="minorHAnsi"/>
        </w:rPr>
        <w:fldChar w:fldCharType="begin"/>
      </w:r>
      <w:r>
        <w:instrText xml:space="preserve"> XE "Emergency Services</w:instrText>
      </w:r>
      <w:r w:rsidRPr="00E90DC0">
        <w:instrText>:Reduced impact of major bushfires and other emergencies on people, property and the environment</w:instrText>
      </w:r>
      <w:r>
        <w:instrText xml:space="preserve">" \r "DELWP_RedImpBushfire" </w:instrText>
      </w:r>
      <w:r>
        <w:rPr>
          <w:rFonts w:eastAsiaTheme="minorHAnsi"/>
        </w:rPr>
        <w:fldChar w:fldCharType="end"/>
      </w:r>
    </w:p>
    <w:p w:rsidR="00E25CC6" w:rsidRDefault="00E25CC6" w:rsidP="0078370D">
      <w:pPr>
        <w:rPr>
          <w:rFonts w:eastAsiaTheme="minorHAnsi"/>
        </w:rPr>
        <w:sectPr w:rsidR="00E25CC6" w:rsidSect="0078370D">
          <w:headerReference w:type="even" r:id="rId29"/>
          <w:headerReference w:type="default" r:id="rId30"/>
          <w:footerReference w:type="even" r:id="rId31"/>
          <w:footerReference w:type="default" r:id="rId32"/>
          <w:headerReference w:type="first" r:id="rId33"/>
          <w:footerReference w:type="first" r:id="rId34"/>
          <w:pgSz w:w="9979" w:h="14181" w:code="138"/>
          <w:pgMar w:top="1140" w:right="1140" w:bottom="1140" w:left="1140" w:header="720" w:footer="431" w:gutter="0"/>
          <w:cols w:space="708"/>
          <w:docGrid w:linePitch="360"/>
        </w:sectPr>
      </w:pPr>
    </w:p>
    <w:p w:rsidR="00E25CC6" w:rsidRPr="00AF7B50" w:rsidRDefault="00E25CC6" w:rsidP="00820543">
      <w:pPr>
        <w:pStyle w:val="Heading1"/>
      </w:pPr>
      <w:bookmarkStart w:id="73" w:name="_Toc449109441"/>
      <w:r w:rsidRPr="00AF7B50">
        <w:t>Department of Health and Human Services</w:t>
      </w:r>
      <w:bookmarkEnd w:id="73"/>
    </w:p>
    <w:p w:rsidR="00E25CC6" w:rsidRPr="00AF7B50" w:rsidRDefault="00E25CC6" w:rsidP="00D366D2">
      <w:pPr>
        <w:pStyle w:val="Heading2"/>
        <w:rPr>
          <w:rFonts w:eastAsiaTheme="minorHAnsi"/>
        </w:rPr>
      </w:pPr>
      <w:r w:rsidRPr="00AF7B50">
        <w:rPr>
          <w:rFonts w:eastAsiaTheme="minorHAnsi"/>
        </w:rPr>
        <w:t>Ministerial portfolios</w:t>
      </w:r>
    </w:p>
    <w:p w:rsidR="00E25CC6" w:rsidRPr="00AF7B50" w:rsidRDefault="00E25CC6" w:rsidP="00D366D2">
      <w:pPr>
        <w:rPr>
          <w:rFonts w:eastAsiaTheme="minorHAnsi"/>
        </w:rPr>
      </w:pPr>
      <w:r w:rsidRPr="00AF7B50">
        <w:rPr>
          <w:rFonts w:eastAsiaTheme="minorHAnsi"/>
        </w:rPr>
        <w:t>The Department supports the ministerial portfolios of Health, Ambulance Services, Housing, Disability and Ageing, Mental Health, Families and Children, Youth Affairs and Sport.</w:t>
      </w:r>
    </w:p>
    <w:p w:rsidR="00E25CC6" w:rsidRPr="00AF7B50" w:rsidRDefault="00E25CC6" w:rsidP="00D366D2">
      <w:pPr>
        <w:pStyle w:val="Heading2"/>
        <w:rPr>
          <w:rFonts w:eastAsiaTheme="minorHAnsi"/>
        </w:rPr>
      </w:pPr>
      <w:r w:rsidRPr="00AF7B50">
        <w:rPr>
          <w:rFonts w:eastAsiaTheme="minorHAnsi"/>
        </w:rPr>
        <w:t>Departmental mission statement</w:t>
      </w:r>
    </w:p>
    <w:p w:rsidR="00E25CC6" w:rsidRPr="00AF7B50" w:rsidRDefault="00E25CC6" w:rsidP="00EB5698">
      <w:pPr>
        <w:rPr>
          <w:rFonts w:eastAsiaTheme="minorHAnsi"/>
        </w:rPr>
      </w:pPr>
      <w:r w:rsidRPr="00AF7B50">
        <w:rPr>
          <w:rFonts w:eastAsiaTheme="minorHAnsi"/>
        </w:rPr>
        <w:t>The Department develops and delivers policies, programs and services that support and enhance the health and wellbeing of all Victorians.</w:t>
      </w:r>
    </w:p>
    <w:p w:rsidR="00E25CC6" w:rsidRPr="00AF7B50" w:rsidRDefault="00E25CC6" w:rsidP="00EB5698">
      <w:pPr>
        <w:rPr>
          <w:rFonts w:eastAsiaTheme="minorHAnsi"/>
        </w:rPr>
      </w:pPr>
      <w:r w:rsidRPr="00AF7B50">
        <w:rPr>
          <w:rFonts w:eastAsiaTheme="minorHAnsi"/>
        </w:rPr>
        <w:t>With its service partners and the community, the Department provides services and support to:</w:t>
      </w:r>
    </w:p>
    <w:p w:rsidR="00E25CC6" w:rsidRPr="00AF7B50" w:rsidRDefault="00E25CC6" w:rsidP="00EB5698">
      <w:pPr>
        <w:pStyle w:val="BulletText"/>
        <w:rPr>
          <w:rFonts w:eastAsiaTheme="minorHAnsi"/>
        </w:rPr>
      </w:pPr>
      <w:r w:rsidRPr="00AF7B50">
        <w:rPr>
          <w:rFonts w:eastAsiaTheme="minorHAnsi"/>
        </w:rPr>
        <w:t>help Victorians to be as healthy as they can;</w:t>
      </w:r>
    </w:p>
    <w:p w:rsidR="00E25CC6" w:rsidRPr="00AF7B50" w:rsidRDefault="00E25CC6" w:rsidP="00EB5698">
      <w:pPr>
        <w:pStyle w:val="BulletText"/>
        <w:rPr>
          <w:rFonts w:eastAsiaTheme="minorHAnsi"/>
        </w:rPr>
      </w:pPr>
      <w:r w:rsidRPr="00AF7B50">
        <w:rPr>
          <w:rFonts w:eastAsiaTheme="minorHAnsi"/>
        </w:rPr>
        <w:t>assist people to access opportunities that lead to positive, fulfilling lives;</w:t>
      </w:r>
    </w:p>
    <w:p w:rsidR="00E25CC6" w:rsidRPr="00AF7B50" w:rsidRDefault="00E25CC6" w:rsidP="00EB5698">
      <w:pPr>
        <w:pStyle w:val="BulletText"/>
        <w:rPr>
          <w:rFonts w:eastAsiaTheme="minorHAnsi"/>
        </w:rPr>
      </w:pPr>
      <w:r w:rsidRPr="00AF7B50">
        <w:rPr>
          <w:rFonts w:eastAsiaTheme="minorHAnsi"/>
        </w:rPr>
        <w:t>build people</w:t>
      </w:r>
      <w:r>
        <w:rPr>
          <w:rFonts w:eastAsiaTheme="minorHAnsi"/>
        </w:rPr>
        <w:t>’</w:t>
      </w:r>
      <w:r w:rsidRPr="00AF7B50">
        <w:rPr>
          <w:rFonts w:eastAsiaTheme="minorHAnsi"/>
        </w:rPr>
        <w:t>s capacity to participate in social, economic and community life;</w:t>
      </w:r>
    </w:p>
    <w:p w:rsidR="00E25CC6" w:rsidRPr="00AF7B50" w:rsidRDefault="00E25CC6" w:rsidP="00EB5698">
      <w:pPr>
        <w:pStyle w:val="BulletText"/>
        <w:rPr>
          <w:rFonts w:eastAsiaTheme="minorHAnsi"/>
        </w:rPr>
      </w:pPr>
      <w:r w:rsidRPr="00AF7B50">
        <w:rPr>
          <w:rFonts w:eastAsiaTheme="minorHAnsi"/>
        </w:rPr>
        <w:t xml:space="preserve">contribute to a society that is inclusive, provides fair access to opportunity for all, and in which health and social inequality is minimised; </w:t>
      </w:r>
    </w:p>
    <w:p w:rsidR="00E25CC6" w:rsidRPr="00AF7B50" w:rsidRDefault="00E25CC6" w:rsidP="00EB5698">
      <w:pPr>
        <w:pStyle w:val="BulletText"/>
        <w:rPr>
          <w:rFonts w:eastAsiaTheme="minorHAnsi"/>
        </w:rPr>
      </w:pPr>
      <w:r w:rsidRPr="00AF7B50">
        <w:rPr>
          <w:rFonts w:eastAsiaTheme="minorHAnsi"/>
        </w:rPr>
        <w:t>provide services, and protection for the most vulnerable members of society, and build resilience to overcome the challenges that communities and individuals face; and</w:t>
      </w:r>
    </w:p>
    <w:p w:rsidR="00E25CC6" w:rsidRPr="00AF7B50" w:rsidRDefault="00E25CC6" w:rsidP="00EB5698">
      <w:pPr>
        <w:pStyle w:val="BulletText"/>
        <w:rPr>
          <w:rFonts w:eastAsiaTheme="minorHAnsi"/>
        </w:rPr>
      </w:pPr>
      <w:r w:rsidRPr="00AF7B50">
        <w:rPr>
          <w:rFonts w:eastAsiaTheme="minorHAnsi"/>
        </w:rPr>
        <w:t>provide integrated care that is responsive to the needs of individuals, families and local communities.</w:t>
      </w:r>
    </w:p>
    <w:p w:rsidR="00E25CC6" w:rsidRPr="00AF7B50" w:rsidRDefault="00E25CC6" w:rsidP="00D366D2">
      <w:pPr>
        <w:pStyle w:val="Heading2"/>
        <w:rPr>
          <w:rFonts w:eastAsiaTheme="minorHAnsi"/>
        </w:rPr>
      </w:pPr>
      <w:r w:rsidRPr="00AF7B50">
        <w:rPr>
          <w:rFonts w:eastAsiaTheme="minorHAnsi"/>
        </w:rPr>
        <w:t>Departmental objectives, indicators and outputs</w:t>
      </w:r>
    </w:p>
    <w:p w:rsidR="00E25CC6" w:rsidRPr="00AF7B50" w:rsidRDefault="00E25CC6" w:rsidP="00D366D2">
      <w:pPr>
        <w:rPr>
          <w:rFonts w:eastAsiaTheme="minorHAnsi"/>
        </w:rPr>
      </w:pPr>
      <w:r w:rsidRPr="00AF7B50">
        <w:rPr>
          <w:rFonts w:eastAsiaTheme="minorHAnsi"/>
        </w:rPr>
        <w:t>The Department of Health and Human Services objectives, indicators, and linked outputs are listed below.</w:t>
      </w:r>
    </w:p>
    <w:tbl>
      <w:tblPr>
        <w:tblW w:w="5000" w:type="pct"/>
        <w:tblBorders>
          <w:bottom w:val="single" w:sz="12" w:space="0" w:color="auto"/>
          <w:insideH w:val="single" w:sz="6" w:space="0" w:color="auto"/>
        </w:tblBorders>
        <w:tblCellMar>
          <w:left w:w="43" w:type="dxa"/>
          <w:right w:w="43" w:type="dxa"/>
        </w:tblCellMar>
        <w:tblLook w:val="04A0" w:firstRow="1" w:lastRow="0" w:firstColumn="1" w:lastColumn="0" w:noHBand="0" w:noVBand="1"/>
      </w:tblPr>
      <w:tblGrid>
        <w:gridCol w:w="2169"/>
        <w:gridCol w:w="3400"/>
        <w:gridCol w:w="2216"/>
      </w:tblGrid>
      <w:tr w:rsidR="00E25CC6" w:rsidRPr="00AF7B50" w:rsidTr="00574AA4">
        <w:trPr>
          <w:cantSplit/>
          <w:trHeight w:val="240"/>
          <w:tblHeader/>
        </w:trPr>
        <w:tc>
          <w:tcPr>
            <w:tcW w:w="1393" w:type="pct"/>
            <w:shd w:val="clear" w:color="auto" w:fill="000000"/>
          </w:tcPr>
          <w:p w:rsidR="00E25CC6" w:rsidRPr="00AF7B50" w:rsidRDefault="00E25CC6" w:rsidP="00574AA4">
            <w:pPr>
              <w:pStyle w:val="TabletextheadingLeft0"/>
            </w:pPr>
            <w:r w:rsidRPr="00AF7B50">
              <w:t>Departmental objectives</w:t>
            </w:r>
          </w:p>
        </w:tc>
        <w:tc>
          <w:tcPr>
            <w:tcW w:w="2184" w:type="pct"/>
            <w:shd w:val="clear" w:color="auto" w:fill="000000"/>
          </w:tcPr>
          <w:p w:rsidR="00E25CC6" w:rsidRPr="00AF7B50" w:rsidRDefault="00E25CC6" w:rsidP="00574AA4">
            <w:pPr>
              <w:pStyle w:val="TabletextheadingLeft0"/>
            </w:pPr>
            <w:r w:rsidRPr="00AF7B50">
              <w:t>Indicators</w:t>
            </w:r>
          </w:p>
        </w:tc>
        <w:tc>
          <w:tcPr>
            <w:tcW w:w="1423" w:type="pct"/>
            <w:shd w:val="clear" w:color="auto" w:fill="000000" w:themeFill="text1"/>
          </w:tcPr>
          <w:p w:rsidR="00E25CC6" w:rsidRPr="00AF7B50" w:rsidRDefault="00E25CC6" w:rsidP="00C11DD0">
            <w:pPr>
              <w:pStyle w:val="TabletextheadingLeft0"/>
            </w:pPr>
            <w:r w:rsidRPr="00AF7B50">
              <w:t>Outputs</w:t>
            </w:r>
          </w:p>
        </w:tc>
      </w:tr>
      <w:tr w:rsidR="00E25CC6" w:rsidRPr="00AF7B50" w:rsidTr="00574AA4">
        <w:trPr>
          <w:cantSplit/>
          <w:trHeight w:val="1139"/>
        </w:trPr>
        <w:tc>
          <w:tcPr>
            <w:tcW w:w="1393" w:type="pct"/>
            <w:tcBorders>
              <w:bottom w:val="single" w:sz="6" w:space="0" w:color="auto"/>
            </w:tcBorders>
            <w:shd w:val="clear" w:color="auto" w:fill="auto"/>
          </w:tcPr>
          <w:p w:rsidR="00E25CC6" w:rsidRPr="00AF7B50" w:rsidRDefault="00E25CC6" w:rsidP="00574AA4">
            <w:pPr>
              <w:pStyle w:val="Tabletextnoindent"/>
            </w:pPr>
            <w:r w:rsidRPr="00AF7B50">
              <w:t>Victorians are as healthy as they can be by promoting good health, preventing disease and reducing health inequalities</w:t>
            </w:r>
          </w:p>
        </w:tc>
        <w:tc>
          <w:tcPr>
            <w:tcW w:w="2184" w:type="pct"/>
            <w:tcBorders>
              <w:bottom w:val="single" w:sz="6" w:space="0" w:color="auto"/>
            </w:tcBorders>
            <w:shd w:val="clear" w:color="auto" w:fill="auto"/>
          </w:tcPr>
          <w:p w:rsidR="00E25CC6" w:rsidRPr="00AF7B50" w:rsidRDefault="00E25CC6" w:rsidP="00574AA4">
            <w:pPr>
              <w:pStyle w:val="Tabletextnoindent"/>
            </w:pPr>
            <w:r w:rsidRPr="00AF7B50">
              <w:t>The prevalence of smoking, obesity and psychological chronic disease risk factors are reduced</w:t>
            </w:r>
          </w:p>
          <w:p w:rsidR="00E25CC6" w:rsidRPr="00AF7B50" w:rsidRDefault="00E25CC6" w:rsidP="00574AA4">
            <w:pPr>
              <w:pStyle w:val="Tabletextnoindent"/>
            </w:pPr>
            <w:r w:rsidRPr="00AF7B50">
              <w:t>Immunisation rates for vaccine preventable illness improve or compare favourably to other jurisdictions</w:t>
            </w:r>
          </w:p>
          <w:p w:rsidR="00E25CC6" w:rsidRPr="00AF7B50" w:rsidRDefault="00E25CC6" w:rsidP="00574AA4">
            <w:pPr>
              <w:pStyle w:val="Tabletextnoindent"/>
            </w:pPr>
            <w:r w:rsidRPr="00AF7B50">
              <w:t>Incidence/prevalence of selected potentially preventable health conditions is reduced</w:t>
            </w:r>
          </w:p>
          <w:p w:rsidR="00E25CC6" w:rsidRPr="00AF7B50" w:rsidRDefault="00E25CC6" w:rsidP="00574AA4">
            <w:pPr>
              <w:pStyle w:val="Tabletextnoindent"/>
            </w:pPr>
            <w:r w:rsidRPr="00AF7B50">
              <w:t>Fewer people are dying prematurely</w:t>
            </w:r>
          </w:p>
          <w:p w:rsidR="00E25CC6" w:rsidRPr="00AF7B50" w:rsidRDefault="00E25CC6" w:rsidP="00574AA4">
            <w:pPr>
              <w:pStyle w:val="Tabletextnoindent"/>
            </w:pPr>
            <w:r w:rsidRPr="00AF7B50">
              <w:t>Differences in health and social cultures for disadvantaged groups are reduced</w:t>
            </w:r>
          </w:p>
        </w:tc>
        <w:tc>
          <w:tcPr>
            <w:tcW w:w="1423" w:type="pct"/>
            <w:tcBorders>
              <w:bottom w:val="single" w:sz="6" w:space="0" w:color="auto"/>
            </w:tcBorders>
            <w:shd w:val="clear" w:color="auto" w:fill="auto"/>
          </w:tcPr>
          <w:p w:rsidR="00E25CC6" w:rsidRPr="00AF7B50" w:rsidRDefault="00E25CC6" w:rsidP="00574AA4">
            <w:pPr>
              <w:pStyle w:val="Tabletextnoindent"/>
            </w:pPr>
            <w:r w:rsidRPr="00AF7B50">
              <w:t>Ageing, Aged and Home Care</w:t>
            </w:r>
          </w:p>
          <w:p w:rsidR="00E25CC6" w:rsidRPr="00AF7B50" w:rsidRDefault="00E25CC6" w:rsidP="00574AA4">
            <w:pPr>
              <w:pStyle w:val="Tabletextnoindent"/>
            </w:pPr>
            <w:r w:rsidRPr="00AF7B50">
              <w:t>Primary, Community and Dental Health</w:t>
            </w:r>
          </w:p>
          <w:p w:rsidR="00E25CC6" w:rsidRPr="00AF7B50" w:rsidRDefault="00E25CC6" w:rsidP="00574AA4">
            <w:pPr>
              <w:pStyle w:val="Tabletextnoindent"/>
            </w:pPr>
            <w:r w:rsidRPr="00AF7B50">
              <w:t>Small Rural Services</w:t>
            </w:r>
          </w:p>
          <w:p w:rsidR="00E25CC6" w:rsidRPr="00AF7B50" w:rsidRDefault="00E25CC6" w:rsidP="00574AA4">
            <w:pPr>
              <w:pStyle w:val="Tabletextnoindent"/>
            </w:pPr>
            <w:r w:rsidRPr="00AF7B50">
              <w:t>Public Health</w:t>
            </w:r>
          </w:p>
          <w:p w:rsidR="00E25CC6" w:rsidRPr="00AF7B50" w:rsidRDefault="00E25CC6" w:rsidP="00574AA4">
            <w:pPr>
              <w:pStyle w:val="Tabletextnoindent"/>
            </w:pPr>
            <w:r w:rsidRPr="00AF7B50">
              <w:t>Drug Services</w:t>
            </w:r>
          </w:p>
        </w:tc>
      </w:tr>
      <w:tr w:rsidR="00E25CC6" w:rsidRPr="00AF7B50" w:rsidTr="00574AA4">
        <w:trPr>
          <w:cantSplit/>
          <w:trHeight w:val="733"/>
        </w:trPr>
        <w:tc>
          <w:tcPr>
            <w:tcW w:w="1393" w:type="pct"/>
            <w:shd w:val="clear" w:color="auto" w:fill="auto"/>
          </w:tcPr>
          <w:p w:rsidR="00E25CC6" w:rsidRPr="00AF7B50" w:rsidRDefault="00E25CC6" w:rsidP="00574AA4">
            <w:pPr>
              <w:pStyle w:val="Tabletextnoindent"/>
            </w:pPr>
            <w:r w:rsidRPr="00AF7B50">
              <w:t>Safe, integrated patient centred health services for the treatment of illness and disease</w:t>
            </w:r>
          </w:p>
        </w:tc>
        <w:tc>
          <w:tcPr>
            <w:tcW w:w="2184" w:type="pct"/>
            <w:shd w:val="clear" w:color="auto" w:fill="auto"/>
          </w:tcPr>
          <w:p w:rsidR="00E25CC6" w:rsidRPr="00AF7B50" w:rsidRDefault="00E25CC6" w:rsidP="00574AA4">
            <w:pPr>
              <w:pStyle w:val="Tabletextnoindent"/>
            </w:pPr>
            <w:r w:rsidRPr="00AF7B50">
              <w:t>Percentage of patients seen within clinically recommended times</w:t>
            </w:r>
          </w:p>
          <w:p w:rsidR="00E25CC6" w:rsidRPr="00AF7B50" w:rsidRDefault="00E25CC6" w:rsidP="00574AA4">
            <w:pPr>
              <w:pStyle w:val="Tabletextnoindent"/>
            </w:pPr>
            <w:r w:rsidRPr="00AF7B50">
              <w:t>Services provided to patients are safe and of high quality</w:t>
            </w:r>
          </w:p>
          <w:p w:rsidR="00E25CC6" w:rsidRPr="00AF7B50" w:rsidRDefault="00E25CC6" w:rsidP="00574AA4">
            <w:pPr>
              <w:pStyle w:val="Tabletextnoindent"/>
            </w:pPr>
            <w:r w:rsidRPr="00AF7B50">
              <w:t>More people are treated within out</w:t>
            </w:r>
            <w:r w:rsidRPr="00AF7B50">
              <w:noBreakHyphen/>
              <w:t>of</w:t>
            </w:r>
            <w:r w:rsidRPr="00AF7B50">
              <w:noBreakHyphen/>
              <w:t>hospital care settings</w:t>
            </w:r>
          </w:p>
          <w:p w:rsidR="00E25CC6" w:rsidRPr="00AF7B50" w:rsidRDefault="00E25CC6" w:rsidP="00574AA4">
            <w:pPr>
              <w:pStyle w:val="Tabletextnoindent"/>
            </w:pPr>
            <w:r w:rsidRPr="00AF7B50">
              <w:t>Patient experience demonstrates improvement in service</w:t>
            </w:r>
            <w:r w:rsidRPr="00AF7B50">
              <w:noBreakHyphen/>
              <w:t>level engagement</w:t>
            </w:r>
          </w:p>
        </w:tc>
        <w:tc>
          <w:tcPr>
            <w:tcW w:w="1423" w:type="pct"/>
            <w:shd w:val="clear" w:color="auto" w:fill="auto"/>
          </w:tcPr>
          <w:p w:rsidR="00E25CC6" w:rsidRPr="00AF7B50" w:rsidRDefault="00E25CC6" w:rsidP="00574AA4">
            <w:pPr>
              <w:pStyle w:val="Tabletextnoindent"/>
            </w:pPr>
            <w:r w:rsidRPr="00AF7B50">
              <w:t>Acute Health Services</w:t>
            </w:r>
          </w:p>
          <w:p w:rsidR="00E25CC6" w:rsidRPr="00AF7B50" w:rsidRDefault="00E25CC6" w:rsidP="00574AA4">
            <w:pPr>
              <w:pStyle w:val="Tabletextnoindent"/>
            </w:pPr>
            <w:r w:rsidRPr="00AF7B50">
              <w:t>Ambulance Services</w:t>
            </w:r>
          </w:p>
          <w:p w:rsidR="00E25CC6" w:rsidRPr="00AF7B50" w:rsidRDefault="00E25CC6" w:rsidP="00574AA4">
            <w:pPr>
              <w:pStyle w:val="Tabletextnoindent"/>
            </w:pPr>
            <w:r w:rsidRPr="00AF7B50">
              <w:t>Mental Health</w:t>
            </w:r>
          </w:p>
        </w:tc>
      </w:tr>
      <w:tr w:rsidR="00E25CC6" w:rsidRPr="00AF7B50" w:rsidTr="00574AA4">
        <w:trPr>
          <w:cantSplit/>
          <w:trHeight w:val="733"/>
        </w:trPr>
        <w:tc>
          <w:tcPr>
            <w:tcW w:w="1393" w:type="pct"/>
            <w:shd w:val="clear" w:color="auto" w:fill="auto"/>
          </w:tcPr>
          <w:p w:rsidR="00E25CC6" w:rsidRPr="00AF7B50" w:rsidRDefault="00E25CC6" w:rsidP="00574AA4">
            <w:pPr>
              <w:pStyle w:val="Tabletextnoindent"/>
            </w:pPr>
            <w:r w:rsidRPr="00AF7B50">
              <w:t>The Victorian health system delivers best practice health care</w:t>
            </w:r>
          </w:p>
        </w:tc>
        <w:tc>
          <w:tcPr>
            <w:tcW w:w="2184" w:type="pct"/>
            <w:shd w:val="clear" w:color="auto" w:fill="auto"/>
          </w:tcPr>
          <w:p w:rsidR="00E25CC6" w:rsidRPr="00AF7B50" w:rsidRDefault="00E25CC6" w:rsidP="00574AA4">
            <w:pPr>
              <w:pStyle w:val="Tabletextnoindent"/>
            </w:pPr>
            <w:r w:rsidRPr="00AF7B50">
              <w:t>Victoria derives greater value from its health investments</w:t>
            </w:r>
          </w:p>
          <w:p w:rsidR="00E25CC6" w:rsidRPr="00AF7B50" w:rsidRDefault="00E25CC6" w:rsidP="00574AA4">
            <w:pPr>
              <w:pStyle w:val="Tabletextnoindent"/>
            </w:pPr>
            <w:r w:rsidRPr="00AF7B50">
              <w:t>The Victorian public health system has a sustainable workforce</w:t>
            </w:r>
          </w:p>
          <w:p w:rsidR="00E25CC6" w:rsidRPr="00AF7B50" w:rsidRDefault="00E25CC6" w:rsidP="00574AA4">
            <w:pPr>
              <w:pStyle w:val="Tabletextnoindent"/>
            </w:pPr>
            <w:r w:rsidRPr="00AF7B50">
              <w:t>Reduced rate of hospital admissions for ambulatory care sensitive conditions</w:t>
            </w:r>
          </w:p>
          <w:p w:rsidR="00E25CC6" w:rsidRPr="00AF7B50" w:rsidRDefault="00E25CC6" w:rsidP="00574AA4">
            <w:pPr>
              <w:pStyle w:val="Tabletextnoindent"/>
            </w:pPr>
            <w:r w:rsidRPr="00AF7B50">
              <w:t>Victoria has a framework for sustainable infrastructure and fabric</w:t>
            </w:r>
          </w:p>
        </w:tc>
        <w:tc>
          <w:tcPr>
            <w:tcW w:w="1423" w:type="pct"/>
            <w:shd w:val="clear" w:color="auto" w:fill="auto"/>
          </w:tcPr>
          <w:p w:rsidR="00E25CC6" w:rsidRPr="00AF7B50" w:rsidRDefault="00E25CC6" w:rsidP="00574AA4">
            <w:pPr>
              <w:pStyle w:val="Tabletextnoindent"/>
            </w:pPr>
            <w:r w:rsidRPr="00AF7B50">
              <w:t>Acute Health Services</w:t>
            </w:r>
          </w:p>
          <w:p w:rsidR="00E25CC6" w:rsidRPr="00AF7B50" w:rsidRDefault="00E25CC6" w:rsidP="00574AA4">
            <w:pPr>
              <w:pStyle w:val="Tabletextnoindent"/>
            </w:pPr>
            <w:r w:rsidRPr="00AF7B50">
              <w:t>Mental Health</w:t>
            </w:r>
          </w:p>
        </w:tc>
      </w:tr>
      <w:tr w:rsidR="00E25CC6" w:rsidRPr="00AF7B50" w:rsidTr="0063214F">
        <w:trPr>
          <w:cantSplit/>
          <w:trHeight w:val="733"/>
        </w:trPr>
        <w:tc>
          <w:tcPr>
            <w:tcW w:w="1393" w:type="pct"/>
            <w:tcBorders>
              <w:bottom w:val="single" w:sz="6" w:space="0" w:color="auto"/>
            </w:tcBorders>
            <w:shd w:val="clear" w:color="auto" w:fill="auto"/>
          </w:tcPr>
          <w:p w:rsidR="00E25CC6" w:rsidRPr="00AF7B50" w:rsidRDefault="00E25CC6" w:rsidP="00574AA4">
            <w:pPr>
              <w:pStyle w:val="Tabletextnoindent"/>
            </w:pPr>
            <w:r w:rsidRPr="00AF7B50">
              <w:t>Immediate support</w:t>
            </w:r>
          </w:p>
          <w:p w:rsidR="00E25CC6" w:rsidRPr="00AF7B50" w:rsidRDefault="00E25CC6" w:rsidP="00574AA4">
            <w:pPr>
              <w:pStyle w:val="Tabletextnoindent"/>
            </w:pPr>
            <w:r w:rsidRPr="00AF7B50">
              <w:t>With its partners, the Department supports people in crisis, and helps individuals and families get their lives back on track</w:t>
            </w:r>
          </w:p>
        </w:tc>
        <w:tc>
          <w:tcPr>
            <w:tcW w:w="2184" w:type="pct"/>
            <w:tcBorders>
              <w:bottom w:val="single" w:sz="6" w:space="0" w:color="auto"/>
            </w:tcBorders>
            <w:shd w:val="clear" w:color="auto" w:fill="auto"/>
          </w:tcPr>
          <w:p w:rsidR="00E25CC6" w:rsidRPr="00AF7B50" w:rsidRDefault="00E25CC6" w:rsidP="00574AA4">
            <w:pPr>
              <w:pStyle w:val="Tabletextnoindent"/>
            </w:pPr>
            <w:r w:rsidRPr="00AF7B50">
              <w:t>Stability of out</w:t>
            </w:r>
            <w:r w:rsidRPr="00AF7B50">
              <w:noBreakHyphen/>
              <w:t>of</w:t>
            </w:r>
            <w:r w:rsidRPr="00AF7B50">
              <w:noBreakHyphen/>
              <w:t>home care placements</w:t>
            </w:r>
          </w:p>
          <w:p w:rsidR="00E25CC6" w:rsidRPr="00AF7B50" w:rsidRDefault="00E25CC6" w:rsidP="00574AA4">
            <w:pPr>
              <w:pStyle w:val="Tabletextnoindent"/>
            </w:pPr>
            <w:r w:rsidRPr="00AF7B50">
              <w:t>Improved safety of children reported to child protection</w:t>
            </w:r>
          </w:p>
          <w:p w:rsidR="00E25CC6" w:rsidRPr="00AF7B50" w:rsidRDefault="00E25CC6" w:rsidP="00574AA4">
            <w:pPr>
              <w:pStyle w:val="Tabletextnoindent"/>
            </w:pPr>
            <w:r w:rsidRPr="00AF7B50">
              <w:t>Achievement of independent and sustainable housing on exit from homelessness services</w:t>
            </w:r>
          </w:p>
        </w:tc>
        <w:tc>
          <w:tcPr>
            <w:tcW w:w="1423" w:type="pct"/>
            <w:tcBorders>
              <w:bottom w:val="single" w:sz="6" w:space="0" w:color="auto"/>
            </w:tcBorders>
            <w:shd w:val="clear" w:color="auto" w:fill="auto"/>
          </w:tcPr>
          <w:p w:rsidR="00E25CC6" w:rsidRPr="00AF7B50" w:rsidRDefault="00E25CC6" w:rsidP="00574AA4">
            <w:pPr>
              <w:pStyle w:val="Tabletextnoindent"/>
            </w:pPr>
            <w:r w:rsidRPr="00AF7B50">
              <w:t>Child Protection and Family Services</w:t>
            </w:r>
          </w:p>
          <w:p w:rsidR="00E25CC6" w:rsidRPr="00AF7B50" w:rsidRDefault="00E25CC6" w:rsidP="00574AA4">
            <w:pPr>
              <w:pStyle w:val="Tabletextnoindent"/>
            </w:pPr>
            <w:r w:rsidRPr="00AF7B50">
              <w:t>Youth Justice Custodial Services</w:t>
            </w:r>
          </w:p>
          <w:p w:rsidR="00E25CC6" w:rsidRPr="00AF7B50" w:rsidRDefault="00E25CC6" w:rsidP="00574AA4">
            <w:pPr>
              <w:pStyle w:val="Tabletextnoindent"/>
            </w:pPr>
            <w:r w:rsidRPr="00AF7B50">
              <w:t>Community</w:t>
            </w:r>
            <w:r w:rsidRPr="00AF7B50">
              <w:noBreakHyphen/>
              <w:t>Based Services</w:t>
            </w:r>
          </w:p>
          <w:p w:rsidR="00E25CC6" w:rsidRPr="00AF7B50" w:rsidRDefault="00E25CC6" w:rsidP="00574AA4">
            <w:pPr>
              <w:pStyle w:val="Tabletextnoindent"/>
            </w:pPr>
            <w:r w:rsidRPr="00AF7B50">
              <w:t>Housing Assistance</w:t>
            </w:r>
          </w:p>
        </w:tc>
      </w:tr>
      <w:tr w:rsidR="00E25CC6" w:rsidRPr="00AF7B50" w:rsidTr="0063214F">
        <w:trPr>
          <w:cantSplit/>
          <w:trHeight w:val="733"/>
        </w:trPr>
        <w:tc>
          <w:tcPr>
            <w:tcW w:w="1393" w:type="pct"/>
            <w:tcBorders>
              <w:top w:val="single" w:sz="6" w:space="0" w:color="auto"/>
              <w:bottom w:val="single" w:sz="6" w:space="0" w:color="auto"/>
            </w:tcBorders>
            <w:shd w:val="clear" w:color="auto" w:fill="auto"/>
          </w:tcPr>
          <w:p w:rsidR="00E25CC6" w:rsidRPr="00AF7B50" w:rsidRDefault="00E25CC6" w:rsidP="00574AA4">
            <w:pPr>
              <w:pStyle w:val="Tabletextnoindent"/>
            </w:pPr>
            <w:r w:rsidRPr="00AF7B50">
              <w:t xml:space="preserve">Capabilities and participation </w:t>
            </w:r>
          </w:p>
          <w:p w:rsidR="00E25CC6" w:rsidRPr="00AF7B50" w:rsidRDefault="00E25CC6" w:rsidP="00574AA4">
            <w:pPr>
              <w:pStyle w:val="Tabletextnoindent"/>
            </w:pPr>
            <w:r w:rsidRPr="00AF7B50">
              <w:t>With its partners, the Department works with families, individuals, young people and communities to improve their lives through building capabilities and resilience, supporting participation in work, education and the community</w:t>
            </w:r>
          </w:p>
        </w:tc>
        <w:tc>
          <w:tcPr>
            <w:tcW w:w="2184" w:type="pct"/>
            <w:tcBorders>
              <w:top w:val="single" w:sz="6" w:space="0" w:color="auto"/>
              <w:bottom w:val="single" w:sz="6" w:space="0" w:color="auto"/>
            </w:tcBorders>
            <w:shd w:val="clear" w:color="auto" w:fill="auto"/>
          </w:tcPr>
          <w:p w:rsidR="00E25CC6" w:rsidRPr="00AF7B50" w:rsidRDefault="00E25CC6" w:rsidP="00574AA4">
            <w:pPr>
              <w:pStyle w:val="Tabletextnoindent"/>
            </w:pPr>
            <w:r w:rsidRPr="00AF7B50">
              <w:t>People with a disability who participate in social and community activities</w:t>
            </w:r>
          </w:p>
          <w:p w:rsidR="00E25CC6" w:rsidRPr="00AF7B50" w:rsidRDefault="00E25CC6" w:rsidP="00574AA4">
            <w:pPr>
              <w:pStyle w:val="Tabletextnoindent"/>
            </w:pPr>
            <w:r w:rsidRPr="00AF7B50">
              <w:t>Attendance of young people in detention in accredited education and training</w:t>
            </w:r>
          </w:p>
          <w:p w:rsidR="00E25CC6" w:rsidRPr="00AF7B50" w:rsidRDefault="00E25CC6" w:rsidP="00574AA4">
            <w:pPr>
              <w:pStyle w:val="Tabletextnoindent"/>
            </w:pPr>
            <w:r w:rsidRPr="00AF7B50">
              <w:t>Children in out</w:t>
            </w:r>
            <w:r w:rsidRPr="00AF7B50">
              <w:noBreakHyphen/>
              <w:t>of</w:t>
            </w:r>
            <w:r w:rsidRPr="00AF7B50">
              <w:noBreakHyphen/>
              <w:t>home care meeting literacy and numeracy benchmarks</w:t>
            </w:r>
          </w:p>
          <w:p w:rsidR="00E25CC6" w:rsidRPr="00AF7B50" w:rsidRDefault="00E25CC6" w:rsidP="00574AA4">
            <w:pPr>
              <w:pStyle w:val="Tabletextnoindent"/>
            </w:pPr>
            <w:r w:rsidRPr="00AF7B50">
              <w:t>Level of participation in sport and recreation at or above the national average</w:t>
            </w:r>
          </w:p>
        </w:tc>
        <w:tc>
          <w:tcPr>
            <w:tcW w:w="1423" w:type="pct"/>
            <w:tcBorders>
              <w:top w:val="single" w:sz="6" w:space="0" w:color="auto"/>
              <w:bottom w:val="single" w:sz="6" w:space="0" w:color="auto"/>
            </w:tcBorders>
            <w:shd w:val="clear" w:color="auto" w:fill="auto"/>
          </w:tcPr>
          <w:p w:rsidR="00E25CC6" w:rsidRPr="00AF7B50" w:rsidRDefault="00E25CC6" w:rsidP="00574AA4">
            <w:pPr>
              <w:pStyle w:val="Tabletextnoindent"/>
            </w:pPr>
            <w:r w:rsidRPr="00AF7B50">
              <w:t>Disability Services</w:t>
            </w:r>
          </w:p>
          <w:p w:rsidR="00E25CC6" w:rsidRPr="00AF7B50" w:rsidRDefault="00E25CC6" w:rsidP="00574AA4">
            <w:pPr>
              <w:pStyle w:val="Tabletextnoindent"/>
            </w:pPr>
            <w:r w:rsidRPr="00AF7B50">
              <w:t>Child Protection and Family Services</w:t>
            </w:r>
          </w:p>
          <w:p w:rsidR="00E25CC6" w:rsidRPr="00AF7B50" w:rsidRDefault="00E25CC6" w:rsidP="00574AA4">
            <w:pPr>
              <w:pStyle w:val="Tabletextnoindent"/>
            </w:pPr>
            <w:r w:rsidRPr="00AF7B50">
              <w:t>Youth Justice Custodial Services</w:t>
            </w:r>
          </w:p>
          <w:p w:rsidR="00E25CC6" w:rsidRPr="00AF7B50" w:rsidRDefault="00E25CC6" w:rsidP="00574AA4">
            <w:pPr>
              <w:pStyle w:val="Tabletextnoindent"/>
            </w:pPr>
            <w:r w:rsidRPr="00AF7B50">
              <w:t>Community</w:t>
            </w:r>
            <w:r w:rsidRPr="00AF7B50">
              <w:noBreakHyphen/>
              <w:t>Based Services</w:t>
            </w:r>
          </w:p>
          <w:p w:rsidR="00E25CC6" w:rsidRPr="00AF7B50" w:rsidRDefault="00E25CC6" w:rsidP="00574AA4">
            <w:pPr>
              <w:pStyle w:val="Tabletextnoindent"/>
            </w:pPr>
            <w:r w:rsidRPr="00AF7B50">
              <w:t>Youth Affairs</w:t>
            </w:r>
          </w:p>
          <w:p w:rsidR="00E25CC6" w:rsidRPr="00AF7B50" w:rsidRDefault="00E25CC6" w:rsidP="00574AA4">
            <w:pPr>
              <w:pStyle w:val="Tabletextnoindent"/>
            </w:pPr>
            <w:r w:rsidRPr="00AF7B50">
              <w:t>Office for Disability</w:t>
            </w:r>
          </w:p>
          <w:p w:rsidR="00E25CC6" w:rsidRPr="00AF7B50" w:rsidRDefault="00E25CC6" w:rsidP="00574AA4">
            <w:pPr>
              <w:pStyle w:val="Tabletextnoindent"/>
            </w:pPr>
            <w:r w:rsidRPr="00AF7B50">
              <w:t>Community Participation</w:t>
            </w:r>
          </w:p>
          <w:p w:rsidR="00E25CC6" w:rsidRPr="00AF7B50" w:rsidRDefault="00E25CC6" w:rsidP="00574AA4">
            <w:pPr>
              <w:pStyle w:val="Tabletextnoindent"/>
            </w:pPr>
            <w:r w:rsidRPr="00AF7B50">
              <w:t>Sport and Recreation</w:t>
            </w:r>
          </w:p>
        </w:tc>
      </w:tr>
      <w:tr w:rsidR="00E25CC6" w:rsidRPr="00AF7B50" w:rsidTr="0063214F">
        <w:trPr>
          <w:cantSplit/>
          <w:trHeight w:val="733"/>
        </w:trPr>
        <w:tc>
          <w:tcPr>
            <w:tcW w:w="1393" w:type="pct"/>
            <w:tcBorders>
              <w:top w:val="single" w:sz="6" w:space="0" w:color="auto"/>
              <w:bottom w:val="single" w:sz="12" w:space="0" w:color="auto"/>
            </w:tcBorders>
            <w:shd w:val="clear" w:color="auto" w:fill="auto"/>
          </w:tcPr>
          <w:p w:rsidR="00E25CC6" w:rsidRPr="00AF7B50" w:rsidRDefault="00E25CC6" w:rsidP="00574AA4">
            <w:pPr>
              <w:pStyle w:val="Tabletextnoindent"/>
            </w:pPr>
            <w:r w:rsidRPr="00AF7B50">
              <w:t>Quality of life</w:t>
            </w:r>
          </w:p>
          <w:p w:rsidR="00E25CC6" w:rsidRPr="00AF7B50" w:rsidRDefault="00E25CC6" w:rsidP="00574AA4">
            <w:pPr>
              <w:pStyle w:val="Tabletextnoindent"/>
            </w:pPr>
            <w:r w:rsidRPr="00AF7B50">
              <w:t>With its partners, the Department provides services to support people in need to enjoy a positive life</w:t>
            </w:r>
          </w:p>
        </w:tc>
        <w:tc>
          <w:tcPr>
            <w:tcW w:w="2184" w:type="pct"/>
            <w:tcBorders>
              <w:top w:val="single" w:sz="6" w:space="0" w:color="auto"/>
              <w:bottom w:val="single" w:sz="12" w:space="0" w:color="auto"/>
            </w:tcBorders>
            <w:shd w:val="clear" w:color="auto" w:fill="auto"/>
          </w:tcPr>
          <w:p w:rsidR="00E25CC6" w:rsidRPr="00AF7B50" w:rsidRDefault="00E25CC6" w:rsidP="00574AA4">
            <w:pPr>
              <w:pStyle w:val="Tabletextnoindent"/>
            </w:pPr>
            <w:r w:rsidRPr="00AF7B50">
              <w:t>New housing allocations to those in greatest need</w:t>
            </w:r>
          </w:p>
          <w:p w:rsidR="00E25CC6" w:rsidRPr="00AF7B50" w:rsidRDefault="00E25CC6" w:rsidP="00574AA4">
            <w:pPr>
              <w:pStyle w:val="Tabletextnoindent"/>
            </w:pPr>
            <w:r w:rsidRPr="00AF7B50">
              <w:t>Efficient management of housing stock (including occupancy rate and turnaround time)</w:t>
            </w:r>
          </w:p>
          <w:p w:rsidR="00E25CC6" w:rsidRPr="00AF7B50" w:rsidRDefault="00E25CC6" w:rsidP="00574AA4">
            <w:pPr>
              <w:pStyle w:val="Tabletextnoindent"/>
            </w:pPr>
            <w:r w:rsidRPr="00AF7B50">
              <w:t>Disability clients receiving individualised support to live in the community</w:t>
            </w:r>
          </w:p>
        </w:tc>
        <w:tc>
          <w:tcPr>
            <w:tcW w:w="1423" w:type="pct"/>
            <w:tcBorders>
              <w:top w:val="single" w:sz="6" w:space="0" w:color="auto"/>
              <w:bottom w:val="single" w:sz="12" w:space="0" w:color="auto"/>
            </w:tcBorders>
            <w:shd w:val="clear" w:color="auto" w:fill="auto"/>
          </w:tcPr>
          <w:p w:rsidR="00E25CC6" w:rsidRPr="00AF7B50" w:rsidRDefault="00E25CC6" w:rsidP="00574AA4">
            <w:pPr>
              <w:pStyle w:val="Tabletextnoindent"/>
            </w:pPr>
            <w:r w:rsidRPr="00AF7B50">
              <w:t>Disability Services</w:t>
            </w:r>
          </w:p>
          <w:p w:rsidR="00E25CC6" w:rsidRPr="00AF7B50" w:rsidRDefault="00E25CC6" w:rsidP="00574AA4">
            <w:pPr>
              <w:pStyle w:val="Tabletextnoindent"/>
            </w:pPr>
            <w:r w:rsidRPr="00AF7B50">
              <w:t>Concessions to Pensioners and Beneficiaries</w:t>
            </w:r>
          </w:p>
          <w:p w:rsidR="00E25CC6" w:rsidRPr="00AF7B50" w:rsidRDefault="00E25CC6" w:rsidP="00574AA4">
            <w:pPr>
              <w:pStyle w:val="Tabletextnoindent"/>
            </w:pPr>
            <w:r w:rsidRPr="00AF7B50">
              <w:t>Housing Assistance</w:t>
            </w:r>
          </w:p>
          <w:p w:rsidR="00E25CC6" w:rsidRPr="00AF7B50" w:rsidRDefault="00E25CC6" w:rsidP="00574AA4">
            <w:pPr>
              <w:pStyle w:val="Tabletextnoindent"/>
            </w:pPr>
            <w:r w:rsidRPr="00AF7B50">
              <w:t>Sport and Recreation</w:t>
            </w:r>
          </w:p>
        </w:tc>
      </w:tr>
    </w:tbl>
    <w:p w:rsidR="00E25CC6" w:rsidRPr="00AF7B50" w:rsidRDefault="00E25CC6" w:rsidP="00574AA4">
      <w:pPr>
        <w:pStyle w:val="Source"/>
        <w:rPr>
          <w:rFonts w:eastAsiaTheme="minorHAnsi"/>
        </w:rPr>
      </w:pPr>
      <w:r w:rsidRPr="00AF7B50">
        <w:rPr>
          <w:rFonts w:eastAsiaTheme="minorHAnsi"/>
        </w:rPr>
        <w:t>Source: Department of Health and Human Services</w:t>
      </w:r>
    </w:p>
    <w:p w:rsidR="00E25CC6" w:rsidRPr="00AF7B50" w:rsidRDefault="00E25CC6" w:rsidP="0063214F">
      <w:pPr>
        <w:rPr>
          <w:rFonts w:eastAsiaTheme="minorHAnsi"/>
        </w:rPr>
      </w:pPr>
    </w:p>
    <w:p w:rsidR="00E25CC6" w:rsidRPr="00AF7B50" w:rsidRDefault="00E25CC6" w:rsidP="00D366D2">
      <w:pPr>
        <w:pStyle w:val="Heading2"/>
        <w:rPr>
          <w:rFonts w:eastAsiaTheme="minorHAnsi"/>
        </w:rPr>
      </w:pPr>
      <w:r w:rsidRPr="00AF7B50">
        <w:rPr>
          <w:rFonts w:eastAsiaTheme="minorHAnsi"/>
        </w:rPr>
        <w:t>Changes to the output structure</w:t>
      </w:r>
    </w:p>
    <w:p w:rsidR="00E25CC6" w:rsidRPr="00AF7B50" w:rsidRDefault="00E25CC6" w:rsidP="00D366D2">
      <w:pPr>
        <w:rPr>
          <w:rFonts w:eastAsiaTheme="minorHAnsi"/>
        </w:rPr>
      </w:pPr>
      <w:r w:rsidRPr="00AF7B50">
        <w:rPr>
          <w:rFonts w:eastAsiaTheme="minorHAnsi"/>
        </w:rPr>
        <w:t>The Department has made changes to its output structure for 2016</w:t>
      </w:r>
      <w:r w:rsidRPr="00AF7B50">
        <w:rPr>
          <w:rFonts w:eastAsiaTheme="minorHAnsi"/>
        </w:rPr>
        <w:noBreakHyphen/>
        <w:t>17 as shown in the table below:</w:t>
      </w:r>
    </w:p>
    <w:tbl>
      <w:tblPr>
        <w:tblW w:w="5000" w:type="pct"/>
        <w:tblBorders>
          <w:bottom w:val="single" w:sz="12" w:space="0" w:color="auto"/>
        </w:tblBorders>
        <w:tblCellMar>
          <w:left w:w="43" w:type="dxa"/>
          <w:right w:w="43" w:type="dxa"/>
        </w:tblCellMar>
        <w:tblLook w:val="04A0" w:firstRow="1" w:lastRow="0" w:firstColumn="1" w:lastColumn="0" w:noHBand="0" w:noVBand="1"/>
      </w:tblPr>
      <w:tblGrid>
        <w:gridCol w:w="2828"/>
        <w:gridCol w:w="1915"/>
        <w:gridCol w:w="3042"/>
      </w:tblGrid>
      <w:tr w:rsidR="00E25CC6" w:rsidRPr="00AF7B50" w:rsidTr="00574AA4">
        <w:trPr>
          <w:cantSplit/>
          <w:tblHeader/>
        </w:trPr>
        <w:tc>
          <w:tcPr>
            <w:tcW w:w="1816" w:type="pct"/>
            <w:tcBorders>
              <w:bottom w:val="nil"/>
            </w:tcBorders>
            <w:shd w:val="clear" w:color="auto" w:fill="000000"/>
          </w:tcPr>
          <w:p w:rsidR="00E25CC6" w:rsidRPr="00AF7B50" w:rsidRDefault="00E25CC6" w:rsidP="00574AA4">
            <w:pPr>
              <w:pStyle w:val="TabletextheadingLeft0"/>
            </w:pPr>
            <w:r w:rsidRPr="00AF7B50">
              <w:t>2015</w:t>
            </w:r>
            <w:r w:rsidRPr="00AF7B50">
              <w:noBreakHyphen/>
              <w:t>16 outputs</w:t>
            </w:r>
          </w:p>
        </w:tc>
        <w:tc>
          <w:tcPr>
            <w:tcW w:w="1230" w:type="pct"/>
            <w:tcBorders>
              <w:bottom w:val="nil"/>
            </w:tcBorders>
            <w:shd w:val="clear" w:color="auto" w:fill="000000"/>
          </w:tcPr>
          <w:p w:rsidR="00E25CC6" w:rsidRPr="00AF7B50" w:rsidRDefault="00E25CC6" w:rsidP="00574AA4">
            <w:pPr>
              <w:pStyle w:val="TabletextheadingLeft0"/>
            </w:pPr>
            <w:r w:rsidRPr="00AF7B50">
              <w:t>Reason</w:t>
            </w:r>
          </w:p>
        </w:tc>
        <w:tc>
          <w:tcPr>
            <w:tcW w:w="1954" w:type="pct"/>
            <w:tcBorders>
              <w:bottom w:val="nil"/>
            </w:tcBorders>
            <w:shd w:val="clear" w:color="auto" w:fill="000000"/>
          </w:tcPr>
          <w:p w:rsidR="00E25CC6" w:rsidRPr="00AF7B50" w:rsidRDefault="00E25CC6" w:rsidP="00574AA4">
            <w:pPr>
              <w:pStyle w:val="TabletextheadingLeft0"/>
            </w:pPr>
            <w:r w:rsidRPr="00AF7B50">
              <w:t>2016</w:t>
            </w:r>
            <w:r w:rsidRPr="00AF7B50">
              <w:noBreakHyphen/>
              <w:t>17 outputs</w:t>
            </w:r>
          </w:p>
        </w:tc>
      </w:tr>
      <w:tr w:rsidR="00E25CC6" w:rsidRPr="00AF7B50" w:rsidTr="00574AA4">
        <w:trPr>
          <w:cantSplit/>
        </w:trPr>
        <w:tc>
          <w:tcPr>
            <w:tcW w:w="1816" w:type="pct"/>
            <w:tcBorders>
              <w:top w:val="nil"/>
              <w:bottom w:val="single" w:sz="12" w:space="0" w:color="auto"/>
            </w:tcBorders>
            <w:shd w:val="clear" w:color="auto" w:fill="auto"/>
          </w:tcPr>
          <w:p w:rsidR="00E25CC6" w:rsidRPr="00AF7B50" w:rsidRDefault="00E25CC6" w:rsidP="00FC5149">
            <w:pPr>
              <w:pStyle w:val="Tabletextnoindent"/>
            </w:pPr>
            <w:r w:rsidRPr="00AF7B50">
              <w:t xml:space="preserve">na </w:t>
            </w:r>
          </w:p>
        </w:tc>
        <w:tc>
          <w:tcPr>
            <w:tcW w:w="1230" w:type="pct"/>
            <w:tcBorders>
              <w:top w:val="nil"/>
              <w:bottom w:val="single" w:sz="12" w:space="0" w:color="auto"/>
            </w:tcBorders>
            <w:shd w:val="clear" w:color="auto" w:fill="auto"/>
          </w:tcPr>
          <w:p w:rsidR="00E25CC6" w:rsidRPr="00AF7B50" w:rsidRDefault="00E25CC6" w:rsidP="00574AA4">
            <w:pPr>
              <w:pStyle w:val="Tabletextnoindent"/>
            </w:pPr>
            <w:r w:rsidRPr="00AF7B50">
              <w:t>New output to reflect the Victorian Government</w:t>
            </w:r>
            <w:r>
              <w:t>’</w:t>
            </w:r>
            <w:r w:rsidRPr="00AF7B50">
              <w:t>s contribution to the implementation of the National Disability Insurance Scheme.</w:t>
            </w:r>
          </w:p>
        </w:tc>
        <w:tc>
          <w:tcPr>
            <w:tcW w:w="1954" w:type="pct"/>
            <w:tcBorders>
              <w:top w:val="nil"/>
              <w:bottom w:val="single" w:sz="12" w:space="0" w:color="auto"/>
            </w:tcBorders>
            <w:shd w:val="clear" w:color="auto" w:fill="auto"/>
          </w:tcPr>
          <w:p w:rsidR="00E25CC6" w:rsidRPr="00AF7B50" w:rsidRDefault="00E25CC6" w:rsidP="00574AA4">
            <w:pPr>
              <w:pStyle w:val="Tabletextnoindent"/>
            </w:pPr>
            <w:r w:rsidRPr="00AF7B50">
              <w:t>Victorian Contribution to the National Disability Insurance Scheme</w:t>
            </w:r>
          </w:p>
        </w:tc>
      </w:tr>
    </w:tbl>
    <w:p w:rsidR="00E25CC6" w:rsidRPr="00AF7B50" w:rsidRDefault="00E25CC6" w:rsidP="00574AA4">
      <w:pPr>
        <w:pStyle w:val="Source"/>
        <w:rPr>
          <w:rFonts w:eastAsiaTheme="minorHAnsi"/>
        </w:rPr>
      </w:pPr>
      <w:r w:rsidRPr="00AF7B50">
        <w:rPr>
          <w:rFonts w:eastAsiaTheme="minorHAnsi"/>
        </w:rPr>
        <w:t>Source: Department of Health and Human Services</w:t>
      </w:r>
      <w:r>
        <w:rPr>
          <w:rFonts w:eastAsiaTheme="minorHAnsi"/>
        </w:rPr>
        <w:t xml:space="preserve"> </w:t>
      </w:r>
      <w:r>
        <w:rPr>
          <w:rFonts w:eastAsiaTheme="minorHAnsi"/>
        </w:rPr>
        <w:fldChar w:fldCharType="begin"/>
      </w:r>
      <w:r>
        <w:instrText xml:space="preserve"> XE "</w:instrText>
      </w:r>
      <w:r w:rsidRPr="00F26D73">
        <w:instrText>Disability Services</w:instrText>
      </w:r>
      <w:r>
        <w:instrText xml:space="preserve">" </w:instrText>
      </w:r>
      <w:r>
        <w:rPr>
          <w:rFonts w:eastAsiaTheme="minorHAnsi"/>
        </w:rPr>
        <w:fldChar w:fldCharType="end"/>
      </w:r>
      <w:r>
        <w:rPr>
          <w:rFonts w:eastAsiaTheme="minorHAnsi"/>
        </w:rPr>
        <w:t xml:space="preserve"> </w:t>
      </w:r>
      <w:r>
        <w:rPr>
          <w:rFonts w:eastAsiaTheme="minorHAnsi"/>
        </w:rPr>
        <w:fldChar w:fldCharType="begin"/>
      </w:r>
      <w:r>
        <w:instrText xml:space="preserve"> XE "</w:instrText>
      </w:r>
      <w:r w:rsidRPr="00F26D73">
        <w:instrText>National Disability Insurance Scheme</w:instrText>
      </w:r>
      <w:r>
        <w:instrText xml:space="preserve">" </w:instrText>
      </w:r>
      <w:r>
        <w:rPr>
          <w:rFonts w:eastAsiaTheme="minorHAnsi"/>
        </w:rPr>
        <w:fldChar w:fldCharType="end"/>
      </w:r>
    </w:p>
    <w:p w:rsidR="00E25CC6" w:rsidRPr="00AF7B50" w:rsidRDefault="00E25CC6">
      <w:pPr>
        <w:spacing w:after="0"/>
        <w:rPr>
          <w:rFonts w:eastAsiaTheme="minorHAnsi"/>
        </w:rPr>
      </w:pPr>
    </w:p>
    <w:p w:rsidR="00E25CC6" w:rsidRPr="00AF7B50" w:rsidRDefault="00E25CC6">
      <w:pPr>
        <w:spacing w:after="0"/>
        <w:rPr>
          <w:rFonts w:eastAsiaTheme="minorHAnsi"/>
        </w:rPr>
      </w:pPr>
      <w:r w:rsidRPr="00AF7B50">
        <w:rPr>
          <w:rFonts w:eastAsiaTheme="minorHAnsi"/>
        </w:rPr>
        <w:br w:type="page"/>
      </w:r>
    </w:p>
    <w:p w:rsidR="00E25CC6" w:rsidRPr="00AF7B50" w:rsidRDefault="00E25CC6" w:rsidP="00D366D2">
      <w:pPr>
        <w:rPr>
          <w:rFonts w:eastAsiaTheme="minorHAnsi"/>
        </w:rPr>
      </w:pPr>
      <w:r w:rsidRPr="00AF7B50">
        <w:rPr>
          <w:rFonts w:eastAsiaTheme="minorHAnsi"/>
        </w:rPr>
        <w:t>The following table summarises the Department</w:t>
      </w:r>
      <w:r>
        <w:rPr>
          <w:rFonts w:eastAsiaTheme="minorHAnsi"/>
        </w:rPr>
        <w:t>’</w:t>
      </w:r>
      <w:r w:rsidRPr="00AF7B50">
        <w:rPr>
          <w:rFonts w:eastAsiaTheme="minorHAnsi"/>
        </w:rPr>
        <w:t>s total output cost.</w:t>
      </w:r>
    </w:p>
    <w:p w:rsidR="00E25CC6" w:rsidRPr="00AF7B50" w:rsidRDefault="00E25CC6" w:rsidP="00D366D2">
      <w:pPr>
        <w:pStyle w:val="Tableheading"/>
        <w:rPr>
          <w:rFonts w:eastAsiaTheme="minorHAnsi"/>
        </w:rPr>
      </w:pPr>
      <w:r w:rsidRPr="00AF7B50">
        <w:rPr>
          <w:rFonts w:eastAsiaTheme="minorHAnsi"/>
        </w:rPr>
        <w:t>Table 2.11:</w:t>
      </w:r>
      <w:r w:rsidRPr="00AF7B50">
        <w:rPr>
          <w:rFonts w:eastAsiaTheme="minorHAnsi"/>
        </w:rPr>
        <w:tab/>
        <w:t>Output summary</w:t>
      </w:r>
    </w:p>
    <w:tbl>
      <w:tblPr>
        <w:tblW w:w="7765" w:type="dxa"/>
        <w:tblInd w:w="43" w:type="dxa"/>
        <w:tblLayout w:type="fixed"/>
        <w:tblCellMar>
          <w:left w:w="43" w:type="dxa"/>
          <w:right w:w="43" w:type="dxa"/>
        </w:tblCellMar>
        <w:tblLook w:val="0000" w:firstRow="0" w:lastRow="0" w:firstColumn="0" w:lastColumn="0" w:noHBand="0" w:noVBand="0"/>
      </w:tblPr>
      <w:tblGrid>
        <w:gridCol w:w="3948"/>
        <w:gridCol w:w="942"/>
        <w:gridCol w:w="942"/>
        <w:gridCol w:w="943"/>
        <w:gridCol w:w="990"/>
      </w:tblGrid>
      <w:tr w:rsidR="00E25CC6" w:rsidRPr="00AF7B50" w:rsidTr="007A0CD9">
        <w:trPr>
          <w:cantSplit/>
          <w:tblHeader/>
        </w:trPr>
        <w:tc>
          <w:tcPr>
            <w:tcW w:w="3948" w:type="dxa"/>
            <w:tcBorders>
              <w:bottom w:val="nil"/>
              <w:right w:val="nil"/>
            </w:tcBorders>
            <w:shd w:val="clear" w:color="auto" w:fill="000000"/>
            <w:vAlign w:val="bottom"/>
          </w:tcPr>
          <w:p w:rsidR="00E25CC6" w:rsidRPr="00AF7B50" w:rsidRDefault="00E25CC6" w:rsidP="007A0CD9">
            <w:pPr>
              <w:pStyle w:val="Tabletext"/>
              <w:rPr>
                <w:color w:val="FFFFFF"/>
                <w:lang w:eastAsia="en-AU"/>
              </w:rPr>
            </w:pPr>
            <w:r w:rsidRPr="00AF7B50">
              <w:rPr>
                <w:color w:val="FFFFFF"/>
                <w:lang w:eastAsia="en-AU"/>
              </w:rPr>
              <w:t xml:space="preserve">  </w:t>
            </w:r>
          </w:p>
        </w:tc>
        <w:tc>
          <w:tcPr>
            <w:tcW w:w="942" w:type="dxa"/>
            <w:tcBorders>
              <w:left w:val="nil"/>
              <w:bottom w:val="nil"/>
              <w:right w:val="nil"/>
            </w:tcBorders>
            <w:shd w:val="clear" w:color="auto" w:fill="000000"/>
            <w:vAlign w:val="bottom"/>
          </w:tcPr>
          <w:p w:rsidR="00E25CC6" w:rsidRPr="00AF7B50" w:rsidRDefault="00E25CC6" w:rsidP="007A0CD9">
            <w:pPr>
              <w:pStyle w:val="Tabletextheading"/>
              <w:rPr>
                <w:color w:val="FFFFFF"/>
                <w:sz w:val="19"/>
                <w:lang w:eastAsia="en-AU"/>
              </w:rPr>
            </w:pPr>
            <w:r w:rsidRPr="00AF7B50">
              <w:rPr>
                <w:color w:val="FFFFFF"/>
                <w:sz w:val="19"/>
                <w:lang w:eastAsia="en-AU"/>
              </w:rPr>
              <w:t>2015</w:t>
            </w:r>
            <w:r w:rsidRPr="00AF7B50">
              <w:rPr>
                <w:color w:val="FFFFFF"/>
                <w:sz w:val="19"/>
                <w:lang w:eastAsia="en-AU"/>
              </w:rPr>
              <w:noBreakHyphen/>
              <w:t>16</w:t>
            </w:r>
          </w:p>
        </w:tc>
        <w:tc>
          <w:tcPr>
            <w:tcW w:w="942" w:type="dxa"/>
            <w:tcBorders>
              <w:left w:val="nil"/>
              <w:bottom w:val="nil"/>
              <w:right w:val="nil"/>
            </w:tcBorders>
            <w:shd w:val="clear" w:color="auto" w:fill="000000"/>
            <w:vAlign w:val="bottom"/>
          </w:tcPr>
          <w:p w:rsidR="00E25CC6" w:rsidRPr="00AF7B50" w:rsidRDefault="00E25CC6" w:rsidP="007A0CD9">
            <w:pPr>
              <w:pStyle w:val="Tabletextheading"/>
              <w:rPr>
                <w:color w:val="FFFFFF"/>
                <w:sz w:val="19"/>
                <w:lang w:eastAsia="en-AU"/>
              </w:rPr>
            </w:pPr>
            <w:r w:rsidRPr="00AF7B50">
              <w:rPr>
                <w:color w:val="FFFFFF"/>
                <w:sz w:val="19"/>
                <w:lang w:eastAsia="en-AU"/>
              </w:rPr>
              <w:t>2015</w:t>
            </w:r>
            <w:r w:rsidRPr="00AF7B50">
              <w:rPr>
                <w:color w:val="FFFFFF"/>
                <w:sz w:val="19"/>
                <w:lang w:eastAsia="en-AU"/>
              </w:rPr>
              <w:noBreakHyphen/>
              <w:t>16</w:t>
            </w:r>
          </w:p>
        </w:tc>
        <w:tc>
          <w:tcPr>
            <w:tcW w:w="943" w:type="dxa"/>
            <w:tcBorders>
              <w:left w:val="nil"/>
              <w:bottom w:val="nil"/>
              <w:right w:val="nil"/>
            </w:tcBorders>
            <w:shd w:val="clear" w:color="auto" w:fill="000000"/>
            <w:vAlign w:val="bottom"/>
          </w:tcPr>
          <w:p w:rsidR="00E25CC6" w:rsidRPr="00AF7B50" w:rsidRDefault="00E25CC6" w:rsidP="007A0CD9">
            <w:pPr>
              <w:pStyle w:val="Tabletextheading"/>
              <w:rPr>
                <w:color w:val="FFFFFF"/>
                <w:sz w:val="19"/>
                <w:lang w:eastAsia="en-AU"/>
              </w:rPr>
            </w:pPr>
            <w:r w:rsidRPr="00AF7B50">
              <w:rPr>
                <w:color w:val="FFFFFF"/>
                <w:sz w:val="19"/>
                <w:lang w:eastAsia="en-AU"/>
              </w:rPr>
              <w:t>2016</w:t>
            </w:r>
            <w:r w:rsidRPr="00AF7B50">
              <w:rPr>
                <w:color w:val="FFFFFF"/>
                <w:sz w:val="19"/>
                <w:lang w:eastAsia="en-AU"/>
              </w:rPr>
              <w:noBreakHyphen/>
              <w:t>17</w:t>
            </w:r>
          </w:p>
        </w:tc>
        <w:tc>
          <w:tcPr>
            <w:tcW w:w="990" w:type="dxa"/>
            <w:tcBorders>
              <w:left w:val="nil"/>
              <w:bottom w:val="nil"/>
            </w:tcBorders>
            <w:shd w:val="clear" w:color="auto" w:fill="000000"/>
            <w:vAlign w:val="bottom"/>
          </w:tcPr>
          <w:p w:rsidR="00E25CC6" w:rsidRPr="00AF7B50" w:rsidRDefault="00E25CC6" w:rsidP="007A0CD9">
            <w:pPr>
              <w:pStyle w:val="Tabletextheadingleft"/>
              <w:jc w:val="right"/>
              <w:rPr>
                <w:sz w:val="19"/>
                <w:szCs w:val="19"/>
                <w:vertAlign w:val="superscript"/>
                <w:lang w:eastAsia="en-AU"/>
              </w:rPr>
            </w:pPr>
            <w:r w:rsidRPr="00AF7B50">
              <w:rPr>
                <w:sz w:val="19"/>
                <w:szCs w:val="19"/>
                <w:lang w:eastAsia="en-AU"/>
              </w:rPr>
              <w:t>Variation </w:t>
            </w:r>
            <w:r w:rsidRPr="00AF7B50">
              <w:rPr>
                <w:sz w:val="19"/>
                <w:szCs w:val="19"/>
                <w:vertAlign w:val="superscript"/>
              </w:rPr>
              <w:t>(a)</w:t>
            </w:r>
          </w:p>
        </w:tc>
      </w:tr>
      <w:tr w:rsidR="00E25CC6" w:rsidRPr="00AF7B50" w:rsidTr="007A0CD9">
        <w:trPr>
          <w:cantSplit/>
          <w:tblHeader/>
        </w:trPr>
        <w:tc>
          <w:tcPr>
            <w:tcW w:w="3948" w:type="dxa"/>
            <w:tcBorders>
              <w:top w:val="nil"/>
              <w:bottom w:val="single" w:sz="6" w:space="0" w:color="auto"/>
              <w:right w:val="nil"/>
            </w:tcBorders>
            <w:shd w:val="clear" w:color="auto" w:fill="000000"/>
            <w:vAlign w:val="bottom"/>
          </w:tcPr>
          <w:p w:rsidR="00E25CC6" w:rsidRPr="00AF7B50" w:rsidRDefault="00E25CC6" w:rsidP="007A0CD9">
            <w:pPr>
              <w:pStyle w:val="Tabletext"/>
              <w:rPr>
                <w:color w:val="FFFFFF"/>
                <w:lang w:eastAsia="en-AU"/>
              </w:rPr>
            </w:pPr>
            <w:r w:rsidRPr="00AF7B50">
              <w:rPr>
                <w:color w:val="FFFFFF"/>
                <w:lang w:eastAsia="en-AU"/>
              </w:rPr>
              <w:t xml:space="preserve">  </w:t>
            </w:r>
          </w:p>
        </w:tc>
        <w:tc>
          <w:tcPr>
            <w:tcW w:w="942" w:type="dxa"/>
            <w:tcBorders>
              <w:top w:val="nil"/>
              <w:left w:val="nil"/>
              <w:bottom w:val="single" w:sz="6" w:space="0" w:color="auto"/>
              <w:right w:val="nil"/>
            </w:tcBorders>
            <w:shd w:val="clear" w:color="auto" w:fill="000000"/>
            <w:vAlign w:val="bottom"/>
          </w:tcPr>
          <w:p w:rsidR="00E25CC6" w:rsidRPr="00AF7B50" w:rsidRDefault="00E25CC6" w:rsidP="007A0CD9">
            <w:pPr>
              <w:pStyle w:val="Tabletextheading"/>
              <w:rPr>
                <w:color w:val="FFFFFF"/>
                <w:sz w:val="19"/>
                <w:lang w:eastAsia="en-AU"/>
              </w:rPr>
            </w:pPr>
            <w:r w:rsidRPr="00AF7B50">
              <w:rPr>
                <w:color w:val="FFFFFF"/>
                <w:sz w:val="19"/>
                <w:lang w:eastAsia="en-AU"/>
              </w:rPr>
              <w:t>budget</w:t>
            </w:r>
          </w:p>
        </w:tc>
        <w:tc>
          <w:tcPr>
            <w:tcW w:w="942" w:type="dxa"/>
            <w:tcBorders>
              <w:top w:val="nil"/>
              <w:left w:val="nil"/>
              <w:bottom w:val="single" w:sz="6" w:space="0" w:color="auto"/>
              <w:right w:val="nil"/>
            </w:tcBorders>
            <w:shd w:val="clear" w:color="auto" w:fill="000000"/>
            <w:vAlign w:val="bottom"/>
          </w:tcPr>
          <w:p w:rsidR="00E25CC6" w:rsidRPr="00AF7B50" w:rsidRDefault="00E25CC6" w:rsidP="007A0CD9">
            <w:pPr>
              <w:pStyle w:val="Tabletextheading"/>
              <w:rPr>
                <w:color w:val="FFFFFF"/>
                <w:sz w:val="19"/>
                <w:lang w:eastAsia="en-AU"/>
              </w:rPr>
            </w:pPr>
            <w:r w:rsidRPr="00AF7B50">
              <w:rPr>
                <w:color w:val="FFFFFF"/>
                <w:sz w:val="19"/>
                <w:lang w:eastAsia="en-AU"/>
              </w:rPr>
              <w:t>revised</w:t>
            </w:r>
          </w:p>
        </w:tc>
        <w:tc>
          <w:tcPr>
            <w:tcW w:w="943" w:type="dxa"/>
            <w:tcBorders>
              <w:top w:val="nil"/>
              <w:left w:val="nil"/>
              <w:bottom w:val="single" w:sz="6" w:space="0" w:color="auto"/>
              <w:right w:val="nil"/>
            </w:tcBorders>
            <w:shd w:val="clear" w:color="auto" w:fill="000000"/>
            <w:vAlign w:val="bottom"/>
          </w:tcPr>
          <w:p w:rsidR="00E25CC6" w:rsidRPr="00AF7B50" w:rsidRDefault="00E25CC6" w:rsidP="007A0CD9">
            <w:pPr>
              <w:pStyle w:val="Tabletextheading"/>
              <w:rPr>
                <w:color w:val="FFFFFF"/>
                <w:sz w:val="19"/>
                <w:lang w:eastAsia="en-AU"/>
              </w:rPr>
            </w:pPr>
            <w:r w:rsidRPr="00AF7B50">
              <w:rPr>
                <w:color w:val="FFFFFF"/>
                <w:sz w:val="19"/>
                <w:lang w:eastAsia="en-AU"/>
              </w:rPr>
              <w:t>budget</w:t>
            </w:r>
          </w:p>
        </w:tc>
        <w:tc>
          <w:tcPr>
            <w:tcW w:w="990" w:type="dxa"/>
            <w:tcBorders>
              <w:top w:val="nil"/>
              <w:left w:val="nil"/>
              <w:bottom w:val="single" w:sz="6" w:space="0" w:color="auto"/>
            </w:tcBorders>
            <w:shd w:val="clear" w:color="auto" w:fill="000000"/>
            <w:vAlign w:val="bottom"/>
          </w:tcPr>
          <w:p w:rsidR="00E25CC6" w:rsidRPr="00AF7B50" w:rsidRDefault="00E25CC6" w:rsidP="007A0CD9">
            <w:pPr>
              <w:pStyle w:val="TableofFigures"/>
              <w:rPr>
                <w:color w:val="FFFFFF"/>
                <w:sz w:val="19"/>
                <w:lang w:eastAsia="en-AU"/>
              </w:rPr>
            </w:pPr>
            <w:r w:rsidRPr="00AF7B50">
              <w:rPr>
                <w:color w:val="FFFFFF"/>
                <w:sz w:val="19"/>
                <w:lang w:eastAsia="en-AU"/>
              </w:rPr>
              <w:t>%</w:t>
            </w:r>
          </w:p>
        </w:tc>
      </w:tr>
      <w:tr w:rsidR="00E25CC6" w:rsidRPr="00AF7B50" w:rsidTr="007A0CD9">
        <w:trPr>
          <w:cantSplit/>
        </w:trPr>
        <w:tc>
          <w:tcPr>
            <w:tcW w:w="3948" w:type="dxa"/>
            <w:tcBorders>
              <w:top w:val="single" w:sz="6" w:space="0" w:color="auto"/>
              <w:left w:val="nil"/>
              <w:right w:val="nil"/>
            </w:tcBorders>
            <w:shd w:val="clear" w:color="auto" w:fill="FFFFFF"/>
          </w:tcPr>
          <w:p w:rsidR="00E25CC6" w:rsidRPr="00AF7B50" w:rsidRDefault="00E25CC6" w:rsidP="007A0CD9">
            <w:pPr>
              <w:pStyle w:val="Tabletext"/>
              <w:ind w:left="227" w:hanging="227"/>
            </w:pPr>
            <w:r w:rsidRPr="00AF7B50">
              <w:t xml:space="preserve">Acute Health Services </w:t>
            </w:r>
            <w:r w:rsidRPr="00AF7B50">
              <w:rPr>
                <w:vertAlign w:val="superscript"/>
              </w:rPr>
              <w:t>(b)</w:t>
            </w:r>
            <w:r w:rsidRPr="00AF7B50">
              <w:t xml:space="preserve"> </w:t>
            </w:r>
          </w:p>
        </w:tc>
        <w:tc>
          <w:tcPr>
            <w:tcW w:w="942" w:type="dxa"/>
            <w:tcBorders>
              <w:top w:val="single" w:sz="6" w:space="0" w:color="auto"/>
              <w:left w:val="nil"/>
              <w:right w:val="nil"/>
            </w:tcBorders>
            <w:shd w:val="clear" w:color="auto" w:fill="FFFFFF"/>
          </w:tcPr>
          <w:p w:rsidR="00E25CC6" w:rsidRPr="00AF7B50" w:rsidRDefault="00E25CC6" w:rsidP="007A0CD9">
            <w:pPr>
              <w:pStyle w:val="TableofFigures"/>
              <w:rPr>
                <w:sz w:val="19"/>
              </w:rPr>
            </w:pPr>
            <w:r w:rsidRPr="00AF7B50">
              <w:rPr>
                <w:sz w:val="19"/>
              </w:rPr>
              <w:t>10 967.1</w:t>
            </w:r>
          </w:p>
        </w:tc>
        <w:tc>
          <w:tcPr>
            <w:tcW w:w="942" w:type="dxa"/>
            <w:tcBorders>
              <w:top w:val="single" w:sz="6" w:space="0" w:color="auto"/>
              <w:left w:val="nil"/>
              <w:right w:val="nil"/>
            </w:tcBorders>
            <w:shd w:val="clear" w:color="auto" w:fill="FFFFFF"/>
          </w:tcPr>
          <w:p w:rsidR="00E25CC6" w:rsidRPr="00AF7B50" w:rsidRDefault="00E25CC6" w:rsidP="007A0CD9">
            <w:pPr>
              <w:pStyle w:val="TableofFigures"/>
              <w:rPr>
                <w:sz w:val="19"/>
              </w:rPr>
            </w:pPr>
            <w:r w:rsidRPr="00AF7B50">
              <w:rPr>
                <w:sz w:val="19"/>
              </w:rPr>
              <w:t>11 094.4</w:t>
            </w:r>
          </w:p>
        </w:tc>
        <w:tc>
          <w:tcPr>
            <w:tcW w:w="943" w:type="dxa"/>
            <w:tcBorders>
              <w:top w:val="single" w:sz="6" w:space="0" w:color="auto"/>
              <w:left w:val="nil"/>
              <w:right w:val="nil"/>
            </w:tcBorders>
            <w:shd w:val="clear" w:color="auto" w:fill="FFFFFF"/>
          </w:tcPr>
          <w:p w:rsidR="00E25CC6" w:rsidRPr="00AF7B50" w:rsidRDefault="00E25CC6" w:rsidP="007A0CD9">
            <w:pPr>
              <w:pStyle w:val="TableofFigures"/>
              <w:rPr>
                <w:sz w:val="19"/>
              </w:rPr>
            </w:pPr>
            <w:r w:rsidRPr="00AF7B50">
              <w:rPr>
                <w:sz w:val="19"/>
              </w:rPr>
              <w:t>11 875.0</w:t>
            </w:r>
          </w:p>
        </w:tc>
        <w:tc>
          <w:tcPr>
            <w:tcW w:w="990" w:type="dxa"/>
            <w:tcBorders>
              <w:top w:val="single" w:sz="6" w:space="0" w:color="auto"/>
              <w:left w:val="nil"/>
              <w:right w:val="nil"/>
            </w:tcBorders>
            <w:shd w:val="clear" w:color="auto" w:fill="FFFFFF"/>
          </w:tcPr>
          <w:p w:rsidR="00E25CC6" w:rsidRPr="00AF7B50" w:rsidRDefault="00E25CC6" w:rsidP="007A0CD9">
            <w:pPr>
              <w:pStyle w:val="TableofFigures"/>
              <w:rPr>
                <w:sz w:val="19"/>
              </w:rPr>
            </w:pPr>
            <w:r w:rsidRPr="00AF7B50">
              <w:rPr>
                <w:sz w:val="19"/>
              </w:rPr>
              <w:t>8.3</w:t>
            </w:r>
          </w:p>
        </w:tc>
      </w:tr>
      <w:tr w:rsidR="00E25CC6" w:rsidRPr="00AF7B50" w:rsidTr="007A0CD9">
        <w:trPr>
          <w:cantSplit/>
        </w:trPr>
        <w:tc>
          <w:tcPr>
            <w:tcW w:w="3948" w:type="dxa"/>
            <w:tcBorders>
              <w:top w:val="nil"/>
              <w:left w:val="nil"/>
              <w:right w:val="nil"/>
            </w:tcBorders>
            <w:shd w:val="clear" w:color="auto" w:fill="FFFFFF"/>
          </w:tcPr>
          <w:p w:rsidR="00E25CC6" w:rsidRPr="00AF7B50" w:rsidRDefault="00E25CC6" w:rsidP="007A0CD9">
            <w:pPr>
              <w:pStyle w:val="Tabletext"/>
              <w:ind w:left="227" w:hanging="227"/>
            </w:pPr>
            <w:r w:rsidRPr="00AF7B50">
              <w:t xml:space="preserve">Ambulance Services </w:t>
            </w:r>
            <w:r w:rsidRPr="00AF7B50">
              <w:rPr>
                <w:vertAlign w:val="superscript"/>
              </w:rPr>
              <w:t>(c)</w:t>
            </w:r>
            <w:r w:rsidRPr="00AF7B50">
              <w:t xml:space="preserve"> </w:t>
            </w:r>
          </w:p>
        </w:tc>
        <w:tc>
          <w:tcPr>
            <w:tcW w:w="942" w:type="dxa"/>
            <w:tcBorders>
              <w:top w:val="nil"/>
              <w:left w:val="nil"/>
              <w:right w:val="nil"/>
            </w:tcBorders>
            <w:shd w:val="clear" w:color="auto" w:fill="FFFFFF"/>
          </w:tcPr>
          <w:p w:rsidR="00E25CC6" w:rsidRPr="00AF7B50" w:rsidRDefault="00E25CC6" w:rsidP="007A0CD9">
            <w:pPr>
              <w:pStyle w:val="TableofFigures"/>
              <w:rPr>
                <w:sz w:val="19"/>
              </w:rPr>
            </w:pPr>
            <w:r w:rsidRPr="00AF7B50">
              <w:rPr>
                <w:sz w:val="19"/>
              </w:rPr>
              <w:t>736.6</w:t>
            </w:r>
          </w:p>
        </w:tc>
        <w:tc>
          <w:tcPr>
            <w:tcW w:w="942" w:type="dxa"/>
            <w:tcBorders>
              <w:top w:val="nil"/>
              <w:left w:val="nil"/>
              <w:right w:val="nil"/>
            </w:tcBorders>
            <w:shd w:val="clear" w:color="auto" w:fill="FFFFFF"/>
          </w:tcPr>
          <w:p w:rsidR="00E25CC6" w:rsidRPr="00AF7B50" w:rsidRDefault="00E25CC6" w:rsidP="007A0CD9">
            <w:pPr>
              <w:pStyle w:val="TableofFigures"/>
              <w:rPr>
                <w:sz w:val="19"/>
              </w:rPr>
            </w:pPr>
            <w:r w:rsidRPr="00AF7B50">
              <w:rPr>
                <w:sz w:val="19"/>
              </w:rPr>
              <w:t>736.7</w:t>
            </w:r>
          </w:p>
        </w:tc>
        <w:tc>
          <w:tcPr>
            <w:tcW w:w="943" w:type="dxa"/>
            <w:tcBorders>
              <w:top w:val="nil"/>
              <w:left w:val="nil"/>
              <w:right w:val="nil"/>
            </w:tcBorders>
            <w:shd w:val="clear" w:color="auto" w:fill="FFFFFF"/>
          </w:tcPr>
          <w:p w:rsidR="00E25CC6" w:rsidRPr="00AF7B50" w:rsidRDefault="00E25CC6" w:rsidP="007A0CD9">
            <w:pPr>
              <w:pStyle w:val="TableofFigures"/>
              <w:rPr>
                <w:sz w:val="19"/>
              </w:rPr>
            </w:pPr>
            <w:r w:rsidRPr="00AF7B50">
              <w:rPr>
                <w:sz w:val="19"/>
              </w:rPr>
              <w:t>804.1</w:t>
            </w:r>
          </w:p>
        </w:tc>
        <w:tc>
          <w:tcPr>
            <w:tcW w:w="990" w:type="dxa"/>
            <w:tcBorders>
              <w:top w:val="nil"/>
              <w:left w:val="nil"/>
              <w:right w:val="nil"/>
            </w:tcBorders>
            <w:shd w:val="clear" w:color="auto" w:fill="FFFFFF"/>
          </w:tcPr>
          <w:p w:rsidR="00E25CC6" w:rsidRPr="00AF7B50" w:rsidRDefault="00E25CC6" w:rsidP="007A0CD9">
            <w:pPr>
              <w:pStyle w:val="TableofFigures"/>
              <w:rPr>
                <w:sz w:val="19"/>
              </w:rPr>
            </w:pPr>
            <w:r w:rsidRPr="00AF7B50">
              <w:rPr>
                <w:sz w:val="19"/>
              </w:rPr>
              <w:t>9.2</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Mental Health </w:t>
            </w:r>
            <w:r w:rsidRPr="00AF7B50">
              <w:rPr>
                <w:vertAlign w:val="superscript"/>
              </w:rPr>
              <w:t>(d)</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1 309.0</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1 312.8</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1 398.0</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6.8</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Ageing, Aged and Home Care </w:t>
            </w:r>
            <w:r w:rsidRPr="00AF7B50">
              <w:rPr>
                <w:vertAlign w:val="superscript"/>
              </w:rPr>
              <w:t>(e)</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1 288.6</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1 265.3</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779.6</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noBreakHyphen/>
              <w:t>39.5</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Primary, Community and Dental Health </w:t>
            </w:r>
            <w:r w:rsidRPr="00AF7B50">
              <w:rPr>
                <w:vertAlign w:val="superscript"/>
              </w:rPr>
              <w:t>(f)</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452.3</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487.4</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467.5</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3.4</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Small Rural Services </w:t>
            </w:r>
            <w:r w:rsidRPr="00AF7B50">
              <w:rPr>
                <w:vertAlign w:val="superscript"/>
              </w:rPr>
              <w:t>(g)</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578.7</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572.5</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561.7</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noBreakHyphen/>
              <w:t>3.0</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Public Health </w:t>
            </w:r>
            <w:r w:rsidRPr="00AF7B50">
              <w:rPr>
                <w:vertAlign w:val="superscript"/>
              </w:rPr>
              <w:t>(h)</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339.3</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331.3</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389.8</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14.9</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Drug Services </w:t>
            </w:r>
            <w:r w:rsidRPr="00AF7B50">
              <w:rPr>
                <w:vertAlign w:val="superscript"/>
              </w:rPr>
              <w:t>(i)</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181.3</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187.0</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192.5</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6.2</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Disability Services </w:t>
            </w:r>
            <w:r w:rsidRPr="00AF7B50">
              <w:rPr>
                <w:vertAlign w:val="superscript"/>
              </w:rPr>
              <w:t>(j)</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1 780.0</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1 774.3</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1 952.0</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9.7</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Child Protection and Family Services </w:t>
            </w:r>
            <w:r w:rsidRPr="00AF7B50">
              <w:rPr>
                <w:vertAlign w:val="superscript"/>
              </w:rPr>
              <w:t>(k)</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990.8</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1 021.6</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1 105.6</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11.6</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Youth Services and Youth Justice </w:t>
            </w:r>
            <w:r w:rsidRPr="00AF7B50">
              <w:rPr>
                <w:vertAlign w:val="superscript"/>
              </w:rPr>
              <w:t>(l)</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155.7</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154.8</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161.4</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3.6</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Concessions to Pensioners and Beneficiaries </w:t>
            </w:r>
            <w:r w:rsidRPr="00AF7B50">
              <w:rPr>
                <w:vertAlign w:val="superscript"/>
              </w:rPr>
              <w:t>(m)(n)</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711.2</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712.5</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685.1</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noBreakHyphen/>
              <w:t>3.7</w:t>
            </w:r>
          </w:p>
        </w:tc>
      </w:tr>
      <w:tr w:rsidR="00E25CC6" w:rsidRPr="00AF7B50" w:rsidTr="007A0CD9">
        <w:trPr>
          <w:cantSplit/>
        </w:trPr>
        <w:tc>
          <w:tcPr>
            <w:tcW w:w="3948" w:type="dxa"/>
            <w:tcBorders>
              <w:top w:val="nil"/>
              <w:left w:val="nil"/>
              <w:right w:val="nil"/>
            </w:tcBorders>
            <w:shd w:val="clear" w:color="000000" w:fill="FFFFFF"/>
          </w:tcPr>
          <w:p w:rsidR="00E25CC6" w:rsidRPr="00AF7B50" w:rsidRDefault="00E25CC6" w:rsidP="007A0CD9">
            <w:pPr>
              <w:pStyle w:val="Tabletext"/>
              <w:ind w:left="227" w:hanging="227"/>
            </w:pPr>
            <w:r w:rsidRPr="00AF7B50">
              <w:t xml:space="preserve">Housing Assistance </w:t>
            </w:r>
            <w:r w:rsidRPr="00AF7B50">
              <w:rPr>
                <w:vertAlign w:val="superscript"/>
              </w:rPr>
              <w:t>(o)</w:t>
            </w:r>
            <w:r w:rsidRPr="00AF7B50">
              <w:t xml:space="preserve"> </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420.8</w:t>
            </w:r>
          </w:p>
        </w:tc>
        <w:tc>
          <w:tcPr>
            <w:tcW w:w="942"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422.3</w:t>
            </w:r>
          </w:p>
        </w:tc>
        <w:tc>
          <w:tcPr>
            <w:tcW w:w="943"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513.1</w:t>
            </w:r>
          </w:p>
        </w:tc>
        <w:tc>
          <w:tcPr>
            <w:tcW w:w="990" w:type="dxa"/>
            <w:tcBorders>
              <w:top w:val="nil"/>
              <w:left w:val="nil"/>
              <w:right w:val="nil"/>
            </w:tcBorders>
            <w:shd w:val="clear" w:color="000000" w:fill="FFFFFF"/>
          </w:tcPr>
          <w:p w:rsidR="00E25CC6" w:rsidRPr="00AF7B50" w:rsidRDefault="00E25CC6" w:rsidP="007A0CD9">
            <w:pPr>
              <w:pStyle w:val="TableofFigures"/>
              <w:rPr>
                <w:sz w:val="19"/>
              </w:rPr>
            </w:pPr>
            <w:r w:rsidRPr="00AF7B50">
              <w:rPr>
                <w:sz w:val="19"/>
              </w:rPr>
              <w:t>21.9</w:t>
            </w:r>
          </w:p>
        </w:tc>
      </w:tr>
      <w:tr w:rsidR="00E25CC6" w:rsidRPr="00AF7B50" w:rsidTr="007A0CD9">
        <w:trPr>
          <w:cantSplit/>
        </w:trPr>
        <w:tc>
          <w:tcPr>
            <w:tcW w:w="3948" w:type="dxa"/>
            <w:tcBorders>
              <w:top w:val="nil"/>
              <w:left w:val="nil"/>
              <w:bottom w:val="single" w:sz="6" w:space="0" w:color="auto"/>
              <w:right w:val="nil"/>
            </w:tcBorders>
            <w:shd w:val="clear" w:color="000000" w:fill="FFFFFF"/>
          </w:tcPr>
          <w:p w:rsidR="00E25CC6" w:rsidRPr="00AF7B50" w:rsidRDefault="00E25CC6" w:rsidP="007A0CD9">
            <w:pPr>
              <w:pStyle w:val="Tabletext"/>
              <w:ind w:left="227" w:hanging="227"/>
            </w:pPr>
            <w:r w:rsidRPr="00AF7B50">
              <w:t xml:space="preserve">Empowering Individuals and Communities </w:t>
            </w:r>
            <w:r w:rsidRPr="00AF7B50">
              <w:rPr>
                <w:vertAlign w:val="superscript"/>
              </w:rPr>
              <w:t>(p)</w:t>
            </w:r>
            <w:r w:rsidRPr="00AF7B50">
              <w:t xml:space="preserve"> </w:t>
            </w:r>
          </w:p>
        </w:tc>
        <w:tc>
          <w:tcPr>
            <w:tcW w:w="942" w:type="dxa"/>
            <w:tcBorders>
              <w:top w:val="nil"/>
              <w:left w:val="nil"/>
              <w:bottom w:val="single" w:sz="6" w:space="0" w:color="auto"/>
              <w:right w:val="nil"/>
            </w:tcBorders>
            <w:shd w:val="clear" w:color="000000" w:fill="FFFFFF"/>
          </w:tcPr>
          <w:p w:rsidR="00E25CC6" w:rsidRPr="00AF7B50" w:rsidRDefault="00E25CC6" w:rsidP="007A0CD9">
            <w:pPr>
              <w:pStyle w:val="TableofFigures"/>
              <w:rPr>
                <w:sz w:val="19"/>
              </w:rPr>
            </w:pPr>
            <w:r w:rsidRPr="00AF7B50">
              <w:rPr>
                <w:sz w:val="19"/>
              </w:rPr>
              <w:t>137.5</w:t>
            </w:r>
          </w:p>
        </w:tc>
        <w:tc>
          <w:tcPr>
            <w:tcW w:w="942" w:type="dxa"/>
            <w:tcBorders>
              <w:top w:val="nil"/>
              <w:left w:val="nil"/>
              <w:bottom w:val="single" w:sz="6" w:space="0" w:color="auto"/>
              <w:right w:val="nil"/>
            </w:tcBorders>
            <w:shd w:val="clear" w:color="000000" w:fill="FFFFFF"/>
          </w:tcPr>
          <w:p w:rsidR="00E25CC6" w:rsidRPr="00AF7B50" w:rsidRDefault="00E25CC6" w:rsidP="007A0CD9">
            <w:pPr>
              <w:pStyle w:val="TableofFigures"/>
              <w:rPr>
                <w:sz w:val="19"/>
              </w:rPr>
            </w:pPr>
            <w:r w:rsidRPr="00AF7B50">
              <w:rPr>
                <w:sz w:val="19"/>
              </w:rPr>
              <w:t>211.8</w:t>
            </w:r>
          </w:p>
        </w:tc>
        <w:tc>
          <w:tcPr>
            <w:tcW w:w="943" w:type="dxa"/>
            <w:tcBorders>
              <w:top w:val="nil"/>
              <w:left w:val="nil"/>
              <w:bottom w:val="single" w:sz="6" w:space="0" w:color="auto"/>
              <w:right w:val="nil"/>
            </w:tcBorders>
            <w:shd w:val="clear" w:color="000000" w:fill="FFFFFF"/>
          </w:tcPr>
          <w:p w:rsidR="00E25CC6" w:rsidRPr="00AF7B50" w:rsidRDefault="00E25CC6" w:rsidP="007A0CD9">
            <w:pPr>
              <w:pStyle w:val="TableofFigures"/>
              <w:rPr>
                <w:sz w:val="19"/>
              </w:rPr>
            </w:pPr>
            <w:r w:rsidRPr="00AF7B50">
              <w:rPr>
                <w:sz w:val="19"/>
              </w:rPr>
              <w:t>176.8</w:t>
            </w:r>
          </w:p>
        </w:tc>
        <w:tc>
          <w:tcPr>
            <w:tcW w:w="990" w:type="dxa"/>
            <w:tcBorders>
              <w:top w:val="nil"/>
              <w:left w:val="nil"/>
              <w:bottom w:val="single" w:sz="6" w:space="0" w:color="auto"/>
              <w:right w:val="nil"/>
            </w:tcBorders>
            <w:shd w:val="clear" w:color="000000" w:fill="FFFFFF"/>
          </w:tcPr>
          <w:p w:rsidR="00E25CC6" w:rsidRPr="00AF7B50" w:rsidRDefault="00E25CC6" w:rsidP="007A0CD9">
            <w:pPr>
              <w:pStyle w:val="TableofFigures"/>
              <w:rPr>
                <w:sz w:val="19"/>
              </w:rPr>
            </w:pPr>
            <w:r w:rsidRPr="00AF7B50">
              <w:rPr>
                <w:sz w:val="19"/>
              </w:rPr>
              <w:t>28.6</w:t>
            </w:r>
          </w:p>
        </w:tc>
      </w:tr>
      <w:tr w:rsidR="00E25CC6" w:rsidRPr="00AF7B50" w:rsidTr="007A0CD9">
        <w:trPr>
          <w:cantSplit/>
        </w:trPr>
        <w:tc>
          <w:tcPr>
            <w:tcW w:w="3948" w:type="dxa"/>
            <w:tcBorders>
              <w:top w:val="single" w:sz="6" w:space="0" w:color="auto"/>
              <w:left w:val="nil"/>
              <w:bottom w:val="single" w:sz="12" w:space="0" w:color="auto"/>
              <w:right w:val="nil"/>
            </w:tcBorders>
            <w:shd w:val="clear" w:color="auto" w:fill="FFFFFF"/>
          </w:tcPr>
          <w:p w:rsidR="00E25CC6" w:rsidRPr="00AF7B50" w:rsidRDefault="00E25CC6" w:rsidP="007A0CD9">
            <w:pPr>
              <w:pStyle w:val="Tabletext"/>
              <w:ind w:left="227" w:hanging="227"/>
              <w:rPr>
                <w:b/>
                <w:bCs/>
                <w:lang w:eastAsia="en-AU"/>
              </w:rPr>
            </w:pPr>
            <w:r w:rsidRPr="00AF7B50">
              <w:rPr>
                <w:b/>
                <w:bCs/>
                <w:lang w:eastAsia="en-AU"/>
              </w:rPr>
              <w:t>Total</w:t>
            </w:r>
          </w:p>
        </w:tc>
        <w:tc>
          <w:tcPr>
            <w:tcW w:w="942" w:type="dxa"/>
            <w:tcBorders>
              <w:top w:val="single" w:sz="6" w:space="0" w:color="auto"/>
              <w:left w:val="nil"/>
              <w:bottom w:val="single" w:sz="12" w:space="0" w:color="auto"/>
              <w:right w:val="nil"/>
            </w:tcBorders>
            <w:shd w:val="clear" w:color="auto" w:fill="FFFFFF"/>
          </w:tcPr>
          <w:p w:rsidR="00E25CC6" w:rsidRPr="00AF7B50" w:rsidRDefault="00E25CC6" w:rsidP="007A0CD9">
            <w:pPr>
              <w:pStyle w:val="TableofFigures"/>
              <w:rPr>
                <w:b/>
                <w:bCs/>
                <w:sz w:val="19"/>
                <w:szCs w:val="22"/>
                <w:lang w:eastAsia="en-AU"/>
              </w:rPr>
            </w:pPr>
            <w:r w:rsidRPr="00AF7B50">
              <w:rPr>
                <w:b/>
                <w:sz w:val="19"/>
              </w:rPr>
              <w:t>20 048.9</w:t>
            </w:r>
          </w:p>
        </w:tc>
        <w:tc>
          <w:tcPr>
            <w:tcW w:w="942" w:type="dxa"/>
            <w:tcBorders>
              <w:top w:val="single" w:sz="6" w:space="0" w:color="auto"/>
              <w:left w:val="nil"/>
              <w:bottom w:val="single" w:sz="12" w:space="0" w:color="auto"/>
              <w:right w:val="nil"/>
            </w:tcBorders>
            <w:shd w:val="clear" w:color="auto" w:fill="FFFFFF"/>
          </w:tcPr>
          <w:p w:rsidR="00E25CC6" w:rsidRPr="00AF7B50" w:rsidRDefault="00E25CC6" w:rsidP="007A0CD9">
            <w:pPr>
              <w:pStyle w:val="TableofFigures"/>
              <w:rPr>
                <w:b/>
                <w:bCs/>
                <w:sz w:val="19"/>
                <w:szCs w:val="22"/>
                <w:lang w:eastAsia="en-AU"/>
              </w:rPr>
            </w:pPr>
            <w:r w:rsidRPr="00AF7B50">
              <w:rPr>
                <w:b/>
                <w:bCs/>
                <w:sz w:val="19"/>
                <w:szCs w:val="22"/>
                <w:lang w:eastAsia="en-AU"/>
              </w:rPr>
              <w:t>20 284.7</w:t>
            </w:r>
          </w:p>
        </w:tc>
        <w:tc>
          <w:tcPr>
            <w:tcW w:w="943" w:type="dxa"/>
            <w:tcBorders>
              <w:top w:val="single" w:sz="6" w:space="0" w:color="auto"/>
              <w:left w:val="nil"/>
              <w:bottom w:val="single" w:sz="12" w:space="0" w:color="auto"/>
              <w:right w:val="nil"/>
            </w:tcBorders>
            <w:shd w:val="clear" w:color="auto" w:fill="FFFFFF"/>
          </w:tcPr>
          <w:p w:rsidR="00E25CC6" w:rsidRPr="00AF7B50" w:rsidRDefault="00E25CC6" w:rsidP="007A0CD9">
            <w:pPr>
              <w:pStyle w:val="TableofFigures"/>
              <w:rPr>
                <w:b/>
                <w:bCs/>
                <w:sz w:val="19"/>
                <w:szCs w:val="22"/>
                <w:lang w:eastAsia="en-AU"/>
              </w:rPr>
            </w:pPr>
            <w:r w:rsidRPr="00AF7B50">
              <w:rPr>
                <w:b/>
                <w:bCs/>
                <w:sz w:val="19"/>
                <w:szCs w:val="22"/>
                <w:lang w:eastAsia="en-AU"/>
              </w:rPr>
              <w:t>21 062.2</w:t>
            </w:r>
          </w:p>
        </w:tc>
        <w:tc>
          <w:tcPr>
            <w:tcW w:w="990" w:type="dxa"/>
            <w:tcBorders>
              <w:top w:val="single" w:sz="6" w:space="0" w:color="auto"/>
              <w:left w:val="nil"/>
              <w:bottom w:val="single" w:sz="12" w:space="0" w:color="auto"/>
              <w:right w:val="nil"/>
            </w:tcBorders>
            <w:shd w:val="clear" w:color="auto" w:fill="FFFFFF"/>
          </w:tcPr>
          <w:p w:rsidR="00E25CC6" w:rsidRPr="00AF7B50" w:rsidRDefault="00E25CC6" w:rsidP="007A0CD9">
            <w:pPr>
              <w:pStyle w:val="TableofFigures"/>
              <w:rPr>
                <w:b/>
                <w:bCs/>
                <w:sz w:val="19"/>
                <w:szCs w:val="22"/>
                <w:lang w:eastAsia="en-AU"/>
              </w:rPr>
            </w:pPr>
            <w:r w:rsidRPr="00AF7B50">
              <w:rPr>
                <w:b/>
                <w:bCs/>
                <w:sz w:val="19"/>
                <w:szCs w:val="22"/>
                <w:lang w:eastAsia="en-AU"/>
              </w:rPr>
              <w:t>5.1</w:t>
            </w:r>
          </w:p>
        </w:tc>
      </w:tr>
    </w:tbl>
    <w:p w:rsidR="00E25CC6" w:rsidRPr="00AF7B50" w:rsidRDefault="00E25CC6" w:rsidP="00074AE2">
      <w:pPr>
        <w:pStyle w:val="Source"/>
        <w:rPr>
          <w:rFonts w:eastAsiaTheme="minorHAnsi"/>
          <w:i w:val="0"/>
        </w:rPr>
      </w:pPr>
      <w:r w:rsidRPr="00AF7B50">
        <w:rPr>
          <w:rFonts w:eastAsiaTheme="minorHAnsi"/>
        </w:rPr>
        <w:t xml:space="preserve">Source: Department of Health and Human Services </w:t>
      </w:r>
      <w:r w:rsidRPr="00AF7B50">
        <w:rPr>
          <w:rFonts w:eastAsiaTheme="minorHAnsi"/>
        </w:rPr>
        <w:fldChar w:fldCharType="begin"/>
      </w:r>
      <w:r w:rsidRPr="00AF7B50">
        <w:instrText xml:space="preserve"> XE "Department of Health and Human Services:Output summary" </w:instrText>
      </w:r>
      <w:r w:rsidRPr="00AF7B50">
        <w:rPr>
          <w:rFonts w:eastAsiaTheme="minorHAnsi"/>
        </w:rPr>
        <w:fldChar w:fldCharType="end"/>
      </w:r>
    </w:p>
    <w:p w:rsidR="00E25CC6" w:rsidRPr="00AF7B50" w:rsidRDefault="00E25CC6" w:rsidP="00574AA4">
      <w:pPr>
        <w:pStyle w:val="Notes"/>
        <w:rPr>
          <w:rFonts w:eastAsiaTheme="minorHAnsi"/>
        </w:rPr>
      </w:pPr>
      <w:r w:rsidRPr="00AF7B50">
        <w:rPr>
          <w:rFonts w:eastAsiaTheme="minorHAnsi"/>
        </w:rPr>
        <w:t xml:space="preserve">Notes: </w:t>
      </w:r>
    </w:p>
    <w:p w:rsidR="00E25CC6" w:rsidRPr="00AF7B50" w:rsidRDefault="00E25CC6" w:rsidP="00B82016">
      <w:pPr>
        <w:pStyle w:val="Notes"/>
        <w:rPr>
          <w:rFonts w:eastAsiaTheme="minorHAnsi"/>
        </w:rPr>
      </w:pPr>
      <w:r w:rsidRPr="00AF7B50">
        <w:rPr>
          <w:rFonts w:eastAsiaTheme="minorHAnsi"/>
        </w:rPr>
        <w:t>(a)</w:t>
      </w:r>
      <w:r w:rsidRPr="00AF7B50">
        <w:rPr>
          <w:rFonts w:eastAsiaTheme="minorHAnsi"/>
        </w:rPr>
        <w:tab/>
        <w:t>Variation between 2015</w:t>
      </w:r>
      <w:r w:rsidRPr="00AF7B50">
        <w:rPr>
          <w:rFonts w:eastAsiaTheme="minorHAnsi"/>
        </w:rPr>
        <w:noBreakHyphen/>
        <w:t>16 budget and 2016</w:t>
      </w:r>
      <w:r w:rsidRPr="00AF7B50">
        <w:rPr>
          <w:rFonts w:eastAsiaTheme="minorHAnsi"/>
        </w:rPr>
        <w:noBreakHyphen/>
        <w:t xml:space="preserve">17 budget. </w:t>
      </w:r>
    </w:p>
    <w:p w:rsidR="00E25CC6" w:rsidRPr="00AF7B50" w:rsidRDefault="00E25CC6" w:rsidP="00FD0D87">
      <w:pPr>
        <w:pStyle w:val="Notes"/>
        <w:rPr>
          <w:rFonts w:eastAsiaTheme="minorHAnsi"/>
          <w:i w:val="0"/>
        </w:rPr>
      </w:pPr>
      <w:r w:rsidRPr="00AF7B50">
        <w:rPr>
          <w:rFonts w:eastAsiaTheme="minorHAnsi"/>
        </w:rPr>
        <w:t>(b)</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(c)</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(d)</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(e)</w:t>
      </w:r>
      <w:r w:rsidRPr="00AF7B50">
        <w:rPr>
          <w:rFonts w:eastAsiaTheme="minorHAnsi"/>
        </w:rPr>
        <w:tab/>
        <w:t>The lower 2016-17 budget primarily reflects the transfer of responsibilities to the Commonwealth for Aged Care and the planned entry of clients into the National Disability Insurance Scheme.</w:t>
      </w:r>
    </w:p>
    <w:p w:rsidR="00E25CC6" w:rsidRPr="00AF7B50" w:rsidRDefault="00E25CC6" w:rsidP="00FD0D87">
      <w:pPr>
        <w:pStyle w:val="Notes"/>
        <w:rPr>
          <w:rFonts w:eastAsiaTheme="minorHAnsi"/>
        </w:rPr>
      </w:pPr>
      <w:r w:rsidRPr="00AF7B50">
        <w:rPr>
          <w:rFonts w:eastAsiaTheme="minorHAnsi"/>
        </w:rPr>
        <w:t>(f)</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(g)</w:t>
      </w:r>
      <w:r w:rsidRPr="00AF7B50">
        <w:rPr>
          <w:rFonts w:eastAsiaTheme="minorHAnsi"/>
        </w:rPr>
        <w:tab/>
        <w:t>The lower 2016-17 budget primarily reflects the transfer of responsibilities to the Commonwealth for Aged Care and the planned entry of clients into the National Disability Insurance Scheme.</w:t>
      </w:r>
    </w:p>
    <w:p w:rsidR="00E25CC6" w:rsidRPr="00AF7B50" w:rsidRDefault="00E25CC6" w:rsidP="00FD0D87">
      <w:pPr>
        <w:pStyle w:val="Notes"/>
        <w:rPr>
          <w:rFonts w:eastAsiaTheme="minorHAnsi"/>
        </w:rPr>
      </w:pPr>
      <w:r w:rsidRPr="00AF7B50">
        <w:rPr>
          <w:rFonts w:eastAsiaTheme="minorHAnsi"/>
        </w:rPr>
        <w:t>(h)</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(i)</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(j)</w:t>
      </w:r>
      <w:r w:rsidRPr="00AF7B50">
        <w:rPr>
          <w:rFonts w:eastAsiaTheme="minorHAnsi"/>
        </w:rPr>
        <w:tab/>
        <w:t>The higher 2016-17 budget primarily reflects the transfer of funding previously reported in the HACC  Primary Health, Community Care and Support output, the Disability Services output and the Mental Health Community Support Services output into the new Victorian Contribution to National Disability Insurance Scheme output.</w:t>
      </w:r>
    </w:p>
    <w:p w:rsidR="00E25CC6" w:rsidRPr="00AF7B50" w:rsidRDefault="00E25CC6" w:rsidP="00FD0D87">
      <w:pPr>
        <w:pStyle w:val="Notes"/>
        <w:rPr>
          <w:rFonts w:eastAsiaTheme="minorHAnsi"/>
        </w:rPr>
      </w:pPr>
      <w:r w:rsidRPr="00AF7B50">
        <w:rPr>
          <w:rFonts w:eastAsiaTheme="minorHAnsi"/>
        </w:rPr>
        <w:t>(k)</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(l)</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(m)</w:t>
      </w:r>
      <w:r w:rsidRPr="00AF7B50">
        <w:rPr>
          <w:rFonts w:eastAsiaTheme="minorHAnsi"/>
        </w:rPr>
        <w:tab/>
        <w:t>The lower 2016-17 budget reflects lower estimated costs, including as a result of Commonwealth changes in pensioner eligibility.</w:t>
      </w:r>
    </w:p>
    <w:p w:rsidR="00E25CC6" w:rsidRPr="00AF7B50" w:rsidRDefault="00E25CC6" w:rsidP="00FD0D87">
      <w:pPr>
        <w:pStyle w:val="Notes"/>
        <w:rPr>
          <w:rFonts w:eastAsiaTheme="minorHAnsi"/>
        </w:rPr>
      </w:pPr>
      <w:r w:rsidRPr="00AF7B50">
        <w:rPr>
          <w:rFonts w:eastAsiaTheme="minorHAnsi"/>
        </w:rPr>
        <w:t>(n)</w:t>
      </w:r>
      <w:r w:rsidRPr="00AF7B50">
        <w:rPr>
          <w:rFonts w:eastAsiaTheme="minorHAnsi"/>
        </w:rPr>
        <w:tab/>
        <w:t>The output summary includes funding for transport concessions transferred to the Department of Economic Development, Jobs, Transport and Resources. This funding is reflected in the Department of Economic Development, Jobs, Transport and Resources</w:t>
      </w:r>
      <w:r>
        <w:rPr>
          <w:rFonts w:eastAsiaTheme="minorHAnsi"/>
        </w:rPr>
        <w:t>’</w:t>
      </w:r>
      <w:r w:rsidRPr="00AF7B50">
        <w:rPr>
          <w:rFonts w:eastAsiaTheme="minorHAnsi"/>
        </w:rPr>
        <w:t xml:space="preserve"> Integrated Transport output.</w:t>
      </w:r>
    </w:p>
    <w:p w:rsidR="00E25CC6" w:rsidRPr="00AF7B50" w:rsidRDefault="00E25CC6" w:rsidP="00FD0D87">
      <w:pPr>
        <w:pStyle w:val="Notes"/>
        <w:rPr>
          <w:rFonts w:eastAsiaTheme="minorHAnsi"/>
        </w:rPr>
      </w:pPr>
      <w:r w:rsidRPr="00AF7B50">
        <w:rPr>
          <w:rFonts w:eastAsiaTheme="minorHAnsi"/>
        </w:rPr>
        <w:t>(o)</w:t>
      </w:r>
      <w:r w:rsidRPr="00AF7B50">
        <w:rPr>
          <w:rFonts w:eastAsiaTheme="minorHAnsi"/>
        </w:rPr>
        <w:tab/>
        <w:t>The higher 2016-17 budget primarily reflects funding provided for government policy commitments.</w:t>
      </w:r>
    </w:p>
    <w:p w:rsidR="00E25CC6" w:rsidRPr="00AF7B50" w:rsidRDefault="00E25CC6" w:rsidP="00FD0D87">
      <w:pPr>
        <w:pStyle w:val="Notes"/>
        <w:rPr>
          <w:rFonts w:eastAsiaTheme="minorHAnsi"/>
        </w:rPr>
      </w:pPr>
      <w:r w:rsidRPr="00AF7B50">
        <w:rPr>
          <w:rFonts w:eastAsiaTheme="minorHAnsi"/>
        </w:rPr>
        <w:t>(p)</w:t>
      </w:r>
      <w:r w:rsidRPr="00AF7B50">
        <w:rPr>
          <w:rFonts w:eastAsiaTheme="minorHAnsi"/>
        </w:rPr>
        <w:tab/>
        <w:t>The higher 2016-17 budget primarily reflects funding provided for government policy commitments.</w:t>
      </w:r>
    </w:p>
    <w:p w:rsidR="00E25CC6" w:rsidRPr="00AF7B50" w:rsidRDefault="00E25CC6" w:rsidP="00B82016">
      <w:pPr>
        <w:pStyle w:val="Source"/>
        <w:rPr>
          <w:rFonts w:eastAsiaTheme="minorHAnsi"/>
        </w:rPr>
      </w:pPr>
    </w:p>
    <w:p w:rsidR="00E25CC6" w:rsidRPr="00AF7B50" w:rsidRDefault="00E25CC6">
      <w:pPr>
        <w:spacing w:after="0"/>
        <w:rPr>
          <w:rFonts w:ascii="Calibri" w:eastAsiaTheme="minorHAnsi" w:hAnsi="Calibri"/>
          <w:b/>
          <w:kern w:val="28"/>
          <w:sz w:val="26"/>
          <w:szCs w:val="22"/>
        </w:rPr>
      </w:pPr>
      <w:r w:rsidRPr="00AF7B50">
        <w:rPr>
          <w:rFonts w:eastAsiaTheme="minorHAnsi"/>
        </w:rPr>
        <w:br w:type="page"/>
      </w:r>
    </w:p>
    <w:p w:rsidR="00E25CC6" w:rsidRPr="00AF7B50" w:rsidRDefault="00E25CC6" w:rsidP="00D366D2">
      <w:pPr>
        <w:pStyle w:val="Heading2"/>
        <w:rPr>
          <w:rFonts w:eastAsiaTheme="minorHAnsi"/>
        </w:rPr>
      </w:pPr>
      <w:r w:rsidRPr="00AF7B50">
        <w:rPr>
          <w:rFonts w:eastAsiaTheme="minorHAnsi"/>
        </w:rPr>
        <w:t>Amounts available</w:t>
      </w:r>
    </w:p>
    <w:p w:rsidR="00E25CC6" w:rsidRPr="00AF7B50" w:rsidRDefault="00E25CC6" w:rsidP="00B82016">
      <w:pPr>
        <w:rPr>
          <w:rFonts w:eastAsiaTheme="minorHAnsi"/>
        </w:rPr>
      </w:pPr>
      <w:r w:rsidRPr="00AF7B50">
        <w:rPr>
          <w:rFonts w:eastAsiaTheme="minorHAnsi"/>
        </w:rPr>
        <w:t>The following tables detail the amounts available to the Department from Parliamentary authority and income generated through transactions.</w:t>
      </w:r>
    </w:p>
    <w:p w:rsidR="00E25CC6" w:rsidRPr="00AF7B50" w:rsidRDefault="00E25CC6" w:rsidP="007A0CD9">
      <w:pPr>
        <w:rPr>
          <w:rFonts w:eastAsiaTheme="minorHAnsi"/>
        </w:rPr>
      </w:pPr>
      <w:r w:rsidRPr="00AF7B50">
        <w:rPr>
          <w:rFonts w:eastAsiaTheme="minorHAnsi"/>
        </w:rPr>
        <w:t>Table 2.12 outlines the Department</w:t>
      </w:r>
      <w:r>
        <w:rPr>
          <w:rFonts w:eastAsiaTheme="minorHAnsi"/>
        </w:rPr>
        <w:t>’</w:t>
      </w:r>
      <w:r w:rsidRPr="00AF7B50">
        <w:rPr>
          <w:rFonts w:eastAsiaTheme="minorHAnsi"/>
        </w:rPr>
        <w:t>s income from transactions and 2.13 summarises the sources of Parliamentary authority available to the Department to fund the provision of outputs, additions to the net asset base and payments made on behalf of the State.</w:t>
      </w:r>
    </w:p>
    <w:p w:rsidR="00E25CC6" w:rsidRPr="00AF7B50" w:rsidRDefault="00E25CC6" w:rsidP="00D366D2">
      <w:pPr>
        <w:pStyle w:val="Tableheading"/>
        <w:rPr>
          <w:rFonts w:eastAsiaTheme="minorHAnsi"/>
        </w:rPr>
      </w:pPr>
      <w:r w:rsidRPr="00AF7B50">
        <w:rPr>
          <w:rFonts w:eastAsiaTheme="minorHAnsi"/>
        </w:rPr>
        <w:t>Table 2.12:</w:t>
      </w:r>
      <w:r w:rsidRPr="00AF7B50">
        <w:rPr>
          <w:rFonts w:eastAsiaTheme="minorHAnsi"/>
        </w:rPr>
        <w:tab/>
        <w:t>Income from transactions</w:t>
      </w:r>
    </w:p>
    <w:p w:rsidR="00E25CC6" w:rsidRPr="00CD4331" w:rsidRDefault="00E25CC6" w:rsidP="00CD4331">
      <w:pPr>
        <w:pStyle w:val="million"/>
        <w:rPr>
          <w:rFonts w:eastAsiaTheme="minorHAnsi"/>
        </w:rPr>
      </w:pPr>
      <w:r w:rsidRPr="00AF7B50">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CD4331" w:rsidTr="00CD4331">
        <w:tc>
          <w:tcPr>
            <w:tcW w:w="4365"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2016-17</w:t>
            </w:r>
          </w:p>
        </w:tc>
      </w:tr>
      <w:tr w:rsidR="00E25CC6" w:rsidRPr="00CD4331" w:rsidTr="00CD4331">
        <w:tc>
          <w:tcPr>
            <w:tcW w:w="4365"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 xml:space="preserve"> </w:t>
            </w:r>
          </w:p>
        </w:tc>
        <w:tc>
          <w:tcPr>
            <w:tcW w:w="850" w:type="dxa"/>
            <w:tcBorders>
              <w:top w:val="nil"/>
              <w:left w:val="nil"/>
              <w:bottom w:val="single" w:sz="6" w:space="0" w:color="auto"/>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lang w:eastAsia="en-AU"/>
              </w:rPr>
            </w:pPr>
            <w:r w:rsidRPr="00CD4331">
              <w:rPr>
                <w:rFonts w:ascii="Calibri" w:eastAsiaTheme="minorEastAsia" w:hAnsi="Calibri" w:cs="Calibri"/>
                <w:i/>
                <w:iCs/>
                <w:color w:val="FFFFFF"/>
                <w:sz w:val="19"/>
                <w:lang w:eastAsia="en-AU"/>
              </w:rPr>
              <w:t>actual</w:t>
            </w:r>
          </w:p>
        </w:tc>
        <w:tc>
          <w:tcPr>
            <w:tcW w:w="850"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budget</w:t>
            </w:r>
          </w:p>
        </w:tc>
        <w:tc>
          <w:tcPr>
            <w:tcW w:w="850"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revised</w:t>
            </w:r>
          </w:p>
        </w:tc>
        <w:tc>
          <w:tcPr>
            <w:tcW w:w="850" w:type="dxa"/>
            <w:tcBorders>
              <w:top w:val="nil"/>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color w:val="FFFFFF"/>
                <w:sz w:val="19"/>
                <w:szCs w:val="19"/>
                <w:lang w:eastAsia="en-AU"/>
              </w:rPr>
            </w:pPr>
            <w:r w:rsidRPr="00CD4331">
              <w:rPr>
                <w:rFonts w:ascii="Calibri" w:eastAsiaTheme="minorEastAsia" w:hAnsi="Calibri" w:cs="Calibri"/>
                <w:i/>
                <w:iCs/>
                <w:color w:val="FFFFFF"/>
                <w:sz w:val="19"/>
                <w:szCs w:val="19"/>
                <w:lang w:eastAsia="en-AU"/>
              </w:rPr>
              <w:t>budget</w:t>
            </w:r>
          </w:p>
        </w:tc>
      </w:tr>
      <w:tr w:rsidR="00E25CC6" w:rsidRPr="00CD4331" w:rsidTr="00CD4331">
        <w:tc>
          <w:tcPr>
            <w:tcW w:w="4365" w:type="dxa"/>
            <w:tcBorders>
              <w:top w:val="nil"/>
              <w:left w:val="nil"/>
              <w:right w:val="nil"/>
            </w:tcBorders>
            <w:shd w:val="clear" w:color="auto"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9 968.2</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12 870.2</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12 919.9</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13 382.1</w:t>
            </w:r>
          </w:p>
        </w:tc>
      </w:tr>
      <w:tr w:rsidR="00E25CC6" w:rsidRPr="00CD4331" w:rsidTr="00CD4331">
        <w:tc>
          <w:tcPr>
            <w:tcW w:w="4365" w:type="dxa"/>
            <w:tcBorders>
              <w:top w:val="nil"/>
              <w:left w:val="nil"/>
              <w:right w:val="nil"/>
            </w:tcBorders>
            <w:shd w:val="clear" w:color="auto"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1 272.5</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1 360.9</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1 364.4</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1 403.9</w:t>
            </w:r>
          </w:p>
        </w:tc>
      </w:tr>
      <w:tr w:rsidR="00E25CC6" w:rsidRPr="00CD4331" w:rsidTr="00CD4331">
        <w:tc>
          <w:tcPr>
            <w:tcW w:w="4365" w:type="dxa"/>
            <w:tcBorders>
              <w:top w:val="nil"/>
              <w:left w:val="nil"/>
              <w:right w:val="nil"/>
            </w:tcBorders>
            <w:shd w:val="clear" w:color="auto"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Interest</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62.3</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68.2</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67.9</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67.9</w:t>
            </w:r>
          </w:p>
        </w:tc>
      </w:tr>
      <w:tr w:rsidR="00E25CC6" w:rsidRPr="00CD4331" w:rsidTr="00CD4331">
        <w:tc>
          <w:tcPr>
            <w:tcW w:w="4365" w:type="dxa"/>
            <w:tcBorders>
              <w:top w:val="nil"/>
              <w:left w:val="nil"/>
              <w:right w:val="nil"/>
            </w:tcBorders>
            <w:shd w:val="clear" w:color="auto"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1 553.4</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1 796.1</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1 585.5</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1 649.6</w:t>
            </w:r>
          </w:p>
        </w:tc>
      </w:tr>
      <w:tr w:rsidR="00E25CC6" w:rsidRPr="00CD4331" w:rsidTr="00CD4331">
        <w:tc>
          <w:tcPr>
            <w:tcW w:w="4365" w:type="dxa"/>
            <w:tcBorders>
              <w:top w:val="nil"/>
              <w:left w:val="nil"/>
              <w:right w:val="nil"/>
            </w:tcBorders>
            <w:shd w:val="clear" w:color="auto"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Grants</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4 832.1</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4 861.6</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5 087.2</w:t>
            </w:r>
          </w:p>
        </w:tc>
        <w:tc>
          <w:tcPr>
            <w:tcW w:w="850" w:type="dxa"/>
            <w:tcBorders>
              <w:top w:val="nil"/>
              <w:left w:val="nil"/>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5 303.9</w:t>
            </w:r>
          </w:p>
        </w:tc>
      </w:tr>
      <w:tr w:rsidR="00E25CC6" w:rsidRPr="00CD4331" w:rsidTr="00CD4331">
        <w:tc>
          <w:tcPr>
            <w:tcW w:w="4365" w:type="dxa"/>
            <w:tcBorders>
              <w:top w:val="nil"/>
              <w:left w:val="nil"/>
              <w:bottom w:val="single" w:sz="6" w:space="0" w:color="auto"/>
              <w:right w:val="nil"/>
            </w:tcBorders>
            <w:shd w:val="clear" w:color="auto"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Other income</w:t>
            </w:r>
          </w:p>
        </w:tc>
        <w:tc>
          <w:tcPr>
            <w:tcW w:w="850" w:type="dxa"/>
            <w:tcBorders>
              <w:top w:val="nil"/>
              <w:left w:val="nil"/>
              <w:bottom w:val="single" w:sz="6"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614.1</w:t>
            </w:r>
          </w:p>
        </w:tc>
        <w:tc>
          <w:tcPr>
            <w:tcW w:w="850" w:type="dxa"/>
            <w:tcBorders>
              <w:top w:val="nil"/>
              <w:left w:val="nil"/>
              <w:bottom w:val="single" w:sz="6"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468.0</w:t>
            </w:r>
          </w:p>
        </w:tc>
        <w:tc>
          <w:tcPr>
            <w:tcW w:w="850" w:type="dxa"/>
            <w:tcBorders>
              <w:top w:val="nil"/>
              <w:left w:val="nil"/>
              <w:bottom w:val="single" w:sz="6"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483.2</w:t>
            </w:r>
          </w:p>
        </w:tc>
        <w:tc>
          <w:tcPr>
            <w:tcW w:w="850" w:type="dxa"/>
            <w:tcBorders>
              <w:top w:val="nil"/>
              <w:left w:val="nil"/>
              <w:bottom w:val="single" w:sz="6"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color w:val="000000"/>
                <w:sz w:val="19"/>
                <w:szCs w:val="19"/>
                <w:lang w:eastAsia="en-AU"/>
              </w:rPr>
            </w:pPr>
            <w:r w:rsidRPr="00CD4331">
              <w:rPr>
                <w:rFonts w:ascii="Calibri" w:eastAsiaTheme="minorEastAsia" w:hAnsi="Calibri" w:cs="Calibri"/>
                <w:color w:val="000000"/>
                <w:sz w:val="19"/>
                <w:szCs w:val="19"/>
                <w:lang w:eastAsia="en-AU"/>
              </w:rPr>
              <w:t xml:space="preserve"> 495.9</w:t>
            </w:r>
          </w:p>
        </w:tc>
      </w:tr>
      <w:tr w:rsidR="00E25CC6" w:rsidRPr="00CD4331" w:rsidTr="00CD4331">
        <w:tc>
          <w:tcPr>
            <w:tcW w:w="4365" w:type="dxa"/>
            <w:tcBorders>
              <w:top w:val="single" w:sz="6" w:space="0" w:color="auto"/>
              <w:left w:val="nil"/>
              <w:bottom w:val="single" w:sz="12" w:space="0" w:color="auto"/>
              <w:right w:val="nil"/>
            </w:tcBorders>
            <w:shd w:val="clear" w:color="auto"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CD4331">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b/>
                <w:bCs/>
                <w:color w:val="000000"/>
                <w:sz w:val="19"/>
                <w:szCs w:val="19"/>
                <w:lang w:eastAsia="en-AU"/>
              </w:rPr>
            </w:pPr>
            <w:r w:rsidRPr="00CD4331">
              <w:rPr>
                <w:rFonts w:ascii="Calibri" w:eastAsiaTheme="minorEastAsia" w:hAnsi="Calibri" w:cs="Calibri"/>
                <w:b/>
                <w:bCs/>
                <w:color w:val="000000"/>
                <w:sz w:val="19"/>
                <w:szCs w:val="19"/>
                <w:lang w:eastAsia="en-AU"/>
              </w:rPr>
              <w:t>18 302.8</w:t>
            </w:r>
          </w:p>
        </w:tc>
        <w:tc>
          <w:tcPr>
            <w:tcW w:w="850" w:type="dxa"/>
            <w:tcBorders>
              <w:top w:val="single" w:sz="6" w:space="0" w:color="auto"/>
              <w:left w:val="nil"/>
              <w:bottom w:val="single" w:sz="12"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b/>
                <w:bCs/>
                <w:color w:val="000000"/>
                <w:sz w:val="19"/>
                <w:szCs w:val="19"/>
                <w:lang w:eastAsia="en-AU"/>
              </w:rPr>
            </w:pPr>
            <w:r w:rsidRPr="00CD4331">
              <w:rPr>
                <w:rFonts w:ascii="Calibri" w:eastAsiaTheme="minorEastAsia" w:hAnsi="Calibri" w:cs="Calibri"/>
                <w:b/>
                <w:bCs/>
                <w:color w:val="000000"/>
                <w:sz w:val="19"/>
                <w:szCs w:val="19"/>
                <w:lang w:eastAsia="en-AU"/>
              </w:rPr>
              <w:t>21 425.1</w:t>
            </w:r>
          </w:p>
        </w:tc>
        <w:tc>
          <w:tcPr>
            <w:tcW w:w="850" w:type="dxa"/>
            <w:tcBorders>
              <w:top w:val="single" w:sz="6" w:space="0" w:color="auto"/>
              <w:left w:val="nil"/>
              <w:bottom w:val="single" w:sz="12"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b/>
                <w:bCs/>
                <w:color w:val="000000"/>
                <w:sz w:val="19"/>
                <w:szCs w:val="19"/>
                <w:lang w:eastAsia="en-AU"/>
              </w:rPr>
            </w:pPr>
            <w:r w:rsidRPr="00CD4331">
              <w:rPr>
                <w:rFonts w:ascii="Calibri" w:eastAsiaTheme="minorEastAsia" w:hAnsi="Calibri" w:cs="Calibri"/>
                <w:b/>
                <w:bCs/>
                <w:color w:val="000000"/>
                <w:sz w:val="19"/>
                <w:szCs w:val="19"/>
                <w:lang w:eastAsia="en-AU"/>
              </w:rPr>
              <w:t>21 508.1</w:t>
            </w:r>
          </w:p>
        </w:tc>
        <w:tc>
          <w:tcPr>
            <w:tcW w:w="850" w:type="dxa"/>
            <w:tcBorders>
              <w:top w:val="single" w:sz="6" w:space="0" w:color="auto"/>
              <w:left w:val="nil"/>
              <w:bottom w:val="single" w:sz="12" w:space="0" w:color="auto"/>
              <w:right w:val="nil"/>
            </w:tcBorders>
            <w:shd w:val="clear" w:color="auto" w:fill="FFFFFF"/>
          </w:tcPr>
          <w:p w:rsidR="00E25CC6" w:rsidRPr="00CD4331" w:rsidRDefault="00E25CC6" w:rsidP="00CD4331">
            <w:pPr>
              <w:autoSpaceDE w:val="0"/>
              <w:autoSpaceDN w:val="0"/>
              <w:adjustRightInd w:val="0"/>
              <w:spacing w:after="0"/>
              <w:jc w:val="right"/>
              <w:rPr>
                <w:rFonts w:ascii="Calibri" w:eastAsiaTheme="minorEastAsia" w:hAnsi="Calibri" w:cs="Calibri"/>
                <w:b/>
                <w:bCs/>
                <w:color w:val="000000"/>
                <w:sz w:val="19"/>
                <w:szCs w:val="19"/>
                <w:lang w:eastAsia="en-AU"/>
              </w:rPr>
            </w:pPr>
            <w:r w:rsidRPr="00CD4331">
              <w:rPr>
                <w:rFonts w:ascii="Calibri" w:eastAsiaTheme="minorEastAsia" w:hAnsi="Calibri" w:cs="Calibri"/>
                <w:b/>
                <w:bCs/>
                <w:color w:val="000000"/>
                <w:sz w:val="19"/>
                <w:szCs w:val="19"/>
                <w:lang w:eastAsia="en-AU"/>
              </w:rPr>
              <w:t>22 303.3</w:t>
            </w:r>
          </w:p>
        </w:tc>
      </w:tr>
    </w:tbl>
    <w:p w:rsidR="00E25CC6" w:rsidRPr="00AF7B50" w:rsidRDefault="00E25CC6" w:rsidP="001A1529">
      <w:pPr>
        <w:pStyle w:val="Source"/>
        <w:rPr>
          <w:rFonts w:eastAsiaTheme="minorHAnsi"/>
        </w:rPr>
      </w:pPr>
      <w:r w:rsidRPr="00AF7B50">
        <w:rPr>
          <w:rFonts w:eastAsiaTheme="minorHAnsi"/>
        </w:rPr>
        <w:t xml:space="preserve">Source: Department of Health and Human Services </w:t>
      </w:r>
      <w:r w:rsidRPr="00AF7B50">
        <w:rPr>
          <w:rFonts w:eastAsiaTheme="minorHAnsi"/>
        </w:rPr>
        <w:fldChar w:fldCharType="begin"/>
      </w:r>
      <w:r w:rsidRPr="00AF7B50">
        <w:instrText xml:space="preserve"> XE "Department of Health and Human Services:Income from transactions" </w:instrText>
      </w:r>
      <w:r w:rsidRPr="00AF7B50">
        <w:rPr>
          <w:rFonts w:eastAsiaTheme="minorHAnsi"/>
        </w:rPr>
        <w:fldChar w:fldCharType="end"/>
      </w:r>
    </w:p>
    <w:p w:rsidR="00E25CC6" w:rsidRPr="00AF7B50" w:rsidRDefault="00E25CC6" w:rsidP="0063214F">
      <w:pPr>
        <w:pStyle w:val="Notes"/>
        <w:rPr>
          <w:rFonts w:eastAsiaTheme="minorHAnsi"/>
        </w:rPr>
      </w:pPr>
    </w:p>
    <w:p w:rsidR="00E25CC6" w:rsidRPr="00AF7B50" w:rsidRDefault="00E25CC6" w:rsidP="00D366D2">
      <w:pPr>
        <w:pStyle w:val="Tableheading"/>
        <w:rPr>
          <w:rFonts w:eastAsiaTheme="minorHAnsi"/>
        </w:rPr>
      </w:pPr>
      <w:r w:rsidRPr="00AF7B50">
        <w:rPr>
          <w:rFonts w:eastAsiaTheme="minorHAnsi"/>
        </w:rPr>
        <w:t>Table 2.13:</w:t>
      </w:r>
      <w:r w:rsidRPr="00AF7B50">
        <w:rPr>
          <w:rFonts w:eastAsiaTheme="minorHAnsi"/>
        </w:rPr>
        <w:tab/>
        <w:t>Parliamentary authority for resources</w:t>
      </w:r>
    </w:p>
    <w:p w:rsidR="00E25CC6" w:rsidRPr="00CD4331" w:rsidRDefault="00E25CC6" w:rsidP="00CD4331">
      <w:pPr>
        <w:pStyle w:val="million"/>
        <w:rPr>
          <w:rFonts w:eastAsiaTheme="minorHAnsi"/>
        </w:rPr>
      </w:pPr>
      <w:r w:rsidRPr="00AF7B50">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CD4331" w:rsidTr="00CD4331">
        <w:tc>
          <w:tcPr>
            <w:tcW w:w="5216" w:type="dxa"/>
            <w:tcBorders>
              <w:left w:val="nil"/>
              <w:bottom w:val="nil"/>
              <w:right w:val="nil"/>
            </w:tcBorders>
            <w:shd w:val="solid" w:color="000000" w:fill="auto"/>
          </w:tcPr>
          <w:p w:rsidR="00E25CC6" w:rsidRPr="00CD4331" w:rsidRDefault="00E25CC6" w:rsidP="00CD4331">
            <w:pPr>
              <w:autoSpaceDE w:val="0"/>
              <w:autoSpaceDN w:val="0"/>
              <w:adjustRightInd w:val="0"/>
              <w:spacing w:after="0"/>
              <w:rPr>
                <w:rFonts w:ascii="Calibri" w:eastAsiaTheme="minorEastAsia" w:hAnsi="Calibri" w:cs="Calibri"/>
                <w:sz w:val="19"/>
                <w:lang w:eastAsia="en-AU"/>
              </w:rPr>
            </w:pPr>
            <w:r w:rsidRPr="00CD4331">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sz w:val="19"/>
                <w:lang w:eastAsia="en-AU"/>
              </w:rPr>
            </w:pPr>
            <w:r w:rsidRPr="00CD4331">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sz w:val="19"/>
                <w:lang w:eastAsia="en-AU"/>
              </w:rPr>
            </w:pPr>
            <w:r w:rsidRPr="00CD4331">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sz w:val="19"/>
                <w:lang w:eastAsia="en-AU"/>
              </w:rPr>
            </w:pPr>
            <w:r w:rsidRPr="00CD4331">
              <w:rPr>
                <w:rFonts w:ascii="Calibri" w:eastAsiaTheme="minorEastAsia" w:hAnsi="Calibri" w:cs="Calibri"/>
                <w:i/>
                <w:iCs/>
                <w:sz w:val="19"/>
                <w:lang w:eastAsia="en-AU"/>
              </w:rPr>
              <w:t>2016-17</w:t>
            </w:r>
          </w:p>
        </w:tc>
      </w:tr>
      <w:tr w:rsidR="00E25CC6" w:rsidRPr="00CD4331" w:rsidTr="00CD4331">
        <w:tc>
          <w:tcPr>
            <w:tcW w:w="5216" w:type="dxa"/>
            <w:tcBorders>
              <w:top w:val="nil"/>
              <w:left w:val="nil"/>
              <w:bottom w:val="single" w:sz="6" w:space="0" w:color="auto"/>
              <w:right w:val="nil"/>
            </w:tcBorders>
            <w:shd w:val="solid" w:color="000000" w:fill="auto"/>
          </w:tcPr>
          <w:p w:rsidR="00E25CC6" w:rsidRPr="00CD4331" w:rsidRDefault="00E25CC6" w:rsidP="00CD4331">
            <w:pPr>
              <w:autoSpaceDE w:val="0"/>
              <w:autoSpaceDN w:val="0"/>
              <w:adjustRightInd w:val="0"/>
              <w:spacing w:after="0"/>
              <w:rPr>
                <w:rFonts w:ascii="Calibri" w:eastAsiaTheme="minorEastAsia" w:hAnsi="Calibri" w:cs="Calibri"/>
                <w:sz w:val="19"/>
                <w:lang w:eastAsia="en-AU"/>
              </w:rPr>
            </w:pPr>
            <w:r w:rsidRPr="00CD4331">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sz w:val="19"/>
                <w:lang w:eastAsia="en-AU"/>
              </w:rPr>
            </w:pPr>
            <w:r w:rsidRPr="00CD4331">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sz w:val="19"/>
                <w:lang w:eastAsia="en-AU"/>
              </w:rPr>
            </w:pPr>
            <w:r w:rsidRPr="00CD4331">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CD4331" w:rsidRDefault="00E25CC6" w:rsidP="00CD4331">
            <w:pPr>
              <w:autoSpaceDE w:val="0"/>
              <w:autoSpaceDN w:val="0"/>
              <w:adjustRightInd w:val="0"/>
              <w:spacing w:after="0"/>
              <w:jc w:val="right"/>
              <w:rPr>
                <w:rFonts w:ascii="Calibri" w:eastAsiaTheme="minorEastAsia" w:hAnsi="Calibri" w:cs="Calibri"/>
                <w:i/>
                <w:iCs/>
                <w:sz w:val="19"/>
                <w:lang w:eastAsia="en-AU"/>
              </w:rPr>
            </w:pPr>
            <w:r w:rsidRPr="00CD4331">
              <w:rPr>
                <w:rFonts w:ascii="Calibri" w:eastAsiaTheme="minorEastAsia" w:hAnsi="Calibri" w:cs="Calibri"/>
                <w:i/>
                <w:iCs/>
                <w:sz w:val="19"/>
                <w:lang w:eastAsia="en-AU"/>
              </w:rPr>
              <w:t>budget</w:t>
            </w:r>
          </w:p>
        </w:tc>
      </w:tr>
      <w:tr w:rsidR="00E25CC6" w:rsidRPr="00CD4331" w:rsidTr="00CD4331">
        <w:tc>
          <w:tcPr>
            <w:tcW w:w="5216"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b/>
                <w:bCs/>
                <w:sz w:val="19"/>
                <w:lang w:eastAsia="en-AU"/>
              </w:rPr>
            </w:pPr>
            <w:r w:rsidRPr="00CD4331">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12 012.6</w:t>
            </w:r>
          </w:p>
        </w:tc>
        <w:tc>
          <w:tcPr>
            <w:tcW w:w="850"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12 018.5</w:t>
            </w:r>
          </w:p>
        </w:tc>
        <w:tc>
          <w:tcPr>
            <w:tcW w:w="850"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13 029.8</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11 865.5</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11 865.4</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12 848.0</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147.1</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153.1</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181.8</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954.0</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994.1</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469.8</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b/>
                <w:bCs/>
                <w:sz w:val="19"/>
                <w:lang w:eastAsia="en-AU"/>
              </w:rPr>
            </w:pPr>
            <w:r w:rsidRPr="00CD4331">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192.1</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161.9</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72.1</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112.8</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158.9</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72.1</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79.3</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3.0</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w:t>
            </w:r>
          </w:p>
        </w:tc>
      </w:tr>
      <w:tr w:rsidR="00E25CC6" w:rsidRPr="00CD4331" w:rsidTr="00CD4331">
        <w:tc>
          <w:tcPr>
            <w:tcW w:w="5216"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47.4</w:t>
            </w:r>
          </w:p>
        </w:tc>
        <w:tc>
          <w:tcPr>
            <w:tcW w:w="850"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80.8</w:t>
            </w:r>
          </w:p>
        </w:tc>
        <w:tc>
          <w:tcPr>
            <w:tcW w:w="850"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20"/>
                <w:lang w:eastAsia="en-AU"/>
              </w:rPr>
            </w:pPr>
            <w:r w:rsidRPr="00CD4331">
              <w:rPr>
                <w:rFonts w:ascii="Calibri" w:eastAsiaTheme="minorEastAsia" w:hAnsi="Calibri" w:cs="Calibri"/>
                <w:sz w:val="19"/>
                <w:lang w:eastAsia="en-AU"/>
              </w:rPr>
              <w:t xml:space="preserve"> 225.7</w:t>
            </w:r>
          </w:p>
        </w:tc>
      </w:tr>
      <w:tr w:rsidR="00E25CC6" w:rsidRPr="00CD4331" w:rsidTr="00CD4331">
        <w:tc>
          <w:tcPr>
            <w:tcW w:w="5216"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b/>
                <w:bCs/>
                <w:sz w:val="19"/>
                <w:lang w:eastAsia="en-AU"/>
              </w:rPr>
            </w:pPr>
            <w:r w:rsidRPr="00CD4331">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13 206.2</w:t>
            </w:r>
          </w:p>
        </w:tc>
        <w:tc>
          <w:tcPr>
            <w:tcW w:w="850"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13 255.4</w:t>
            </w:r>
          </w:p>
        </w:tc>
        <w:tc>
          <w:tcPr>
            <w:tcW w:w="850" w:type="dxa"/>
            <w:tcBorders>
              <w:top w:val="single" w:sz="6" w:space="0" w:color="auto"/>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13 797.3</w:t>
            </w:r>
          </w:p>
        </w:tc>
      </w:tr>
      <w:tr w:rsidR="00E25CC6" w:rsidRPr="00CD4331" w:rsidTr="00CD4331">
        <w:tc>
          <w:tcPr>
            <w:tcW w:w="5216" w:type="dxa"/>
            <w:tcBorders>
              <w:top w:val="nil"/>
              <w:left w:val="nil"/>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1 360.9</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1 390.1</w:t>
            </w:r>
          </w:p>
        </w:tc>
        <w:tc>
          <w:tcPr>
            <w:tcW w:w="850" w:type="dxa"/>
            <w:tcBorders>
              <w:top w:val="nil"/>
              <w:left w:val="nil"/>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1 403.9</w:t>
            </w:r>
          </w:p>
        </w:tc>
      </w:tr>
      <w:tr w:rsidR="00E25CC6" w:rsidRPr="00CD4331" w:rsidTr="00CD4331">
        <w:tc>
          <w:tcPr>
            <w:tcW w:w="5216"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sz w:val="19"/>
                <w:lang w:eastAsia="en-AU"/>
              </w:rPr>
            </w:pPr>
            <w:r w:rsidRPr="00CD4331">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4 205.5</w:t>
            </w:r>
          </w:p>
        </w:tc>
        <w:tc>
          <w:tcPr>
            <w:tcW w:w="850"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4 314.2</w:t>
            </w:r>
          </w:p>
        </w:tc>
        <w:tc>
          <w:tcPr>
            <w:tcW w:w="850" w:type="dxa"/>
            <w:tcBorders>
              <w:top w:val="nil"/>
              <w:left w:val="nil"/>
              <w:bottom w:val="single" w:sz="6"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sz w:val="19"/>
                <w:lang w:eastAsia="en-AU"/>
              </w:rPr>
            </w:pPr>
            <w:r w:rsidRPr="00CD4331">
              <w:rPr>
                <w:rFonts w:ascii="Calibri" w:eastAsiaTheme="minorEastAsia" w:hAnsi="Calibri" w:cs="Calibri"/>
                <w:sz w:val="19"/>
                <w:lang w:eastAsia="en-AU"/>
              </w:rPr>
              <w:t>4 527.0</w:t>
            </w:r>
          </w:p>
        </w:tc>
      </w:tr>
      <w:tr w:rsidR="00E25CC6" w:rsidRPr="00CD4331" w:rsidTr="00CD4331">
        <w:tc>
          <w:tcPr>
            <w:tcW w:w="5216" w:type="dxa"/>
            <w:tcBorders>
              <w:top w:val="single" w:sz="6" w:space="0" w:color="auto"/>
              <w:left w:val="nil"/>
              <w:bottom w:val="single" w:sz="12" w:space="0" w:color="auto"/>
              <w:right w:val="nil"/>
            </w:tcBorders>
            <w:shd w:val="solid" w:color="FFFFFF" w:fill="FFFFFF"/>
          </w:tcPr>
          <w:p w:rsidR="00E25CC6" w:rsidRPr="00CD4331" w:rsidRDefault="00E25CC6" w:rsidP="00CD4331">
            <w:pPr>
              <w:autoSpaceDE w:val="0"/>
              <w:autoSpaceDN w:val="0"/>
              <w:adjustRightInd w:val="0"/>
              <w:spacing w:after="0"/>
              <w:ind w:left="227" w:hanging="227"/>
              <w:rPr>
                <w:rFonts w:ascii="Calibri" w:eastAsiaTheme="minorEastAsia" w:hAnsi="Calibri" w:cs="Calibri"/>
                <w:b/>
                <w:bCs/>
                <w:sz w:val="19"/>
                <w:lang w:eastAsia="en-AU"/>
              </w:rPr>
            </w:pPr>
            <w:r w:rsidRPr="00CD4331">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18 772.6</w:t>
            </w:r>
          </w:p>
        </w:tc>
        <w:tc>
          <w:tcPr>
            <w:tcW w:w="850" w:type="dxa"/>
            <w:tcBorders>
              <w:top w:val="single" w:sz="6" w:space="0" w:color="auto"/>
              <w:left w:val="nil"/>
              <w:bottom w:val="single" w:sz="12"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18 959.6</w:t>
            </w:r>
          </w:p>
        </w:tc>
        <w:tc>
          <w:tcPr>
            <w:tcW w:w="850" w:type="dxa"/>
            <w:tcBorders>
              <w:top w:val="single" w:sz="6" w:space="0" w:color="auto"/>
              <w:left w:val="nil"/>
              <w:bottom w:val="single" w:sz="12" w:space="0" w:color="auto"/>
              <w:right w:val="nil"/>
            </w:tcBorders>
            <w:shd w:val="solid" w:color="FFFFFF" w:fill="FFFFFF"/>
          </w:tcPr>
          <w:p w:rsidR="00E25CC6" w:rsidRPr="00CD4331" w:rsidRDefault="00E25CC6" w:rsidP="00CD4331">
            <w:pPr>
              <w:autoSpaceDE w:val="0"/>
              <w:autoSpaceDN w:val="0"/>
              <w:adjustRightInd w:val="0"/>
              <w:spacing w:after="0"/>
              <w:jc w:val="right"/>
              <w:rPr>
                <w:rFonts w:ascii="Calibri" w:eastAsiaTheme="minorEastAsia" w:hAnsi="Calibri" w:cs="Calibri"/>
                <w:b/>
                <w:bCs/>
                <w:sz w:val="19"/>
                <w:lang w:eastAsia="en-AU"/>
              </w:rPr>
            </w:pPr>
            <w:r w:rsidRPr="00CD4331">
              <w:rPr>
                <w:rFonts w:ascii="Calibri" w:eastAsiaTheme="minorEastAsia" w:hAnsi="Calibri" w:cs="Calibri"/>
                <w:b/>
                <w:bCs/>
                <w:sz w:val="19"/>
                <w:lang w:eastAsia="en-AU"/>
              </w:rPr>
              <w:t>19 728.2</w:t>
            </w:r>
          </w:p>
        </w:tc>
      </w:tr>
    </w:tbl>
    <w:p w:rsidR="00E25CC6" w:rsidRPr="00AF7B50" w:rsidRDefault="00E25CC6" w:rsidP="00B82016">
      <w:pPr>
        <w:pStyle w:val="Source"/>
        <w:rPr>
          <w:rFonts w:eastAsiaTheme="minorHAnsi"/>
          <w:i w:val="0"/>
        </w:rPr>
      </w:pPr>
      <w:r w:rsidRPr="00AF7B50">
        <w:rPr>
          <w:rFonts w:eastAsiaTheme="minorHAnsi"/>
        </w:rPr>
        <w:t xml:space="preserve">Source: Department of Health and Human Services </w:t>
      </w:r>
      <w:r w:rsidRPr="00AF7B50">
        <w:rPr>
          <w:rFonts w:eastAsiaTheme="minorHAnsi"/>
        </w:rPr>
        <w:fldChar w:fldCharType="begin"/>
      </w:r>
      <w:r w:rsidRPr="00AF7B50">
        <w:instrText xml:space="preserve"> XE "Department of Health and Human Services:Parliamentary authority for resources" </w:instrText>
      </w:r>
      <w:r w:rsidRPr="00AF7B50">
        <w:rPr>
          <w:rFonts w:eastAsiaTheme="minorHAnsi"/>
        </w:rPr>
        <w:fldChar w:fldCharType="end"/>
      </w:r>
    </w:p>
    <w:p w:rsidR="00E25CC6" w:rsidRPr="00AF7B50" w:rsidRDefault="00E25CC6" w:rsidP="00074AE2">
      <w:pPr>
        <w:pStyle w:val="Notes"/>
        <w:rPr>
          <w:rFonts w:eastAsiaTheme="minorHAnsi"/>
        </w:rPr>
      </w:pPr>
    </w:p>
    <w:p w:rsidR="00E25CC6" w:rsidRPr="00AF7B50" w:rsidRDefault="00E25CC6">
      <w:pPr>
        <w:spacing w:after="0"/>
        <w:rPr>
          <w:rFonts w:eastAsiaTheme="minorHAnsi"/>
        </w:rPr>
      </w:pPr>
      <w:r w:rsidRPr="00AF7B50">
        <w:rPr>
          <w:rFonts w:eastAsiaTheme="minorHAnsi"/>
        </w:rPr>
        <w:br w:type="page"/>
      </w:r>
    </w:p>
    <w:p w:rsidR="00E25CC6" w:rsidRPr="00AF7B50" w:rsidRDefault="00E25CC6" w:rsidP="00B10667">
      <w:pPr>
        <w:pStyle w:val="OGHeading1"/>
        <w:rPr>
          <w:rFonts w:eastAsiaTheme="minorHAnsi"/>
        </w:rPr>
      </w:pPr>
      <w:r w:rsidRPr="00AF7B50">
        <w:rPr>
          <w:rFonts w:eastAsiaTheme="minorHAnsi"/>
        </w:rPr>
        <w:t>Acute Health Services</w:t>
      </w:r>
    </w:p>
    <w:p w:rsidR="00E25CC6" w:rsidRPr="00AF7B50" w:rsidRDefault="00E25CC6" w:rsidP="00262444">
      <w:pPr>
        <w:pStyle w:val="OGText"/>
        <w:rPr>
          <w:rFonts w:eastAsiaTheme="minorHAnsi"/>
        </w:rPr>
      </w:pPr>
      <w:bookmarkStart w:id="74" w:name="DHHS_AcuteHlthSvces"/>
      <w:r w:rsidRPr="00AF7B50">
        <w:rPr>
          <w:rFonts w:eastAsiaTheme="minorHAnsi"/>
        </w:rPr>
        <w:t>Acute Health Services outputs provide a range of timely and high</w:t>
      </w:r>
      <w:r w:rsidRPr="00AF7B50">
        <w:rPr>
          <w:rFonts w:eastAsiaTheme="minorHAnsi"/>
        </w:rPr>
        <w:noBreakHyphen/>
        <w:t>quality acute hospital inpatient, ambulatory, emergency, community</w:t>
      </w:r>
      <w:r w:rsidRPr="00AF7B50">
        <w:rPr>
          <w:rFonts w:eastAsiaTheme="minorHAnsi"/>
        </w:rPr>
        <w:noBreakHyphen/>
        <w:t>based and specialist services.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29184E">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29184E">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29184E">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29184E">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29184E">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29184E">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29184E">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29184E">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29184E">
        <w:trPr>
          <w:cantSplit/>
        </w:trPr>
        <w:tc>
          <w:tcPr>
            <w:tcW w:w="7767" w:type="dxa"/>
            <w:gridSpan w:val="6"/>
            <w:tcBorders>
              <w:top w:val="single" w:sz="4" w:space="0" w:color="auto"/>
              <w:left w:val="nil"/>
              <w:bottom w:val="nil"/>
              <w:right w:val="nil"/>
            </w:tcBorders>
          </w:tcPr>
          <w:p w:rsidR="00E25CC6" w:rsidRPr="00AF7B50" w:rsidRDefault="00E25CC6" w:rsidP="0029184E">
            <w:pPr>
              <w:pStyle w:val="OGHeading2"/>
              <w:rPr>
                <w:lang w:eastAsia="en-AU"/>
              </w:rPr>
            </w:pPr>
            <w:r w:rsidRPr="00AF7B50">
              <w:rPr>
                <w:lang w:eastAsia="en-AU"/>
              </w:rPr>
              <w:t>Admitted Services</w:t>
            </w:r>
          </w:p>
        </w:tc>
      </w:tr>
      <w:tr w:rsidR="00E25CC6" w:rsidRPr="00AF7B50" w:rsidTr="003028E1">
        <w:trPr>
          <w:cantSplit/>
        </w:trPr>
        <w:tc>
          <w:tcPr>
            <w:tcW w:w="7767" w:type="dxa"/>
            <w:gridSpan w:val="6"/>
            <w:tcBorders>
              <w:top w:val="nil"/>
              <w:left w:val="nil"/>
              <w:bottom w:val="single" w:sz="6" w:space="0" w:color="auto"/>
              <w:right w:val="nil"/>
            </w:tcBorders>
          </w:tcPr>
          <w:p w:rsidR="00E25CC6" w:rsidRPr="00AF7B50" w:rsidRDefault="00E25CC6" w:rsidP="00DF3111">
            <w:pPr>
              <w:pStyle w:val="OGText"/>
              <w:rPr>
                <w:rFonts w:cs="Calibri"/>
                <w:sz w:val="19"/>
                <w:szCs w:val="22"/>
                <w:lang w:eastAsia="en-AU"/>
              </w:rPr>
            </w:pPr>
            <w:r w:rsidRPr="00AF7B50">
              <w:rPr>
                <w:lang w:eastAsia="en-AU"/>
              </w:rPr>
              <w:t>Acute and sub</w:t>
            </w:r>
            <w:r w:rsidRPr="00AF7B50">
              <w:rPr>
                <w:lang w:eastAsia="en-AU"/>
              </w:rPr>
              <w:noBreakHyphen/>
              <w:t>acute patient services (elective and non</w:t>
            </w:r>
            <w:r w:rsidRPr="00AF7B50">
              <w:rPr>
                <w:lang w:eastAsia="en-AU"/>
              </w:rPr>
              <w:noBreakHyphen/>
              <w:t>elective) provided at Victorian metropolitan and rural public hospitals.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Palliative care bed days</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92</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92</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92</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92</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Sub</w:t>
            </w:r>
            <w:r w:rsidRPr="00AF7B50">
              <w:rPr>
                <w:lang w:eastAsia="en-AU"/>
              </w:rPr>
              <w:noBreakHyphen/>
              <w:t>acute bed days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759</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769</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749</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762</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separations – all hospitals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CB371C">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1 774</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1 711</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1 695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1 636</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Weighted Inlier Equivalent Separations (WIES) – all hospitals except small rural health services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1 241</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1 237</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1 190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1 167</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WIES funded emergency separations – all hospitals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584</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563</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546</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529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WIES funded separations – all hospitals except small rural health services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1 591</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1 514</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1 509</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1 457</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Eligible newborns screened for hearing deficit before one month of age</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98.5</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98.4</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Hand hygiene compliance</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92" w:type="dxa"/>
            <w:tcBorders>
              <w:top w:val="nil"/>
              <w:left w:val="nil"/>
              <w:bottom w:val="nil"/>
              <w:right w:val="nil"/>
            </w:tcBorders>
          </w:tcPr>
          <w:p w:rsidR="00E25CC6" w:rsidRPr="00AF7B50" w:rsidRDefault="00E25CC6" w:rsidP="00B271FD">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82</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nil"/>
              <w:right w:val="nil"/>
            </w:tcBorders>
          </w:tcPr>
          <w:p w:rsidR="00E25CC6" w:rsidRPr="00AF7B50" w:rsidRDefault="00E25CC6" w:rsidP="008C2165">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81.6</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Healthcare worker immunisation – influenza</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78.7</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72.2</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Hospitals participating in Victorian Hospital Acquired Infection Surveillance System (VICNISS)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29184E">
        <w:trPr>
          <w:cantSplit/>
        </w:trPr>
        <w:tc>
          <w:tcPr>
            <w:tcW w:w="3146" w:type="dxa"/>
            <w:tcBorders>
              <w:top w:val="nil"/>
              <w:left w:val="nil"/>
              <w:bottom w:val="nil"/>
              <w:right w:val="nil"/>
            </w:tcBorders>
          </w:tcPr>
          <w:p w:rsidR="00E25CC6" w:rsidRPr="00AF7B50" w:rsidRDefault="00E25CC6" w:rsidP="00DF3111">
            <w:pPr>
              <w:pStyle w:val="OGTabText"/>
              <w:keepNext/>
              <w:rPr>
                <w:lang w:eastAsia="en-AU"/>
              </w:rPr>
            </w:pPr>
            <w:r w:rsidRPr="00AF7B50">
              <w:rPr>
                <w:lang w:eastAsia="en-AU"/>
              </w:rPr>
              <w:t>Intensive Care Unit central line associated blood stream infections (CLABSI) per 1 000 device days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rate</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0.9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750530">
            <w:pPr>
              <w:pStyle w:val="OGNotes"/>
            </w:pPr>
            <w:r w:rsidRPr="00AF7B50">
              <w:t>The lower 2016</w:t>
            </w:r>
            <w:r w:rsidRPr="00AF7B50">
              <w:noBreakHyphen/>
              <w:t>17 target brings the measure in line with the departmental monitoring level. The 2015</w:t>
            </w:r>
            <w:r w:rsidRPr="00AF7B50">
              <w:noBreakHyphen/>
              <w:t>16 expected outcome is lower than the 2015</w:t>
            </w:r>
            <w:r w:rsidRPr="00AF7B50">
              <w:noBreakHyphen/>
              <w:t>16 target due to the sustained effort by health services and the impact of quality incentives. This is a positive result.</w:t>
            </w:r>
          </w:p>
        </w:tc>
      </w:tr>
      <w:tr w:rsidR="00E25CC6" w:rsidRPr="00AF7B50" w:rsidTr="00A451A7">
        <w:trPr>
          <w:cantSplit/>
        </w:trPr>
        <w:tc>
          <w:tcPr>
            <w:tcW w:w="3146" w:type="dxa"/>
            <w:tcBorders>
              <w:top w:val="single" w:sz="6" w:space="0" w:color="auto"/>
              <w:left w:val="nil"/>
              <w:right w:val="nil"/>
            </w:tcBorders>
          </w:tcPr>
          <w:p w:rsidR="00E25CC6" w:rsidRPr="00AF7B50" w:rsidRDefault="00E25CC6" w:rsidP="0029184E">
            <w:pPr>
              <w:pStyle w:val="OGTabText"/>
              <w:rPr>
                <w:lang w:eastAsia="en-AU"/>
              </w:rPr>
            </w:pPr>
            <w:r w:rsidRPr="00AF7B50">
              <w:rPr>
                <w:lang w:eastAsia="en-AU"/>
              </w:rPr>
              <w:t>Major trauma patients transferred to a major trauma service</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8"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w:t>
            </w:r>
          </w:p>
        </w:tc>
      </w:tr>
      <w:tr w:rsidR="00E25CC6" w:rsidRPr="00AF7B50" w:rsidTr="00A451A7">
        <w:trPr>
          <w:cantSplit/>
        </w:trPr>
        <w:tc>
          <w:tcPr>
            <w:tcW w:w="7767" w:type="dxa"/>
            <w:gridSpan w:val="6"/>
            <w:tcBorders>
              <w:left w:val="nil"/>
              <w:bottom w:val="single" w:sz="6" w:space="0" w:color="auto"/>
              <w:right w:val="nil"/>
            </w:tcBorders>
          </w:tcPr>
          <w:p w:rsidR="00E25CC6" w:rsidRPr="00AF7B50" w:rsidRDefault="00E25CC6" w:rsidP="00B10667">
            <w:pPr>
              <w:pStyle w:val="OGNotes"/>
            </w:pPr>
            <w:r w:rsidRPr="00AF7B50">
              <w:t>The higher 2016</w:t>
            </w:r>
            <w:r w:rsidRPr="00AF7B50">
              <w:noBreakHyphen/>
              <w:t>17 target reflects the positive trend in performance.</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Perinatal morbidity notices received, processed and reported</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Public hospitals accredited</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Public hospitals meeting cleaning standards, as assessed by external audit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98.8</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96.4</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Staphylococcus aureus bacteraemias (SAB) infections per 10 000 patient days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rate</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0.7</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Unplanned/unexpected readmission for acute myocardial infarction</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3.7</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3.7</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3.7</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2.9</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Unplanned/unexpected readmission for heart failure</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10.3</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10.3</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10.3</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9.3</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Unplanned/unexpected readmission for hip replacement</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2.8</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Unplanned/unexpected readmission for knee replacement</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5.3</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Unplanned/unexpected readmission for paediatric tonsillectomy and adenoidectomy</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Non</w:t>
            </w:r>
            <w:r w:rsidRPr="00AF7B50">
              <w:rPr>
                <w:lang w:eastAsia="en-AU"/>
              </w:rPr>
              <w:noBreakHyphen/>
              <w:t>urgent (Category 3) elective surgery patients admitted within 365 days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92.5</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additional funding to health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B87757">
            <w:pPr>
              <w:pStyle w:val="OGTabText"/>
              <w:keepNext/>
              <w:rPr>
                <w:lang w:eastAsia="en-AU"/>
              </w:rPr>
            </w:pPr>
            <w:r w:rsidRPr="00AF7B50">
              <w:rPr>
                <w:lang w:eastAsia="en-AU"/>
              </w:rPr>
              <w:t>Semi</w:t>
            </w:r>
            <w:r w:rsidRPr="00AF7B50">
              <w:rPr>
                <w:lang w:eastAsia="en-AU"/>
              </w:rPr>
              <w:noBreakHyphen/>
              <w:t>urgent (Category 2) elective surgery patients admitted within 90 days</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82.5</w:t>
            </w: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76.5</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750530">
            <w:pPr>
              <w:pStyle w:val="OGNotes"/>
            </w:pPr>
            <w:r w:rsidRPr="00AF7B50">
              <w:t>The higher 2016</w:t>
            </w:r>
            <w:r w:rsidRPr="00AF7B50">
              <w:noBreakHyphen/>
              <w:t>17 target reflects additional funding to health services. The 2015</w:t>
            </w:r>
            <w:r w:rsidRPr="00AF7B50">
              <w:noBreakHyphen/>
              <w:t>16 expected outcome is lower than the 2015</w:t>
            </w:r>
            <w:r w:rsidRPr="00AF7B50">
              <w:noBreakHyphen/>
              <w:t>16 target due to an increase in activity and patient acuity.</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B87757">
            <w:pPr>
              <w:pStyle w:val="OGTabText"/>
              <w:rPr>
                <w:lang w:eastAsia="en-AU"/>
              </w:rPr>
            </w:pPr>
            <w:r w:rsidRPr="00AF7B50">
              <w:rPr>
                <w:lang w:eastAsia="en-AU"/>
              </w:rPr>
              <w:t>Urgent (Category 1) elective surgery patients admitted within 30 days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0C164B">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9 385.5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8 707.6</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8 531.9</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8 038.0</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primarily reflects funding provided for government policy commitments.</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Non</w:t>
            </w:r>
            <w:r w:rsidRPr="00AF7B50">
              <w:rPr>
                <w:lang w:eastAsia="en-AU"/>
              </w:rPr>
              <w:noBreakHyphen/>
              <w:t>Admitted Services</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1A1529">
            <w:pPr>
              <w:pStyle w:val="OGText"/>
              <w:rPr>
                <w:lang w:eastAsia="en-AU"/>
              </w:rPr>
            </w:pPr>
            <w:r w:rsidRPr="00AF7B50">
              <w:rPr>
                <w:lang w:eastAsia="en-AU"/>
              </w:rPr>
              <w:t>Acute and sub</w:t>
            </w:r>
            <w:r w:rsidRPr="00AF7B50">
              <w:rPr>
                <w:lang w:eastAsia="en-AU"/>
              </w:rPr>
              <w:noBreakHyphen/>
              <w:t>acute services provided at Victorian metropolitan and rural public hospitals. Access to high</w:t>
            </w:r>
            <w:r w:rsidRPr="00AF7B50">
              <w:rPr>
                <w:lang w:eastAsia="en-AU"/>
              </w:rPr>
              <w:noBreakHyphen/>
              <w:t>quality services allows the right care to be delivered at the right time in the right location. Non</w:t>
            </w:r>
            <w:r w:rsidRPr="00AF7B50">
              <w:rPr>
                <w:lang w:eastAsia="en-AU"/>
              </w:rPr>
              <w:noBreakHyphen/>
              <w:t>admitted sub</w:t>
            </w:r>
            <w:r w:rsidRPr="00AF7B50">
              <w:rPr>
                <w:lang w:eastAsia="en-AU"/>
              </w:rPr>
              <w:noBreakHyphen/>
              <w:t>acute services improve consumer access to services closer to home by providing models of integrated community care, which significantly reduces the demand for hospital beds and supports the transition from hospital to home in a safe and timely manner. The services improve health outcomes, particularly for older people and people with complex care needs.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Completed post</w:t>
            </w:r>
            <w:r w:rsidRPr="00AF7B50">
              <w:rPr>
                <w:lang w:eastAsia="en-AU"/>
              </w:rPr>
              <w:noBreakHyphen/>
              <w:t>acute episodes</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44 700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44 700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44 700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43 749</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Health Independence Program direct contacts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1 411</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1 401</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1 401</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E837EF">
        <w:trPr>
          <w:cantSplit/>
        </w:trPr>
        <w:tc>
          <w:tcPr>
            <w:tcW w:w="7767" w:type="dxa"/>
            <w:gridSpan w:val="6"/>
            <w:tcBorders>
              <w:top w:val="nil"/>
              <w:left w:val="nil"/>
              <w:bottom w:val="single" w:sz="6" w:space="0" w:color="auto"/>
              <w:right w:val="nil"/>
            </w:tcBorders>
          </w:tcPr>
          <w:p w:rsidR="00E25CC6" w:rsidRPr="00AF7B50" w:rsidRDefault="00E25CC6" w:rsidP="000C164B">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w:t>
            </w:r>
          </w:p>
        </w:tc>
      </w:tr>
      <w:tr w:rsidR="00E25CC6" w:rsidRPr="00AF7B50" w:rsidTr="00FA6804">
        <w:trPr>
          <w:cantSplit/>
        </w:trPr>
        <w:tc>
          <w:tcPr>
            <w:tcW w:w="3146" w:type="dxa"/>
            <w:tcBorders>
              <w:top w:val="single" w:sz="6" w:space="0" w:color="auto"/>
              <w:left w:val="nil"/>
              <w:right w:val="nil"/>
            </w:tcBorders>
          </w:tcPr>
          <w:p w:rsidR="00E25CC6" w:rsidRPr="00AF7B50" w:rsidRDefault="00E25CC6" w:rsidP="009C6E77">
            <w:pPr>
              <w:pStyle w:val="OGTabText"/>
              <w:rPr>
                <w:lang w:eastAsia="en-AU"/>
              </w:rPr>
            </w:pPr>
            <w:r w:rsidRPr="00AF7B50">
              <w:rPr>
                <w:lang w:eastAsia="en-AU"/>
              </w:rPr>
              <w:t>Patients treated in Specialist Outpatient Clinics – unweighted</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1 755</w:t>
            </w:r>
          </w:p>
        </w:tc>
        <w:tc>
          <w:tcPr>
            <w:tcW w:w="992"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1 685</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1 685</w:t>
            </w:r>
          </w:p>
        </w:tc>
        <w:tc>
          <w:tcPr>
            <w:tcW w:w="908"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1 708</w:t>
            </w:r>
          </w:p>
        </w:tc>
      </w:tr>
      <w:tr w:rsidR="00E25CC6" w:rsidRPr="00AF7B50" w:rsidTr="00FA6804">
        <w:trPr>
          <w:cantSplit/>
        </w:trPr>
        <w:tc>
          <w:tcPr>
            <w:tcW w:w="7767" w:type="dxa"/>
            <w:gridSpan w:val="6"/>
            <w:tcBorders>
              <w:left w:val="nil"/>
              <w:bottom w:val="single" w:sz="6" w:space="0" w:color="auto"/>
              <w:right w:val="nil"/>
            </w:tcBorders>
          </w:tcPr>
          <w:p w:rsidR="00E25CC6" w:rsidRPr="00AF7B50" w:rsidRDefault="00E25CC6" w:rsidP="00FA6804">
            <w:pPr>
              <w:pStyle w:val="OGNotes"/>
              <w:rPr>
                <w:rFonts w:cs="Calibri"/>
                <w:sz w:val="19"/>
                <w:szCs w:val="22"/>
              </w:rPr>
            </w:pPr>
            <w:r w:rsidRPr="00AF7B50">
              <w:t>The higher 2016-17 target reflects funding provided for government policy commitments.</w:t>
            </w:r>
          </w:p>
        </w:tc>
      </w:tr>
      <w:tr w:rsidR="00E25CC6" w:rsidRPr="00AF7B50" w:rsidTr="00E837EF">
        <w:trPr>
          <w:cantSplit/>
        </w:trPr>
        <w:tc>
          <w:tcPr>
            <w:tcW w:w="3146" w:type="dxa"/>
            <w:tcBorders>
              <w:top w:val="single" w:sz="6" w:space="0" w:color="auto"/>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Post</w:t>
            </w:r>
            <w:r w:rsidRPr="00AF7B50">
              <w:rPr>
                <w:lang w:eastAsia="en-AU"/>
              </w:rPr>
              <w:noBreakHyphen/>
              <w:t>acute clients not readmitted to acute hospital</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92</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Health Independence Program clients contacted within three days of referral</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811802">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1 627.9</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1 566.4</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1 491.2</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1 437.9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750530">
            <w:pPr>
              <w:pStyle w:val="OGNotes"/>
            </w:pPr>
            <w:r w:rsidRPr="00AF7B50">
              <w:t>The higher 2016</w:t>
            </w:r>
            <w:r w:rsidRPr="00AF7B50">
              <w:noBreakHyphen/>
              <w:t>17 target primarily reflects funding provided for government policy commitments. The 2015</w:t>
            </w:r>
            <w:r w:rsidRPr="00AF7B50">
              <w:noBreakHyphen/>
              <w:t>16 expected outcome is higher than the 2015</w:t>
            </w:r>
            <w:r w:rsidRPr="00AF7B50">
              <w:noBreakHyphen/>
              <w:t>16 target primarily due to an increase in high cost drugs revenue, partially offset by funding model changes within acute health approved through the Policy and Funding Guidelines.</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Emergency Services</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1A1529">
            <w:pPr>
              <w:pStyle w:val="OGText"/>
              <w:rPr>
                <w:lang w:eastAsia="en-AU"/>
              </w:rPr>
            </w:pPr>
            <w:r w:rsidRPr="00AF7B50">
              <w:rPr>
                <w:lang w:eastAsia="en-AU"/>
              </w:rPr>
              <w:t>This output relates to emergency presentations at reporting hospitals with emergency departments. It aims to provide high</w:t>
            </w:r>
            <w:r w:rsidRPr="00AF7B50">
              <w:rPr>
                <w:lang w:eastAsia="en-AU"/>
              </w:rPr>
              <w:noBreakHyphen/>
              <w:t>quality, accessible health and community services, specifically in the area of improving waiting times for emergency services.</w:t>
            </w:r>
          </w:p>
        </w:tc>
      </w:tr>
      <w:tr w:rsidR="00E25CC6" w:rsidRPr="00AF7B50" w:rsidTr="00E837EF">
        <w:trPr>
          <w:cantSplit/>
        </w:trPr>
        <w:tc>
          <w:tcPr>
            <w:tcW w:w="3146" w:type="dxa"/>
            <w:tcBorders>
              <w:top w:val="nil"/>
              <w:left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FA6804">
        <w:trPr>
          <w:cantSplit/>
        </w:trPr>
        <w:tc>
          <w:tcPr>
            <w:tcW w:w="3146" w:type="dxa"/>
            <w:tcBorders>
              <w:top w:val="nil"/>
              <w:left w:val="nil"/>
              <w:right w:val="nil"/>
            </w:tcBorders>
          </w:tcPr>
          <w:p w:rsidR="00E25CC6" w:rsidRPr="00AF7B50" w:rsidRDefault="00E25CC6" w:rsidP="0029184E">
            <w:pPr>
              <w:pStyle w:val="OGTabText"/>
              <w:rPr>
                <w:lang w:eastAsia="en-AU"/>
              </w:rPr>
            </w:pPr>
            <w:r w:rsidRPr="00AF7B50">
              <w:rPr>
                <w:lang w:eastAsia="en-AU"/>
              </w:rPr>
              <w:t>Emergency presentations</w:t>
            </w:r>
          </w:p>
        </w:tc>
        <w:tc>
          <w:tcPr>
            <w:tcW w:w="907" w:type="dxa"/>
            <w:tcBorders>
              <w:top w:val="nil"/>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1 696</w:t>
            </w:r>
          </w:p>
        </w:tc>
        <w:tc>
          <w:tcPr>
            <w:tcW w:w="992"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1 673</w:t>
            </w:r>
          </w:p>
        </w:tc>
        <w:tc>
          <w:tcPr>
            <w:tcW w:w="907"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1 653</w:t>
            </w:r>
          </w:p>
        </w:tc>
        <w:tc>
          <w:tcPr>
            <w:tcW w:w="908"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1 609</w:t>
            </w:r>
          </w:p>
        </w:tc>
      </w:tr>
      <w:tr w:rsidR="00E25CC6" w:rsidRPr="00AF7B50" w:rsidTr="004C79A4">
        <w:trPr>
          <w:cantSplit/>
        </w:trPr>
        <w:tc>
          <w:tcPr>
            <w:tcW w:w="7767" w:type="dxa"/>
            <w:gridSpan w:val="6"/>
            <w:tcBorders>
              <w:top w:val="nil"/>
              <w:left w:val="nil"/>
              <w:bottom w:val="single" w:sz="6" w:space="0" w:color="auto"/>
              <w:right w:val="nil"/>
            </w:tcBorders>
          </w:tcPr>
          <w:p w:rsidR="00E25CC6" w:rsidRPr="00AF7B50" w:rsidRDefault="00E25CC6" w:rsidP="00FA6804">
            <w:pPr>
              <w:pStyle w:val="OGNotes"/>
              <w:rPr>
                <w:rFonts w:cs="Calibri"/>
                <w:sz w:val="19"/>
                <w:szCs w:val="22"/>
              </w:rPr>
            </w:pPr>
            <w:r w:rsidRPr="00AF7B50">
              <w:t>The higher 2016-17 target reflects funding provided for government policy commitments.</w:t>
            </w:r>
          </w:p>
        </w:tc>
      </w:tr>
      <w:tr w:rsidR="00E25CC6" w:rsidRPr="00AF7B50" w:rsidTr="00E837EF">
        <w:trPr>
          <w:cantSplit/>
        </w:trPr>
        <w:tc>
          <w:tcPr>
            <w:tcW w:w="3146" w:type="dxa"/>
            <w:tcBorders>
              <w:top w:val="single" w:sz="6" w:space="0" w:color="auto"/>
              <w:left w:val="nil"/>
              <w:bottom w:val="nil"/>
              <w:right w:val="nil"/>
            </w:tcBorders>
          </w:tcPr>
          <w:p w:rsidR="00E25CC6" w:rsidRPr="00AF7B50" w:rsidRDefault="00E25CC6" w:rsidP="00DF3111">
            <w:pPr>
              <w:keepNext/>
              <w:autoSpaceDE w:val="0"/>
              <w:autoSpaceDN w:val="0"/>
              <w:adjustRightInd w:val="0"/>
              <w:spacing w:after="0"/>
              <w:ind w:left="230" w:hanging="230"/>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single" w:sz="6" w:space="0" w:color="auto"/>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1A1529">
            <w:pPr>
              <w:pStyle w:val="OGTabText"/>
              <w:rPr>
                <w:lang w:eastAsia="en-AU"/>
              </w:rPr>
            </w:pPr>
            <w:r w:rsidRPr="00AF7B50">
              <w:rPr>
                <w:lang w:eastAsia="en-AU"/>
              </w:rPr>
              <w:t xml:space="preserve">Emergency patients who did not wait for treatment </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&lt;5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0F78CA">
            <w:pPr>
              <w:pStyle w:val="OGNotes"/>
            </w:pPr>
            <w:r w:rsidRPr="00AF7B50">
              <w:t>New performance measure for 2016</w:t>
            </w:r>
            <w:r w:rsidRPr="00AF7B50">
              <w:noBreakHyphen/>
              <w:t>17 to replace previous measures in this output about hospital bypass and the Hospital Early Warning System.</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Emergency patients re</w:t>
            </w:r>
            <w:r w:rsidRPr="00AF7B50">
              <w:rPr>
                <w:lang w:eastAsia="en-AU"/>
              </w:rPr>
              <w:noBreakHyphen/>
              <w:t xml:space="preserve">presenting to the emergency department within 48 hours of previous presentation </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&lt;6</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0F78CA">
            <w:pPr>
              <w:pStyle w:val="OGNotes"/>
            </w:pPr>
            <w:r w:rsidRPr="00AF7B50">
              <w:t>New performance measure for 2016</w:t>
            </w:r>
            <w:r w:rsidRPr="00AF7B50">
              <w:noBreakHyphen/>
              <w:t>17 to replace previous measures in this output about hospital bypass and the Hospital Early Warning System.</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Patients</w:t>
            </w:r>
            <w:r>
              <w:rPr>
                <w:lang w:eastAsia="en-AU"/>
              </w:rPr>
              <w:t>’</w:t>
            </w:r>
            <w:r w:rsidRPr="00AF7B50">
              <w:rPr>
                <w:lang w:eastAsia="en-AU"/>
              </w:rPr>
              <w:t xml:space="preserve"> experience of emergency department care </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0F78CA">
            <w:pPr>
              <w:pStyle w:val="OGNotes"/>
            </w:pPr>
            <w:r w:rsidRPr="00AF7B50">
              <w:t>New performance measure for 2016</w:t>
            </w:r>
            <w:r w:rsidRPr="00AF7B50">
              <w:noBreakHyphen/>
              <w:t>17 to replace previous measures in this output about hospital bypass and the Hospital Early Warning System.</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Emergency Category 1 treated immediately</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Emergency patients treated within time</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w:t>
            </w:r>
            <w:r w:rsidRPr="00AF7B50">
              <w:noBreakHyphen/>
              <w:t>16 expected outcome is lower than the 2015</w:t>
            </w:r>
            <w:r w:rsidRPr="00AF7B50">
              <w:noBreakHyphen/>
              <w:t xml:space="preserve">16 target due to the higher volume and acuity of patients presenting in emergency departments. </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Emergency patients with a length of stay of less than four hours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7D1A0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92" w:type="dxa"/>
            <w:tcBorders>
              <w:top w:val="nil"/>
              <w:left w:val="nil"/>
              <w:bottom w:val="nil"/>
              <w:right w:val="nil"/>
            </w:tcBorders>
          </w:tcPr>
          <w:p w:rsidR="00E25CC6" w:rsidRPr="00AF7B50" w:rsidRDefault="00E25CC6" w:rsidP="004E750A">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72</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B8242F">
            <w:pPr>
              <w:pStyle w:val="OGNotes"/>
            </w:pPr>
            <w:r w:rsidRPr="00AF7B50">
              <w:t>The 2015</w:t>
            </w:r>
            <w:r w:rsidRPr="00AF7B50">
              <w:noBreakHyphen/>
              <w:t>16 expected outcome is lower than the 2015</w:t>
            </w:r>
            <w:r w:rsidRPr="00AF7B50">
              <w:noBreakHyphen/>
              <w:t>16 target due to the higher volume and acuity of patients presenting in emergency departments.</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Proportion of ambulance patient transfers within 40 minutes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87.8</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598.2</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565.5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637.4</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624.9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185B38">
            <w:pPr>
              <w:pStyle w:val="OGNotes"/>
            </w:pPr>
            <w:r w:rsidRPr="00AF7B50">
              <w:t>The 2015-16 expected outcome is lower than the 2015-16 target due to funding model changes reflected in the Policy and Funding Guidelines. The lower 2016–17 target primarily reflects this funding model change.</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Acute Training and Development</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Text"/>
              <w:rPr>
                <w:lang w:eastAsia="en-AU"/>
              </w:rPr>
            </w:pPr>
            <w:r w:rsidRPr="00AF7B50">
              <w:rPr>
                <w:lang w:eastAsia="en-AU"/>
              </w:rPr>
              <w:t>Provision of grants to hospitals for the training and accreditation of health workers. These outputs aim to provide career opportunities and contribute towards a stable and accredited workforce in the health sector in Victoria.</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Clinical placement student days for medicine, nursing and allied health</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993 960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993 960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993 960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949 647</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Number of filled rural generalist GP procedural positions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5A6AB6">
            <w:pPr>
              <w:pStyle w:val="OGNotes"/>
            </w:pPr>
            <w:r w:rsidRPr="00AF7B50">
              <w:t>The 2015</w:t>
            </w:r>
            <w:r w:rsidRPr="00AF7B50">
              <w:noBreakHyphen/>
              <w:t>16 expected outcome is higher than the 2015</w:t>
            </w:r>
            <w:r w:rsidRPr="00AF7B50">
              <w:noBreakHyphen/>
              <w:t xml:space="preserve">16 target due to additional funding provided through internal reprioritisation. </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Percentage of public health services utilising the Best Practice Clinical Learning Environment (BPCLE) tool</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1D48D4">
            <w:pPr>
              <w:pStyle w:val="OGNotes"/>
            </w:pPr>
            <w:r w:rsidRPr="00AF7B50">
              <w:t>The higher 2016</w:t>
            </w:r>
            <w:r w:rsidRPr="00AF7B50">
              <w:noBreakHyphen/>
              <w:t>17 target reflects the eligibility requirement for receiving the Training and Development Grant. The 2015</w:t>
            </w:r>
            <w:r w:rsidRPr="00AF7B50">
              <w:noBreakHyphen/>
              <w:t>16 expected outcome is higher than the 2015</w:t>
            </w:r>
            <w:r w:rsidRPr="00AF7B50">
              <w:noBreakHyphen/>
              <w:t>16 target due to the high eligibility uptake.</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Post graduate nursing places at Diploma and Certificate level</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832</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832</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832</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832</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FTE (early graduate) allied health positions in public system</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700</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681</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707</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750530">
            <w:pPr>
              <w:pStyle w:val="OGNotes"/>
            </w:pPr>
            <w:r w:rsidRPr="00AF7B50">
              <w:t>The higher 2016</w:t>
            </w:r>
            <w:r w:rsidRPr="00AF7B50">
              <w:noBreakHyphen/>
              <w:t>17 target reflects an increase in positions due to program initiatives keeping pace with growth in the nuclear medicine industry.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 xml:space="preserve">15 Annual Report </w:t>
            </w:r>
            <w:r w:rsidRPr="00AF7B50">
              <w:t>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FTE (early graduate) medical positions in public system</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1 525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1 520</w:t>
            </w:r>
          </w:p>
        </w:tc>
        <w:tc>
          <w:tcPr>
            <w:tcW w:w="907" w:type="dxa"/>
            <w:tcBorders>
              <w:top w:val="nil"/>
              <w:left w:val="nil"/>
              <w:bottom w:val="nil"/>
              <w:right w:val="nil"/>
            </w:tcBorders>
          </w:tcPr>
          <w:p w:rsidR="00E25CC6" w:rsidRPr="00AF7B50" w:rsidRDefault="00E25CC6" w:rsidP="004A542C">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1 427.5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1 432</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750530">
            <w:pPr>
              <w:pStyle w:val="OGNotes"/>
            </w:pPr>
            <w:r w:rsidRPr="00AF7B50">
              <w:t>The higher 2016</w:t>
            </w:r>
            <w:r w:rsidRPr="00AF7B50">
              <w:noBreakHyphen/>
              <w:t>17 target reflects additional funding provided by the department due to the growth in medical graduates, including an increase of five rural community intern training positions. The 2015</w:t>
            </w:r>
            <w:r w:rsidRPr="00AF7B50">
              <w:noBreakHyphen/>
              <w:t>16 expected outcome is higher than the 2015</w:t>
            </w:r>
            <w:r w:rsidRPr="00AF7B50">
              <w:noBreakHyphen/>
              <w:t>16 target due to the effect of the additional funding during the year.</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Total FTE (early graduate) nursing positions in public system</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1 455</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1 455</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1 455</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1 557</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CD4331">
        <w:trPr>
          <w:cantSplit/>
        </w:trPr>
        <w:tc>
          <w:tcPr>
            <w:tcW w:w="3146" w:type="dxa"/>
            <w:tcBorders>
              <w:top w:val="nil"/>
              <w:left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263.4</w:t>
            </w:r>
          </w:p>
        </w:tc>
        <w:tc>
          <w:tcPr>
            <w:tcW w:w="992"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255.0</w:t>
            </w:r>
          </w:p>
        </w:tc>
        <w:tc>
          <w:tcPr>
            <w:tcW w:w="907"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306.5</w:t>
            </w:r>
          </w:p>
        </w:tc>
        <w:tc>
          <w:tcPr>
            <w:tcW w:w="908"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282.8</w:t>
            </w:r>
          </w:p>
        </w:tc>
      </w:tr>
      <w:tr w:rsidR="00E25CC6" w:rsidRPr="00AF7B50" w:rsidTr="00B87757">
        <w:trPr>
          <w:cantSplit/>
        </w:trPr>
        <w:tc>
          <w:tcPr>
            <w:tcW w:w="7767" w:type="dxa"/>
            <w:gridSpan w:val="6"/>
            <w:tcBorders>
              <w:top w:val="nil"/>
              <w:left w:val="nil"/>
              <w:bottom w:val="single" w:sz="12" w:space="0" w:color="auto"/>
              <w:right w:val="nil"/>
            </w:tcBorders>
          </w:tcPr>
          <w:p w:rsidR="00E25CC6" w:rsidRPr="00AF7B50" w:rsidRDefault="00E25CC6" w:rsidP="00511382">
            <w:pPr>
              <w:pStyle w:val="OGNotes"/>
            </w:pPr>
            <w:r w:rsidRPr="00AF7B50">
              <w:t>The lower 2016–17 target and 2015–16 expected outcome reflect budget alignment to national health reform.</w:t>
            </w:r>
          </w:p>
        </w:tc>
      </w:tr>
    </w:tbl>
    <w:p w:rsidR="00E25CC6" w:rsidRPr="00AF7B50" w:rsidRDefault="00E25CC6" w:rsidP="00B87757">
      <w:pPr>
        <w:pStyle w:val="Source"/>
      </w:pPr>
      <w:r w:rsidRPr="00AF7B50">
        <w:t>Source: Department of Health and Human Services</w:t>
      </w:r>
      <w:bookmarkEnd w:id="74"/>
      <w:r w:rsidRPr="00AF7B50">
        <w:t xml:space="preserve"> </w:t>
      </w:r>
      <w:r w:rsidRPr="00AF7B50">
        <w:fldChar w:fldCharType="begin"/>
      </w:r>
      <w:r w:rsidRPr="00AF7B50">
        <w:instrText xml:space="preserve"> XE "Department of Health and Human Services:Acute Health Services" \r "DHHS_AcuteHlthSvces" </w:instrText>
      </w:r>
      <w:r w:rsidRPr="00AF7B50">
        <w:fldChar w:fldCharType="end"/>
      </w:r>
      <w:r>
        <w:t xml:space="preserve"> </w:t>
      </w:r>
      <w:r w:rsidRPr="00AF7B50">
        <w:fldChar w:fldCharType="begin"/>
      </w:r>
      <w:r w:rsidRPr="00AF7B50">
        <w:instrText xml:space="preserve"> XE "Health:Acute Health Services" \r "DHHS_AcuteHlthSvces" </w:instrText>
      </w:r>
      <w:r w:rsidRPr="00AF7B50">
        <w:fldChar w:fldCharType="end"/>
      </w:r>
      <w:r>
        <w:t xml:space="preserve"> </w:t>
      </w:r>
      <w:r>
        <w:fldChar w:fldCharType="begin"/>
      </w:r>
      <w:r>
        <w:instrText xml:space="preserve"> XE "</w:instrText>
      </w:r>
      <w:r w:rsidRPr="009F2792">
        <w:instrText>Acute Health Services</w:instrText>
      </w:r>
      <w:r>
        <w:instrText xml:space="preserve">" \r "DHHS_AcuteHlthSvces" </w:instrText>
      </w:r>
      <w:r>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Ambulance Services</w:t>
      </w:r>
    </w:p>
    <w:p w:rsidR="00E25CC6" w:rsidRPr="00AF7B50" w:rsidRDefault="00E25CC6" w:rsidP="00262444">
      <w:pPr>
        <w:pStyle w:val="OGText"/>
      </w:pPr>
      <w:bookmarkStart w:id="75" w:name="DHHS_AmblnceSvces"/>
      <w:r w:rsidRPr="00AF7B50">
        <w:rPr>
          <w:rFonts w:eastAsiaTheme="minorHAnsi"/>
        </w:rPr>
        <w:t>Ambulance Services outputs describe the units of activity for emergency and non</w:t>
      </w:r>
      <w:r w:rsidRPr="00AF7B50">
        <w:rPr>
          <w:rFonts w:eastAsiaTheme="minorHAnsi"/>
        </w:rPr>
        <w:noBreakHyphen/>
        <w:t>emergency ambulance services under the new funding model introduced 1 July 2014, including a range of performance deliverables that measure the quality and timeliness of ambulance services expected over the period. The quality and timeliness measures identify expected clinical output measures and ambulance response times, which are important to ensure critically ill Victorians receive the care they need.</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Ambulance Emergency Services</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AC29F8">
            <w:pPr>
              <w:pStyle w:val="OGText"/>
              <w:rPr>
                <w:lang w:eastAsia="en-AU"/>
              </w:rPr>
            </w:pPr>
            <w:r w:rsidRPr="00AF7B50">
              <w:rPr>
                <w:lang w:eastAsia="en-AU"/>
              </w:rPr>
              <w:t>Emergency road, rotary and fixed air wing patient treatment and transport services provide timely and high</w:t>
            </w:r>
            <w:r w:rsidRPr="00AF7B50">
              <w:rPr>
                <w:lang w:eastAsia="en-AU"/>
              </w:rPr>
              <w:noBreakHyphen/>
              <w:t>quality emergency ambulance services. Timely and high</w:t>
            </w:r>
            <w:r w:rsidRPr="00AF7B50">
              <w:rPr>
                <w:lang w:eastAsia="en-AU"/>
              </w:rPr>
              <w:noBreakHyphen/>
              <w:t>quality emergency ambulance services contribute to high</w:t>
            </w:r>
            <w:r w:rsidRPr="00AF7B50">
              <w:rPr>
                <w:lang w:eastAsia="en-AU"/>
              </w:rPr>
              <w:noBreakHyphen/>
              <w:t>quality, accessible health and community services for all Victorians.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Community Service Obligation emergency road and air transports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238 558</w:t>
            </w:r>
          </w:p>
        </w:tc>
        <w:tc>
          <w:tcPr>
            <w:tcW w:w="992" w:type="dxa"/>
            <w:tcBorders>
              <w:top w:val="nil"/>
              <w:left w:val="nil"/>
              <w:bottom w:val="nil"/>
              <w:right w:val="nil"/>
            </w:tcBorders>
          </w:tcPr>
          <w:p w:rsidR="00E25CC6" w:rsidRPr="00AF7B50" w:rsidRDefault="00E25CC6" w:rsidP="00C868A9">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239 129</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230 352</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expected growth in demand for ambulance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Statewide emergency air transports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4 290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4 189</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4 189</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expected growth in demand for ambulance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Statewide emergency road transports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413 866</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424 781</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401 720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expected growth in demand for ambulance services. The 2015-16 expected outcome is higher than the 2015 16 target due to higher than anticipated demand for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Treatment without transport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90 604</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90 905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86 001</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expected growth in demand for ambulance services. The 2015</w:t>
            </w:r>
            <w:r w:rsidRPr="00AF7B50">
              <w:noBreakHyphen/>
              <w:t>16 expected outcome is higher than the 2015</w:t>
            </w:r>
            <w:r w:rsidRPr="00AF7B50">
              <w:noBreakHyphen/>
              <w:t>16 target due to higher than anticipated demand for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DF3111">
            <w:pPr>
              <w:keepNext/>
              <w:autoSpaceDE w:val="0"/>
              <w:autoSpaceDN w:val="0"/>
              <w:adjustRightInd w:val="0"/>
              <w:spacing w:after="0"/>
              <w:ind w:left="230" w:hanging="230"/>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Audited cases attended by Community Emergency Response Teams (CERT) meeting clinical practice standards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94.8</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74089A">
            <w:pPr>
              <w:pStyle w:val="OGNotes"/>
            </w:pPr>
            <w:r w:rsidRPr="00AF7B50">
              <w:t>The 2015-16 expected outcome is higher than the 2015-16 target, reflecting the high quality of care provided by health workers through services delivered by Ambulance Victoria to the community. The 2014–15 actual is derived from data for the period January to May 2015. No 2014–15 data prior to this is available due to paramedic industrial action.</w:t>
            </w:r>
          </w:p>
        </w:tc>
      </w:tr>
      <w:tr w:rsidR="00E25CC6" w:rsidRPr="00AF7B50" w:rsidTr="0034595E">
        <w:trPr>
          <w:cantSplit/>
        </w:trPr>
        <w:tc>
          <w:tcPr>
            <w:tcW w:w="3146" w:type="dxa"/>
            <w:tcBorders>
              <w:top w:val="single" w:sz="6" w:space="0" w:color="auto"/>
              <w:left w:val="nil"/>
              <w:right w:val="nil"/>
            </w:tcBorders>
          </w:tcPr>
          <w:p w:rsidR="00E25CC6" w:rsidRPr="00AF7B50" w:rsidRDefault="00E25CC6" w:rsidP="0029184E">
            <w:pPr>
              <w:pStyle w:val="OGTabText"/>
              <w:rPr>
                <w:lang w:eastAsia="en-AU"/>
              </w:rPr>
            </w:pPr>
            <w:r w:rsidRPr="00AF7B50">
              <w:rPr>
                <w:lang w:eastAsia="en-AU"/>
              </w:rPr>
              <w:t>Audited cases statewide meeting clinical practice standards</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98.9</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98.9</w:t>
            </w:r>
          </w:p>
        </w:tc>
      </w:tr>
      <w:tr w:rsidR="00E25CC6" w:rsidRPr="00AF7B50" w:rsidTr="0034595E">
        <w:trPr>
          <w:cantSplit/>
        </w:trPr>
        <w:tc>
          <w:tcPr>
            <w:tcW w:w="7767" w:type="dxa"/>
            <w:gridSpan w:val="6"/>
            <w:tcBorders>
              <w:left w:val="nil"/>
              <w:bottom w:val="single" w:sz="6" w:space="0" w:color="auto"/>
              <w:right w:val="nil"/>
            </w:tcBorders>
          </w:tcPr>
          <w:p w:rsidR="00E25CC6" w:rsidRPr="00AF7B50" w:rsidRDefault="00E25CC6" w:rsidP="0074089A">
            <w:pPr>
              <w:pStyle w:val="OGNotes"/>
              <w:rPr>
                <w:rFonts w:cs="Calibri"/>
                <w:sz w:val="19"/>
                <w:szCs w:val="22"/>
              </w:rPr>
            </w:pPr>
            <w:r w:rsidRPr="00AF7B50">
              <w:t>The 2014-15 actual is derived from data for the period January to June 2015. No 2014–15 data prior to this is available due to paramedic industrial action.</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Proportion of adult patients suspected of having a stroke who were transported to a stroke unit with thrombolysis facilities within 60 minutes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84.9</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84.9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2015-16 expected outcome is higher than the 2015-16 target due to improved clinical performance.</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Proportion of adult VF/VT cardiac arrest patients with vital signs at hospital</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49.8</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49.8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2015-16 expected outcome is higher than the 2015-16 target due to improved clinical performance.</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Proportion of patients experiencing severe cardiac or traumatic pain whose level of pain is reduced significantly</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91.3</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91.3</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Proportion of patients very satisfied or satisfied with overall services delivered by paramedics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CERT arrival occurs prior to ambulance</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83.6</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83.6</w:t>
            </w:r>
          </w:p>
        </w:tc>
      </w:tr>
      <w:tr w:rsidR="00E25CC6" w:rsidRPr="00AF7B50" w:rsidTr="0029184E">
        <w:trPr>
          <w:cantSplit/>
        </w:trPr>
        <w:tc>
          <w:tcPr>
            <w:tcW w:w="3146" w:type="dxa"/>
            <w:tcBorders>
              <w:top w:val="nil"/>
              <w:left w:val="nil"/>
              <w:bottom w:val="nil"/>
              <w:right w:val="nil"/>
            </w:tcBorders>
          </w:tcPr>
          <w:p w:rsidR="00E25CC6" w:rsidRPr="00AF7B50" w:rsidRDefault="00E25CC6" w:rsidP="004150DA">
            <w:pPr>
              <w:pStyle w:val="OGTabText"/>
              <w:rPr>
                <w:lang w:eastAsia="en-AU"/>
              </w:rPr>
            </w:pPr>
            <w:r w:rsidRPr="00AF7B50">
              <w:rPr>
                <w:lang w:eastAsia="en-AU"/>
              </w:rPr>
              <w:t>Proportion of emergency (Code 1) incidents responded to within 15 minutes – statewide</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77.1</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74.3</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w:t>
            </w:r>
            <w:r w:rsidRPr="00AF7B50">
              <w:noBreakHyphen/>
              <w:t>16 expected outcome is lower than the 2015</w:t>
            </w:r>
            <w:r w:rsidRPr="00AF7B50">
              <w:noBreakHyphen/>
              <w:t>16 target due to a range of interrelated factors including growing demand for emergency ambulance services and a reduction in emergency ambulance availability. The result reflects continued recent improvements in Ambulance Victoria</w:t>
            </w:r>
            <w:r>
              <w:t>’</w:t>
            </w:r>
            <w:r w:rsidRPr="00AF7B50">
              <w:t xml:space="preserve">s response time performance. </w:t>
            </w:r>
          </w:p>
        </w:tc>
      </w:tr>
      <w:tr w:rsidR="00E25CC6" w:rsidRPr="00AF7B50" w:rsidTr="0029184E">
        <w:trPr>
          <w:cantSplit/>
        </w:trPr>
        <w:tc>
          <w:tcPr>
            <w:tcW w:w="3146" w:type="dxa"/>
            <w:tcBorders>
              <w:top w:val="nil"/>
              <w:left w:val="nil"/>
              <w:bottom w:val="nil"/>
              <w:right w:val="nil"/>
            </w:tcBorders>
          </w:tcPr>
          <w:p w:rsidR="00E25CC6" w:rsidRPr="00AF7B50" w:rsidRDefault="00E25CC6" w:rsidP="004150DA">
            <w:pPr>
              <w:pStyle w:val="OGTabText"/>
              <w:rPr>
                <w:lang w:eastAsia="en-AU"/>
              </w:rPr>
            </w:pPr>
            <w:r w:rsidRPr="00AF7B50">
              <w:rPr>
                <w:lang w:eastAsia="en-AU"/>
              </w:rPr>
              <w:t>Proportion of emergency (Code 1) incidents responded to within 15 minutes in centres with more than 7 500 population</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82</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79.9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w:t>
            </w:r>
            <w:r w:rsidRPr="00AF7B50">
              <w:noBreakHyphen/>
              <w:t>16 expected outcome is lower than the 2015</w:t>
            </w:r>
            <w:r w:rsidRPr="00AF7B50">
              <w:noBreakHyphen/>
              <w:t>16 target due to a range of interrelated factors including growing demand for emergency ambulance services and a reduction in emergency ambulance availability. The result reflects continued recent improvements in Ambulance Victoria</w:t>
            </w:r>
            <w:r>
              <w:t>’</w:t>
            </w:r>
            <w:r w:rsidRPr="00AF7B50">
              <w:t xml:space="preserve">s response time performance. </w:t>
            </w:r>
          </w:p>
        </w:tc>
      </w:tr>
      <w:tr w:rsidR="00E25CC6" w:rsidRPr="00AF7B50" w:rsidTr="0029184E">
        <w:trPr>
          <w:cantSplit/>
        </w:trPr>
        <w:tc>
          <w:tcPr>
            <w:tcW w:w="3146" w:type="dxa"/>
            <w:tcBorders>
              <w:top w:val="nil"/>
              <w:left w:val="nil"/>
              <w:bottom w:val="nil"/>
              <w:right w:val="nil"/>
            </w:tcBorders>
          </w:tcPr>
          <w:p w:rsidR="00E25CC6" w:rsidRPr="00AF7B50" w:rsidRDefault="00E25CC6" w:rsidP="00DF3111">
            <w:pPr>
              <w:keepNext/>
              <w:autoSpaceDE w:val="0"/>
              <w:autoSpaceDN w:val="0"/>
              <w:adjustRightInd w:val="0"/>
              <w:spacing w:after="0"/>
              <w:ind w:left="230" w:hanging="230"/>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40032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692.3</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629.9</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623.6</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609.8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primarily reflects funding provided for government policy commitments.</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Ambulance Non</w:t>
            </w:r>
            <w:r w:rsidRPr="00AF7B50">
              <w:rPr>
                <w:lang w:eastAsia="en-AU"/>
              </w:rPr>
              <w:noBreakHyphen/>
              <w:t>Emergency Services</w:t>
            </w:r>
            <w:r w:rsidRPr="00AF7B50">
              <w:rPr>
                <w:lang w:eastAsia="en-AU"/>
              </w:rPr>
              <w:tab/>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Text"/>
              <w:rPr>
                <w:lang w:eastAsia="en-AU"/>
              </w:rPr>
            </w:pPr>
            <w:r w:rsidRPr="00AF7B50">
              <w:rPr>
                <w:lang w:eastAsia="en-AU"/>
              </w:rPr>
              <w:t>Non</w:t>
            </w:r>
            <w:r w:rsidRPr="00AF7B50">
              <w:rPr>
                <w:lang w:eastAsia="en-AU"/>
              </w:rPr>
              <w:noBreakHyphen/>
              <w:t>emergency road, rotary and fixed air wing patient treatment and transport services provide access to timely, high</w:t>
            </w:r>
            <w:r w:rsidRPr="00AF7B50">
              <w:rPr>
                <w:lang w:eastAsia="en-AU"/>
              </w:rPr>
              <w:noBreakHyphen/>
              <w:t>quality non</w:t>
            </w:r>
            <w:r w:rsidRPr="00AF7B50">
              <w:rPr>
                <w:lang w:eastAsia="en-AU"/>
              </w:rPr>
              <w:noBreakHyphen/>
              <w:t>emergency ambulance services. High</w:t>
            </w:r>
            <w:r w:rsidRPr="00AF7B50">
              <w:rPr>
                <w:lang w:eastAsia="en-AU"/>
              </w:rPr>
              <w:noBreakHyphen/>
              <w:t>quality non</w:t>
            </w:r>
            <w:r w:rsidRPr="00AF7B50">
              <w:rPr>
                <w:lang w:eastAsia="en-AU"/>
              </w:rPr>
              <w:noBreakHyphen/>
              <w:t>emergency ambulance services contribute to high</w:t>
            </w:r>
            <w:r w:rsidRPr="00AF7B50">
              <w:rPr>
                <w:lang w:eastAsia="en-AU"/>
              </w:rPr>
              <w:noBreakHyphen/>
              <w:t>quality, accessible health and community services for all Victorians. The output supports departmental priorities through provision of patient transport officers to service non</w:t>
            </w:r>
            <w:r w:rsidRPr="00AF7B50">
              <w:rPr>
                <w:lang w:eastAsia="en-AU"/>
              </w:rPr>
              <w:noBreakHyphen/>
              <w:t>emergency, pre and post</w:t>
            </w:r>
            <w:r w:rsidRPr="00AF7B50">
              <w:rPr>
                <w:lang w:eastAsia="en-AU"/>
              </w:rPr>
              <w:noBreakHyphen/>
              <w:t>hospital patients.</w:t>
            </w:r>
          </w:p>
        </w:tc>
      </w:tr>
      <w:tr w:rsidR="00E25CC6" w:rsidRPr="00AF7B50" w:rsidTr="0029184E">
        <w:trPr>
          <w:cantSplit/>
        </w:trPr>
        <w:tc>
          <w:tcPr>
            <w:tcW w:w="3146" w:type="dxa"/>
            <w:tcBorders>
              <w:top w:val="nil"/>
              <w:left w:val="nil"/>
              <w:bottom w:val="nil"/>
              <w:right w:val="nil"/>
            </w:tcBorders>
          </w:tcPr>
          <w:p w:rsidR="00E25CC6" w:rsidRPr="00AF7B50" w:rsidRDefault="00E25CC6" w:rsidP="004150DA">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4150DA">
            <w:pPr>
              <w:keepNext/>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4150DA">
            <w:pPr>
              <w:pStyle w:val="OGTabText"/>
              <w:keepNext/>
              <w:rPr>
                <w:lang w:eastAsia="en-AU"/>
              </w:rPr>
            </w:pPr>
            <w:r w:rsidRPr="00AF7B50">
              <w:rPr>
                <w:lang w:eastAsia="en-AU"/>
              </w:rPr>
              <w:t>Community Service Obligation non</w:t>
            </w:r>
            <w:r w:rsidRPr="00AF7B50">
              <w:rPr>
                <w:lang w:eastAsia="en-AU"/>
              </w:rPr>
              <w:noBreakHyphen/>
              <w:t>emergency road and air transports</w:t>
            </w:r>
          </w:p>
        </w:tc>
        <w:tc>
          <w:tcPr>
            <w:tcW w:w="907" w:type="dxa"/>
            <w:tcBorders>
              <w:top w:val="nil"/>
              <w:left w:val="nil"/>
              <w:bottom w:val="nil"/>
              <w:right w:val="nil"/>
            </w:tcBorders>
          </w:tcPr>
          <w:p w:rsidR="00E25CC6" w:rsidRPr="00AF7B50" w:rsidRDefault="00E25CC6" w:rsidP="004150DA">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186 539</w:t>
            </w:r>
          </w:p>
        </w:tc>
        <w:tc>
          <w:tcPr>
            <w:tcW w:w="992" w:type="dxa"/>
            <w:tcBorders>
              <w:top w:val="nil"/>
              <w:left w:val="nil"/>
              <w:bottom w:val="nil"/>
              <w:right w:val="nil"/>
            </w:tcBorders>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163 552</w:t>
            </w:r>
          </w:p>
        </w:tc>
        <w:tc>
          <w:tcPr>
            <w:tcW w:w="907" w:type="dxa"/>
            <w:tcBorders>
              <w:top w:val="nil"/>
              <w:left w:val="nil"/>
              <w:bottom w:val="nil"/>
              <w:right w:val="nil"/>
            </w:tcBorders>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178 790</w:t>
            </w:r>
          </w:p>
        </w:tc>
        <w:tc>
          <w:tcPr>
            <w:tcW w:w="908" w:type="dxa"/>
            <w:tcBorders>
              <w:top w:val="nil"/>
              <w:left w:val="nil"/>
              <w:bottom w:val="nil"/>
              <w:right w:val="nil"/>
            </w:tcBorders>
          </w:tcPr>
          <w:p w:rsidR="00E25CC6" w:rsidRPr="00AF7B50" w:rsidRDefault="00E25CC6" w:rsidP="004150DA">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expected growth in demand for ambulance services. The 2015-16 expected outcome is lower than the 2015-16 target due to ongoing reform and lower than anticipated demand for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Statewide non</w:t>
            </w:r>
            <w:r w:rsidRPr="00AF7B50">
              <w:rPr>
                <w:lang w:eastAsia="en-AU"/>
              </w:rPr>
              <w:noBreakHyphen/>
              <w:t>emergency air transports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3 033</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2 481</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2 959</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expected growth in demand for ambulance services. The 2015-16 expected outcome is lower than the 2015-16 target due to ongoing reform and lower than anticipated demand for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Statewide non</w:t>
            </w:r>
            <w:r w:rsidRPr="00AF7B50">
              <w:rPr>
                <w:lang w:eastAsia="en-AU"/>
              </w:rPr>
              <w:noBreakHyphen/>
              <w:t>emergency road transports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292 762</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228 115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261 428</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reflects expected growth in demand for ambulance services. The 2015-16 expected outcome is lower than the 2015-16 target due to ongoing reform and lower than anticipated demand for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Audited cases statewide meeting clinical practice standards</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98.8</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98.8</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4B77AD">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111.8</w:t>
            </w:r>
          </w:p>
        </w:tc>
        <w:tc>
          <w:tcPr>
            <w:tcW w:w="992"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106.8</w:t>
            </w:r>
          </w:p>
        </w:tc>
        <w:tc>
          <w:tcPr>
            <w:tcW w:w="907"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113.0</w:t>
            </w:r>
          </w:p>
        </w:tc>
        <w:tc>
          <w:tcPr>
            <w:tcW w:w="908"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111.2</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317859">
            <w:pPr>
              <w:pStyle w:val="OGNotes"/>
            </w:pPr>
            <w:r w:rsidRPr="00AF7B50">
              <w:t>The 2015–16 expected outcome is lower than the 2015–16 target due to a transfer to the Ambulance Emergency Services output that reflects the revised fee structure published in the Policy and Funding Guidelines. The lower 2016–17 target also reflects this transfer.</w:t>
            </w:r>
          </w:p>
        </w:tc>
      </w:tr>
    </w:tbl>
    <w:p w:rsidR="00E25CC6" w:rsidRPr="00AF7B50" w:rsidRDefault="00E25CC6" w:rsidP="00262444">
      <w:pPr>
        <w:pStyle w:val="Source"/>
      </w:pPr>
      <w:r w:rsidRPr="00AF7B50">
        <w:t>Source: Department of Health and Human Services</w:t>
      </w:r>
      <w:bookmarkEnd w:id="75"/>
      <w:r w:rsidRPr="00AF7B50">
        <w:t xml:space="preserve"> </w:t>
      </w:r>
      <w:r w:rsidRPr="00AF7B50">
        <w:fldChar w:fldCharType="begin"/>
      </w:r>
      <w:r w:rsidRPr="00AF7B50">
        <w:instrText xml:space="preserve"> XE "Department of Health and Human Services:Ambul</w:instrText>
      </w:r>
      <w:r>
        <w:instrText>a</w:instrText>
      </w:r>
      <w:r w:rsidRPr="00AF7B50">
        <w:instrText xml:space="preserve">nce Services" \r "DHHS_AmblnceSvces" </w:instrText>
      </w:r>
      <w:r w:rsidRPr="00AF7B50">
        <w:fldChar w:fldCharType="end"/>
      </w:r>
      <w:r>
        <w:t xml:space="preserve"> </w:t>
      </w:r>
      <w:r w:rsidRPr="00AF7B50">
        <w:fldChar w:fldCharType="begin"/>
      </w:r>
      <w:r w:rsidRPr="00AF7B50">
        <w:instrText xml:space="preserve"> XE "</w:instrText>
      </w:r>
      <w:r>
        <w:instrText>Emergency</w:instrText>
      </w:r>
      <w:r w:rsidRPr="00AF7B50">
        <w:instrText xml:space="preserve"> Services:Ambul</w:instrText>
      </w:r>
      <w:r>
        <w:instrText>a</w:instrText>
      </w:r>
      <w:r w:rsidRPr="00AF7B50">
        <w:instrText xml:space="preserve">nce Services" \r "DHHS_AmblnceSvces" </w:instrText>
      </w:r>
      <w:r w:rsidRPr="00AF7B50">
        <w:fldChar w:fldCharType="end"/>
      </w:r>
      <w:r>
        <w:t xml:space="preserve"> </w:t>
      </w:r>
      <w:r>
        <w:fldChar w:fldCharType="begin"/>
      </w:r>
      <w:r>
        <w:instrText xml:space="preserve"> XE "</w:instrText>
      </w:r>
      <w:r w:rsidRPr="009F2792">
        <w:instrText>Ambul</w:instrText>
      </w:r>
      <w:r>
        <w:instrText>a</w:instrText>
      </w:r>
      <w:r w:rsidRPr="009F2792">
        <w:instrText>nce Services</w:instrText>
      </w:r>
      <w:r>
        <w:instrText xml:space="preserve">" \r "DHHS_AmblnceSvces" </w:instrText>
      </w:r>
      <w:r>
        <w:fldChar w:fldCharType="end"/>
      </w:r>
    </w:p>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Mental Health</w:t>
      </w:r>
    </w:p>
    <w:p w:rsidR="00E25CC6" w:rsidRPr="00AF7B50" w:rsidRDefault="00E25CC6" w:rsidP="00262444">
      <w:pPr>
        <w:pStyle w:val="OGText"/>
        <w:rPr>
          <w:rFonts w:eastAsiaTheme="minorHAnsi"/>
        </w:rPr>
      </w:pPr>
      <w:bookmarkStart w:id="76" w:name="DHHS_MentalHlth"/>
      <w:r w:rsidRPr="00AF7B50">
        <w:rPr>
          <w:rFonts w:eastAsiaTheme="minorHAnsi"/>
        </w:rPr>
        <w:t>Mental Health outputs include the provision of a range of inpatient, community</w:t>
      </w:r>
      <w:r w:rsidRPr="00AF7B50">
        <w:rPr>
          <w:rFonts w:eastAsiaTheme="minorHAnsi"/>
        </w:rPr>
        <w:noBreakHyphen/>
        <w:t>based residential and ambulatory services which target and support people with a mental illness and their families and carers, identifying mental illness early, and seeking to reduce its impact through providing timely acute care services and appropriate longer</w:t>
      </w:r>
      <w:r w:rsidRPr="00AF7B50">
        <w:rPr>
          <w:rFonts w:eastAsiaTheme="minorHAnsi"/>
        </w:rPr>
        <w:noBreakHyphen/>
        <w:t>term accommodation and support for those living with a mental illness.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Clinical Care</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Text"/>
              <w:rPr>
                <w:lang w:eastAsia="en-AU"/>
              </w:rPr>
            </w:pPr>
            <w:r w:rsidRPr="00AF7B50">
              <w:rPr>
                <w:lang w:eastAsia="en-AU"/>
              </w:rPr>
              <w:t>A range of inpatient residential and community</w:t>
            </w:r>
            <w:r w:rsidRPr="00AF7B50">
              <w:rPr>
                <w:lang w:eastAsia="en-AU"/>
              </w:rPr>
              <w:noBreakHyphen/>
              <w:t>based clinical services provided to people with mental illness, and their families so that those experiencing mental health problems can access timely, high</w:t>
            </w:r>
            <w:r w:rsidRPr="00AF7B50">
              <w:rPr>
                <w:lang w:eastAsia="en-AU"/>
              </w:rPr>
              <w:noBreakHyphen/>
              <w:t>quality care and support to recover and live successfully in the community.</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Clinical inpatient separations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22 110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24 476</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21 260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22 799</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 The 2015</w:t>
            </w:r>
            <w:r w:rsidRPr="00AF7B50">
              <w:noBreakHyphen/>
              <w:t>16 expected outcome is higher than the 2015</w:t>
            </w:r>
            <w:r w:rsidRPr="00AF7B50">
              <w:noBreakHyphen/>
              <w:t>16 target due to sustained high demand for acute inpatient beds and increases in bed stock.</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Community service hours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9F31F9">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1 161</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1 042</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1 080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 xml:space="preserve">17 target reflects growth in activity, and additional funding provided in the </w:t>
            </w:r>
            <w:r w:rsidRPr="00AF7B50">
              <w:rPr>
                <w:i w:val="0"/>
              </w:rPr>
              <w:t>2016</w:t>
            </w:r>
            <w:r w:rsidRPr="00AF7B50">
              <w:rPr>
                <w:i w:val="0"/>
              </w:rPr>
              <w:noBreakHyphen/>
              <w:t>17 Budget</w:t>
            </w:r>
            <w:r w:rsidRPr="00AF7B50">
              <w:t>.</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New case index</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51</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Registered community clients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64 000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64 000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64 000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65 527</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Residential bed days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181 730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169 240</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181 730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185 732</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w:t>
            </w:r>
            <w:r w:rsidRPr="00AF7B50">
              <w:noBreakHyphen/>
              <w:t>16 expected outcome is lower than the 2015</w:t>
            </w:r>
            <w:r w:rsidRPr="00AF7B50">
              <w:noBreakHyphen/>
              <w:t>16 target due to lower than expected occupancy concentrated in the aged care sector.</w:t>
            </w:r>
          </w:p>
        </w:tc>
      </w:tr>
      <w:tr w:rsidR="00E25CC6" w:rsidRPr="00AF7B50" w:rsidTr="00405115">
        <w:trPr>
          <w:cantSplit/>
        </w:trPr>
        <w:tc>
          <w:tcPr>
            <w:tcW w:w="3146" w:type="dxa"/>
            <w:tcBorders>
              <w:top w:val="single" w:sz="6" w:space="0" w:color="auto"/>
              <w:left w:val="nil"/>
              <w:right w:val="nil"/>
            </w:tcBorders>
          </w:tcPr>
          <w:p w:rsidR="00E25CC6" w:rsidRPr="00AF7B50" w:rsidRDefault="00E25CC6" w:rsidP="0029184E">
            <w:pPr>
              <w:pStyle w:val="OGTabText"/>
              <w:rPr>
                <w:lang w:eastAsia="en-AU"/>
              </w:rPr>
            </w:pPr>
            <w:r w:rsidRPr="00AF7B50">
              <w:rPr>
                <w:lang w:eastAsia="en-AU"/>
              </w:rPr>
              <w:t>Sub</w:t>
            </w:r>
            <w:r w:rsidRPr="00AF7B50">
              <w:rPr>
                <w:lang w:eastAsia="en-AU"/>
              </w:rPr>
              <w:noBreakHyphen/>
              <w:t>acute bed days</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171 412</w:t>
            </w:r>
          </w:p>
        </w:tc>
        <w:tc>
          <w:tcPr>
            <w:tcW w:w="992"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164 452</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171 412</w:t>
            </w:r>
          </w:p>
        </w:tc>
        <w:tc>
          <w:tcPr>
            <w:tcW w:w="908"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163 884</w:t>
            </w:r>
          </w:p>
        </w:tc>
      </w:tr>
      <w:tr w:rsidR="00E25CC6" w:rsidRPr="00AF7B50" w:rsidTr="00405115">
        <w:trPr>
          <w:cantSplit/>
        </w:trPr>
        <w:tc>
          <w:tcPr>
            <w:tcW w:w="7767" w:type="dxa"/>
            <w:gridSpan w:val="6"/>
            <w:tcBorders>
              <w:left w:val="nil"/>
              <w:bottom w:val="single" w:sz="6" w:space="0" w:color="auto"/>
              <w:right w:val="nil"/>
            </w:tcBorders>
          </w:tcPr>
          <w:p w:rsidR="00E25CC6" w:rsidRPr="00AF7B50" w:rsidRDefault="00E25CC6" w:rsidP="00AC29F8">
            <w:pPr>
              <w:pStyle w:val="OGNotes"/>
              <w:rPr>
                <w:rFonts w:cs="Calibri"/>
                <w:sz w:val="19"/>
                <w:szCs w:val="22"/>
              </w:rPr>
            </w:pPr>
            <w:r w:rsidRPr="00AF7B50">
              <w:t>The 2015–16 expected outcome is lower than the 2015–16 target due to occupancy varying across catchments and time, as community needs adjust and recovery focused models of care in local catchments develop.</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Clients readmitted (unplanned) within 28 days</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New client index</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Number of area mental health services achieving or maintaining accreditation under the National Standards for Mental Health Services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21</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21</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21</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21</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Post</w:t>
            </w:r>
            <w:r w:rsidRPr="00AF7B50">
              <w:rPr>
                <w:lang w:eastAsia="en-AU"/>
              </w:rPr>
              <w:noBreakHyphen/>
              <w:t>discharge community care</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86</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w:t>
            </w:r>
            <w:r w:rsidRPr="00AF7B50">
              <w:noBreakHyphen/>
              <w:t>16 expected outcome is higher than the 2015</w:t>
            </w:r>
            <w:r w:rsidRPr="00AF7B50">
              <w:noBreakHyphen/>
              <w:t>16 target due to sustained attention by health services and additional funding to clinical community mental health.</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Pre</w:t>
            </w:r>
            <w:r w:rsidRPr="00AF7B50">
              <w:rPr>
                <w:lang w:eastAsia="en-AU"/>
              </w:rPr>
              <w:noBreakHyphen/>
              <w:t>admission community care</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59</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59</w:t>
            </w:r>
          </w:p>
        </w:tc>
      </w:tr>
      <w:tr w:rsidR="00E25CC6" w:rsidRPr="00AF7B50" w:rsidTr="0029184E">
        <w:trPr>
          <w:cantSplit/>
        </w:trPr>
        <w:tc>
          <w:tcPr>
            <w:tcW w:w="3146" w:type="dxa"/>
            <w:tcBorders>
              <w:top w:val="nil"/>
              <w:left w:val="nil"/>
              <w:bottom w:val="nil"/>
              <w:right w:val="nil"/>
            </w:tcBorders>
          </w:tcPr>
          <w:p w:rsidR="00E25CC6" w:rsidRPr="00AF7B50" w:rsidRDefault="00E25CC6" w:rsidP="00262444">
            <w:pPr>
              <w:pStyle w:val="OGTabText"/>
              <w:keepNext/>
              <w:rPr>
                <w:lang w:eastAsia="en-AU"/>
              </w:rPr>
            </w:pPr>
            <w:r w:rsidRPr="00AF7B50">
              <w:rPr>
                <w:lang w:eastAsia="en-AU"/>
              </w:rPr>
              <w:t>Seclusions per 1 000 occupied bed days</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43</w:t>
            </w: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AC29F8">
            <w:pPr>
              <w:pStyle w:val="OGNotes"/>
            </w:pPr>
            <w:r w:rsidRPr="00AF7B50">
              <w:t>The 2015</w:t>
            </w:r>
            <w:r w:rsidRPr="00AF7B50">
              <w:noBreakHyphen/>
              <w:t xml:space="preserve">16 target was incorrectly published as 43. The target of 15 is consistent with the target published in </w:t>
            </w:r>
            <w:r>
              <w:t>‘</w:t>
            </w:r>
            <w:r w:rsidRPr="00AF7B50">
              <w:t>High</w:t>
            </w:r>
            <w:r w:rsidRPr="00AF7B50">
              <w:noBreakHyphen/>
              <w:t>performing health services: Victorian health service performance monitoring framework 2014</w:t>
            </w:r>
            <w:r w:rsidRPr="00AF7B50">
              <w:noBreakHyphen/>
              <w:t>15</w:t>
            </w:r>
            <w:r>
              <w:t>’</w:t>
            </w:r>
            <w:r w:rsidRPr="00AF7B50">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Emergency patients admitted to a mental health bed within eight hours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9F31F9">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66.5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71</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AC29F8">
            <w:pPr>
              <w:pStyle w:val="OGNotes"/>
            </w:pPr>
            <w:r w:rsidRPr="00AF7B50">
              <w:t>The 2015</w:t>
            </w:r>
            <w:r w:rsidRPr="00AF7B50">
              <w:noBreakHyphen/>
              <w:t>16 expected outcome is lower than the 2015</w:t>
            </w:r>
            <w:r w:rsidRPr="00AF7B50">
              <w:noBreakHyphen/>
              <w:t>16 target due to sustained high demand for acute inpatient beds and the increase in proportion of patients with complex diagnosis requirements coinciding with physical treatment.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3F4560">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1 269.9</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1 182.3</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1 182.7</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1 082.0</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primarily reflects funding provided for government policy commitments.</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Mental Health Community Support Services (MHCSS)</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Text"/>
              <w:rPr>
                <w:lang w:eastAsia="en-AU"/>
              </w:rPr>
            </w:pPr>
            <w:r w:rsidRPr="00AF7B50">
              <w:rPr>
                <w:lang w:eastAsia="en-AU"/>
              </w:rPr>
              <w:t>A range of rehabilitation and support services provided to youth and adults with a psychiatric disability, and their families and carers, so that those experiencing mental health problems can access timely, high</w:t>
            </w:r>
            <w:r w:rsidRPr="00AF7B50">
              <w:noBreakHyphen/>
            </w:r>
            <w:r w:rsidRPr="00AF7B50">
              <w:rPr>
                <w:lang w:eastAsia="en-AU"/>
              </w:rPr>
              <w:t>quality care and support to recover and reintegrate into the community.</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DF3111">
            <w:pPr>
              <w:pStyle w:val="OGTabText"/>
              <w:keepNext/>
              <w:rPr>
                <w:lang w:eastAsia="en-AU"/>
              </w:rPr>
            </w:pPr>
            <w:r w:rsidRPr="00AF7B50">
              <w:rPr>
                <w:lang w:eastAsia="en-AU"/>
              </w:rPr>
              <w:t>Bed days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87 000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75 321</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87 000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73 672</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2015</w:t>
            </w:r>
            <w:r w:rsidRPr="00AF7B50">
              <w:noBreakHyphen/>
              <w:t>16 expected outcome is lower than the 2015</w:t>
            </w:r>
            <w:r w:rsidRPr="00AF7B50">
              <w:noBreakHyphen/>
              <w:t>16 target due to data reporting issues. The Department is in the process of resolving these issues with service providers.</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Client Support Units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783 100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743 997</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783 100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661 855</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Clients receiving community mental health support services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12 600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12 030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12 600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11 918</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Proportion of major agencies accredited</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E837EF">
        <w:trPr>
          <w:cantSplit/>
        </w:trPr>
        <w:tc>
          <w:tcPr>
            <w:tcW w:w="3146" w:type="dxa"/>
            <w:tcBorders>
              <w:top w:val="nil"/>
              <w:left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8C4FF4">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128.1</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130.5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126.3</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123.4</w:t>
            </w:r>
          </w:p>
        </w:tc>
      </w:tr>
      <w:tr w:rsidR="00E25CC6" w:rsidRPr="00AF7B50" w:rsidTr="004C79A4">
        <w:trPr>
          <w:cantSplit/>
        </w:trPr>
        <w:tc>
          <w:tcPr>
            <w:tcW w:w="7767" w:type="dxa"/>
            <w:gridSpan w:val="6"/>
            <w:tcBorders>
              <w:top w:val="nil"/>
              <w:left w:val="nil"/>
              <w:bottom w:val="single" w:sz="12" w:space="0" w:color="auto"/>
              <w:right w:val="nil"/>
            </w:tcBorders>
          </w:tcPr>
          <w:p w:rsidR="00E25CC6" w:rsidRPr="00AF7B50" w:rsidRDefault="00E25CC6" w:rsidP="008C4FF4">
            <w:pPr>
              <w:pStyle w:val="OGNotes"/>
              <w:rPr>
                <w:rFonts w:cs="Calibri"/>
                <w:sz w:val="19"/>
                <w:szCs w:val="22"/>
              </w:rPr>
            </w:pPr>
            <w:r w:rsidRPr="00AF7B50">
              <w:t>The higher 2016–17 target primarily reflects funding provided for government policy commitments.</w:t>
            </w:r>
          </w:p>
        </w:tc>
      </w:tr>
    </w:tbl>
    <w:p w:rsidR="00E25CC6" w:rsidRPr="00AF7B50" w:rsidRDefault="00E25CC6" w:rsidP="00262444">
      <w:pPr>
        <w:pStyle w:val="Source"/>
      </w:pPr>
      <w:r w:rsidRPr="00AF7B50">
        <w:t>Source: Department of Health and Human Services</w:t>
      </w:r>
      <w:bookmarkEnd w:id="76"/>
      <w:r w:rsidRPr="00AF7B50">
        <w:t xml:space="preserve"> </w:t>
      </w:r>
      <w:r w:rsidRPr="00AF7B50">
        <w:fldChar w:fldCharType="begin"/>
      </w:r>
      <w:r w:rsidRPr="00AF7B50">
        <w:instrText xml:space="preserve"> XE "Department of Health and Human Services:Mental Health" \r "DHHS_MentalHlth" </w:instrText>
      </w:r>
      <w:r w:rsidRPr="00AF7B50">
        <w:fldChar w:fldCharType="end"/>
      </w:r>
      <w:r>
        <w:t xml:space="preserve"> </w:t>
      </w:r>
      <w:r w:rsidRPr="00AF7B50">
        <w:fldChar w:fldCharType="begin"/>
      </w:r>
      <w:r w:rsidRPr="00AF7B50">
        <w:instrText xml:space="preserve"> XE "Health:Mental Health" \r "DHHS_MentalHlth" </w:instrText>
      </w:r>
      <w:r w:rsidRPr="00AF7B50">
        <w:fldChar w:fldCharType="end"/>
      </w:r>
      <w:r>
        <w:t xml:space="preserve"> </w:t>
      </w:r>
      <w:r>
        <w:fldChar w:fldCharType="begin"/>
      </w:r>
      <w:r>
        <w:instrText xml:space="preserve"> XE "</w:instrText>
      </w:r>
      <w:r w:rsidRPr="009F2792">
        <w:instrText>Mental Health</w:instrText>
      </w:r>
      <w:r>
        <w:instrText xml:space="preserve">" \r "DHHS_MentalHlth" </w:instrText>
      </w:r>
      <w:r>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Ageing, Aged and Home Care</w:t>
      </w:r>
    </w:p>
    <w:p w:rsidR="00E25CC6" w:rsidRPr="00AF7B50" w:rsidRDefault="00E25CC6" w:rsidP="00262444">
      <w:pPr>
        <w:pStyle w:val="OGText"/>
        <w:rPr>
          <w:rFonts w:eastAsiaTheme="minorHAnsi"/>
        </w:rPr>
      </w:pPr>
      <w:bookmarkStart w:id="77" w:name="DHHS_AgedCare"/>
      <w:r w:rsidRPr="00AF7B50">
        <w:rPr>
          <w:rFonts w:eastAsiaTheme="minorHAnsi"/>
        </w:rPr>
        <w:t>Ageing, Aged and Home Care outputs encompass leading and coordinating the whole of government policy on issues affecting our ageing community. It includes a range of in</w:t>
      </w:r>
      <w:r w:rsidRPr="00AF7B50">
        <w:noBreakHyphen/>
      </w:r>
      <w:r w:rsidRPr="00AF7B50">
        <w:rPr>
          <w:rFonts w:eastAsiaTheme="minorHAnsi"/>
        </w:rPr>
        <w:t>home, specialist geriatric, residential care and community</w:t>
      </w:r>
      <w:r w:rsidRPr="00AF7B50">
        <w:noBreakHyphen/>
      </w:r>
      <w:r w:rsidRPr="00AF7B50">
        <w:rPr>
          <w:rFonts w:eastAsiaTheme="minorHAnsi"/>
        </w:rPr>
        <w:t>based programs, such as Home and Community Care (HACC), that are targeted to older people, people with a disability, and their carers.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Seniors Programs and Participation</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Text"/>
              <w:rPr>
                <w:lang w:eastAsia="en-AU"/>
              </w:rPr>
            </w:pPr>
            <w:r w:rsidRPr="00AF7B50">
              <w:rPr>
                <w:lang w:eastAsia="en-AU"/>
              </w:rPr>
              <w:t>Support broader community planning processes to facilitate an integrated community planning and response approach aimed at encouraging older Victorians to fully participate and engage in the community.</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New University of the Third Age (U3A) programs funded</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r w:rsidRPr="00AF7B50">
              <w:rPr>
                <w:rFonts w:ascii="Calibri" w:hAnsi="Calibri" w:cs="Calibri"/>
                <w:sz w:val="19"/>
                <w:szCs w:val="22"/>
                <w:lang w:eastAsia="en-AU"/>
              </w:rPr>
              <w:noBreakHyphen/>
              <w:t>60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53</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r w:rsidRPr="00AF7B50">
              <w:rPr>
                <w:rFonts w:ascii="Calibri" w:hAnsi="Calibri" w:cs="Calibri"/>
                <w:sz w:val="19"/>
                <w:szCs w:val="22"/>
                <w:lang w:eastAsia="en-AU"/>
              </w:rPr>
              <w:noBreakHyphen/>
              <w:t>60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53</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Seniors funded activities and programs: numbers approved</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140</w:t>
            </w:r>
            <w:r w:rsidRPr="00AF7B50">
              <w:rPr>
                <w:rFonts w:ascii="Calibri" w:hAnsi="Calibri" w:cs="Calibri"/>
                <w:sz w:val="19"/>
                <w:szCs w:val="22"/>
                <w:lang w:eastAsia="en-AU"/>
              </w:rPr>
              <w:noBreakHyphen/>
              <w:t>160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151</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140</w:t>
            </w:r>
            <w:r w:rsidRPr="00AF7B50">
              <w:rPr>
                <w:rFonts w:ascii="Calibri" w:hAnsi="Calibri" w:cs="Calibri"/>
                <w:sz w:val="19"/>
                <w:szCs w:val="22"/>
                <w:lang w:eastAsia="en-AU"/>
              </w:rPr>
              <w:noBreakHyphen/>
              <w:t>160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152</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Open rates for Seniors Card e</w:t>
            </w:r>
            <w:r w:rsidRPr="00AF7B50">
              <w:rPr>
                <w:lang w:eastAsia="en-AU"/>
              </w:rPr>
              <w:noBreakHyphen/>
              <w:t xml:space="preserve">Newsletters </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This performance measure replaces the 2015</w:t>
            </w:r>
            <w:r w:rsidRPr="00AF7B50">
              <w:noBreakHyphen/>
              <w:t xml:space="preserve">16 performance measure </w:t>
            </w:r>
            <w:r>
              <w:t>‘</w:t>
            </w:r>
            <w:r w:rsidRPr="00AF7B50">
              <w:t>Number of hits on Seniors Online cost savings information page</w:t>
            </w:r>
            <w:r>
              <w:t>’</w:t>
            </w:r>
            <w:r w:rsidRPr="00AF7B50">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Eligible seniors in the Seniors Card Program</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Senior satisfaction with Victorian Seniors Festival events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8.7</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10.7</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8.4</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lower 2016</w:t>
            </w:r>
            <w:r w:rsidRPr="00AF7B50">
              <w:noBreakHyphen/>
              <w:t>17 target is primarily due to changes in the estimated carryover. The 2015</w:t>
            </w:r>
            <w:r w:rsidRPr="00AF7B50">
              <w:noBreakHyphen/>
              <w:t>16 expected outcome is higher than the 2015</w:t>
            </w:r>
            <w:r w:rsidRPr="00AF7B50">
              <w:noBreakHyphen/>
              <w:t>16 target due to additional expenditure on the Seniors and Companions Cards.</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Residential Aged Care</w:t>
            </w:r>
          </w:p>
        </w:tc>
      </w:tr>
      <w:tr w:rsidR="00E25CC6" w:rsidRPr="00AF7B50" w:rsidTr="003028E1">
        <w:trPr>
          <w:cantSplit/>
        </w:trPr>
        <w:tc>
          <w:tcPr>
            <w:tcW w:w="7767" w:type="dxa"/>
            <w:gridSpan w:val="6"/>
            <w:tcBorders>
              <w:top w:val="nil"/>
              <w:left w:val="nil"/>
              <w:bottom w:val="single" w:sz="6" w:space="0" w:color="auto"/>
            </w:tcBorders>
          </w:tcPr>
          <w:p w:rsidR="00E25CC6" w:rsidRPr="00AF7B50" w:rsidRDefault="00E25CC6" w:rsidP="00C81943">
            <w:pPr>
              <w:autoSpaceDE w:val="0"/>
              <w:autoSpaceDN w:val="0"/>
              <w:adjustRightInd w:val="0"/>
              <w:spacing w:after="0"/>
              <w:rPr>
                <w:rFonts w:ascii="Calibri" w:hAnsi="Calibri"/>
                <w:sz w:val="20"/>
                <w:szCs w:val="18"/>
                <w:lang w:eastAsia="en-AU"/>
              </w:rPr>
            </w:pPr>
            <w:r w:rsidRPr="00AF7B50">
              <w:rPr>
                <w:rFonts w:ascii="Calibri" w:hAnsi="Calibri"/>
                <w:sz w:val="20"/>
                <w:szCs w:val="18"/>
                <w:lang w:eastAsia="en-AU"/>
              </w:rPr>
              <w:t>This output includes delivery of services for older Victorians requiring ongoing care and support in a residential aged care setting.</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A0061B">
            <w:pPr>
              <w:pStyle w:val="OGTabText"/>
              <w:rPr>
                <w:lang w:eastAsia="en-AU"/>
              </w:rPr>
            </w:pPr>
            <w:r w:rsidRPr="00AF7B50">
              <w:rPr>
                <w:lang w:eastAsia="en-AU"/>
              </w:rPr>
              <w:t>Available bed days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days</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1 185 685</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1 193 995</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1 193 995</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1 223 956</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lower 2016</w:t>
            </w:r>
            <w:r w:rsidRPr="00AF7B50">
              <w:noBreakHyphen/>
              <w:t>17 target reflects a number of places becoming temporarily non</w:t>
            </w:r>
            <w:r w:rsidRPr="00AF7B50">
              <w:noBreakHyphen/>
              <w:t>operational.</w:t>
            </w:r>
          </w:p>
        </w:tc>
      </w:tr>
      <w:tr w:rsidR="00E25CC6" w:rsidRPr="00AF7B50" w:rsidTr="0029184E">
        <w:trPr>
          <w:cantSplit/>
        </w:trPr>
        <w:tc>
          <w:tcPr>
            <w:tcW w:w="3146" w:type="dxa"/>
            <w:tcBorders>
              <w:top w:val="nil"/>
              <w:left w:val="nil"/>
              <w:bottom w:val="nil"/>
              <w:right w:val="nil"/>
            </w:tcBorders>
          </w:tcPr>
          <w:p w:rsidR="00E25CC6" w:rsidRPr="00AF7B50" w:rsidRDefault="00E25CC6" w:rsidP="00262444">
            <w:pPr>
              <w:pStyle w:val="OGTabText"/>
              <w:keepN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698 995</w:t>
            </w: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710 764</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717 168</w:t>
            </w: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727 331</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lower 2016</w:t>
            </w:r>
            <w:r w:rsidRPr="00AF7B50">
              <w:noBreakHyphen/>
              <w:t>17 target reflects a number of places becoming temporarily non</w:t>
            </w:r>
            <w:r w:rsidRPr="00AF7B50">
              <w:noBreakHyphen/>
              <w:t>operational.</w:t>
            </w:r>
          </w:p>
        </w:tc>
      </w:tr>
      <w:tr w:rsidR="00E25CC6" w:rsidRPr="00AF7B50" w:rsidTr="0029184E">
        <w:trPr>
          <w:cantSplit/>
        </w:trPr>
        <w:tc>
          <w:tcPr>
            <w:tcW w:w="3146" w:type="dxa"/>
            <w:tcBorders>
              <w:top w:val="nil"/>
              <w:left w:val="nil"/>
              <w:bottom w:val="nil"/>
              <w:right w:val="nil"/>
            </w:tcBorders>
          </w:tcPr>
          <w:p w:rsidR="00E25CC6" w:rsidRPr="00AF7B50" w:rsidRDefault="00E25CC6" w:rsidP="003028E1">
            <w:pPr>
              <w:keepNext/>
              <w:autoSpaceDE w:val="0"/>
              <w:autoSpaceDN w:val="0"/>
              <w:adjustRightInd w:val="0"/>
              <w:spacing w:after="0"/>
              <w:ind w:left="230" w:hanging="230"/>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3028E1">
            <w:pPr>
              <w:pStyle w:val="OGTabText"/>
              <w:keepNext/>
              <w:rPr>
                <w:lang w:eastAsia="en-AU"/>
              </w:rPr>
            </w:pPr>
            <w:r w:rsidRPr="00AF7B50">
              <w:rPr>
                <w:lang w:eastAsia="en-AU"/>
              </w:rPr>
              <w:t>Residential care services accredited</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This performance measure renames the 2015</w:t>
            </w:r>
            <w:r w:rsidRPr="00AF7B50">
              <w:noBreakHyphen/>
              <w:t xml:space="preserve">16 performance measure </w:t>
            </w:r>
            <w:r>
              <w:t>‘</w:t>
            </w:r>
            <w:r w:rsidRPr="00AF7B50">
              <w:t>Residential care services certified and accredited</w:t>
            </w:r>
            <w:r>
              <w:t>’</w:t>
            </w:r>
            <w:r w:rsidRPr="00AF7B50">
              <w:t>. The new measure reports on the same activity as the previous measure, however has been amended for increased clarity.</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366.3</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359.3</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333.2</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337.5</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higher 2016</w:t>
            </w:r>
            <w:r w:rsidRPr="00AF7B50">
              <w:noBreakHyphen/>
              <w:t>17 target primarily reflects funding provided for government policy commitments. The 2015</w:t>
            </w:r>
            <w:r w:rsidRPr="00AF7B50">
              <w:noBreakHyphen/>
              <w:t>16 expected outcome is higher than the 2015</w:t>
            </w:r>
            <w:r w:rsidRPr="00AF7B50">
              <w:noBreakHyphen/>
              <w:t xml:space="preserve">16 target primarily due to a realignment within the Ageing, Aged and Home Care output to reflect the discontinuation of the policy to increase the provision of aged care facilities in the private sector. </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Aged Care Assessment</w:t>
            </w:r>
          </w:p>
        </w:tc>
      </w:tr>
      <w:tr w:rsidR="00E25CC6" w:rsidRPr="00AF7B50" w:rsidTr="005E18CE">
        <w:trPr>
          <w:cantSplit/>
        </w:trPr>
        <w:tc>
          <w:tcPr>
            <w:tcW w:w="7767" w:type="dxa"/>
            <w:gridSpan w:val="6"/>
            <w:tcBorders>
              <w:top w:val="nil"/>
              <w:left w:val="nil"/>
              <w:bottom w:val="single" w:sz="6" w:space="0" w:color="auto"/>
              <w:right w:val="nil"/>
            </w:tcBorders>
          </w:tcPr>
          <w:p w:rsidR="00E25CC6" w:rsidRPr="00AF7B50" w:rsidRDefault="00E25CC6" w:rsidP="00ED78A6">
            <w:pPr>
              <w:pStyle w:val="OGText"/>
              <w:rPr>
                <w:lang w:eastAsia="en-AU"/>
              </w:rPr>
            </w:pPr>
            <w:r w:rsidRPr="00AF7B50">
              <w:rPr>
                <w:lang w:eastAsia="en-AU"/>
              </w:rPr>
              <w:t xml:space="preserve">This output includes delivery of comprehensive assessment of older Victorians requirements for treatment and residential aged care </w:t>
            </w:r>
            <w:r w:rsidRPr="00AF7B50">
              <w:t>services</w:t>
            </w:r>
            <w:r w:rsidRPr="00AF7B50">
              <w:rPr>
                <w:lang w:eastAsia="en-AU"/>
              </w:rPr>
              <w: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Aged Care Assessments</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59 000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59 000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59 000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58 177</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Percentage of priority 1, 2 and 3 clients assessed within the appropriate time – community</w:t>
            </w:r>
            <w:r w:rsidRPr="00AF7B50">
              <w:rPr>
                <w:lang w:eastAsia="en-AU"/>
              </w:rPr>
              <w:noBreakHyphen/>
              <w:t>based assessment</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90.5</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Percentage of priority 1, 2 and 3 clients assessed within the appropriate time – hospital</w:t>
            </w:r>
            <w:r w:rsidRPr="00AF7B50">
              <w:rPr>
                <w:lang w:eastAsia="en-AU"/>
              </w:rPr>
              <w:noBreakHyphen/>
              <w:t>based assessment</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99.1</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62.4</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62.8</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60.4</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55.0</w:t>
            </w:r>
          </w:p>
        </w:tc>
      </w:tr>
      <w:tr w:rsidR="00E25CC6" w:rsidRPr="00AF7B50" w:rsidTr="004C79A4">
        <w:trPr>
          <w:cantSplit/>
        </w:trPr>
        <w:tc>
          <w:tcPr>
            <w:tcW w:w="7767" w:type="dxa"/>
            <w:gridSpan w:val="6"/>
            <w:tcBorders>
              <w:top w:val="nil"/>
              <w:left w:val="nil"/>
              <w:bottom w:val="nil"/>
              <w:right w:val="nil"/>
            </w:tcBorders>
          </w:tcPr>
          <w:p w:rsidR="00E25CC6" w:rsidRPr="00AF7B50" w:rsidRDefault="00E25CC6" w:rsidP="007E43D8">
            <w:pPr>
              <w:pStyle w:val="OGNotes"/>
              <w:rPr>
                <w:rFonts w:cs="Calibri"/>
                <w:sz w:val="19"/>
                <w:szCs w:val="22"/>
              </w:rPr>
            </w:pPr>
            <w:r w:rsidRPr="00AF7B50">
              <w:t>The 2015–16 expected outcome is higher than the 2015-16 target primarily due to the carryover of unspent 2014–15 funding. The higher 2016–17 target primarily reflects the full-year effect of prior year government policy commitments.</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Aged Support Services</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Text"/>
              <w:rPr>
                <w:lang w:eastAsia="en-AU"/>
              </w:rPr>
            </w:pPr>
            <w:r w:rsidRPr="00AF7B50">
              <w:rPr>
                <w:lang w:eastAsia="en-AU"/>
              </w:rPr>
              <w:t>This output includes delivery of a range of community services that support older Victorians and their carers, such as respite services, EyeCare services, Personal Alert Victoria, and pension</w:t>
            </w:r>
            <w:r w:rsidRPr="00AF7B50">
              <w:rPr>
                <w:lang w:eastAsia="en-AU"/>
              </w:rPr>
              <w:noBreakHyphen/>
              <w:t>level Supported Residential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Individuals provided with respite and support services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8 254</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8 254</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8 254</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8 431</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B82016">
            <w:pPr>
              <w:pStyle w:val="OGTabText"/>
              <w:keepNext/>
              <w:rPr>
                <w:lang w:eastAsia="en-AU"/>
              </w:rPr>
            </w:pPr>
            <w:r w:rsidRPr="00AF7B50">
              <w:rPr>
                <w:lang w:eastAsia="en-AU"/>
              </w:rPr>
              <w:t>Number of hours of respite and support services</w:t>
            </w:r>
          </w:p>
        </w:tc>
        <w:tc>
          <w:tcPr>
            <w:tcW w:w="907" w:type="dxa"/>
            <w:tcBorders>
              <w:top w:val="nil"/>
              <w:left w:val="nil"/>
              <w:bottom w:val="nil"/>
              <w:right w:val="nil"/>
            </w:tcBorders>
          </w:tcPr>
          <w:p w:rsidR="00E25CC6" w:rsidRPr="00AF7B50" w:rsidRDefault="00E25CC6" w:rsidP="00B82016">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hours</w:t>
            </w:r>
          </w:p>
        </w:tc>
        <w:tc>
          <w:tcPr>
            <w:tcW w:w="907" w:type="dxa"/>
            <w:tcBorders>
              <w:top w:val="nil"/>
              <w:left w:val="nil"/>
              <w:bottom w:val="nil"/>
              <w:right w:val="nil"/>
            </w:tcBorders>
            <w:shd w:val="clear" w:color="auto" w:fill="DCDCDC"/>
          </w:tcPr>
          <w:p w:rsidR="00E25CC6" w:rsidRPr="00AF7B50" w:rsidRDefault="00E25CC6" w:rsidP="00B82016">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161 250</w:t>
            </w:r>
          </w:p>
        </w:tc>
        <w:tc>
          <w:tcPr>
            <w:tcW w:w="992" w:type="dxa"/>
            <w:tcBorders>
              <w:top w:val="nil"/>
              <w:left w:val="nil"/>
              <w:bottom w:val="nil"/>
              <w:right w:val="nil"/>
            </w:tcBorders>
          </w:tcPr>
          <w:p w:rsidR="00E25CC6" w:rsidRPr="00AF7B50" w:rsidRDefault="00E25CC6" w:rsidP="00B82016">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161 250</w:t>
            </w:r>
          </w:p>
        </w:tc>
        <w:tc>
          <w:tcPr>
            <w:tcW w:w="907" w:type="dxa"/>
            <w:tcBorders>
              <w:top w:val="nil"/>
              <w:left w:val="nil"/>
              <w:bottom w:val="nil"/>
              <w:right w:val="nil"/>
            </w:tcBorders>
          </w:tcPr>
          <w:p w:rsidR="00E25CC6" w:rsidRPr="00AF7B50" w:rsidRDefault="00E25CC6" w:rsidP="00B82016">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161 250</w:t>
            </w:r>
          </w:p>
        </w:tc>
        <w:tc>
          <w:tcPr>
            <w:tcW w:w="908" w:type="dxa"/>
            <w:tcBorders>
              <w:top w:val="nil"/>
              <w:left w:val="nil"/>
              <w:bottom w:val="nil"/>
              <w:right w:val="nil"/>
            </w:tcBorders>
          </w:tcPr>
          <w:p w:rsidR="00E25CC6" w:rsidRPr="00AF7B50" w:rsidRDefault="00E25CC6" w:rsidP="00B82016">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180 878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Pension</w:t>
            </w:r>
            <w:r w:rsidRPr="00AF7B50">
              <w:rPr>
                <w:lang w:eastAsia="en-AU"/>
              </w:rPr>
              <w:noBreakHyphen/>
              <w:t>level beds available in assisted Supported Residential Services facilities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1 876</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1 876</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1 876</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1 876</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Pension</w:t>
            </w:r>
            <w:r w:rsidRPr="00AF7B50">
              <w:rPr>
                <w:lang w:eastAsia="en-AU"/>
              </w:rPr>
              <w:noBreakHyphen/>
              <w:t>level Supported Residential Services residents provided with service coordination and support/brokerage services</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775</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775</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775</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775</w:t>
            </w:r>
          </w:p>
        </w:tc>
      </w:tr>
      <w:tr w:rsidR="00E25CC6" w:rsidRPr="00AF7B50" w:rsidTr="0029184E">
        <w:trPr>
          <w:cantSplit/>
        </w:trPr>
        <w:tc>
          <w:tcPr>
            <w:tcW w:w="3146" w:type="dxa"/>
            <w:tcBorders>
              <w:top w:val="single" w:sz="6" w:space="0" w:color="auto"/>
              <w:left w:val="nil"/>
              <w:bottom w:val="single" w:sz="6" w:space="0" w:color="auto"/>
              <w:right w:val="nil"/>
            </w:tcBorders>
          </w:tcPr>
          <w:p w:rsidR="00E25CC6" w:rsidRPr="00AF7B50" w:rsidRDefault="00E25CC6" w:rsidP="0029184E">
            <w:pPr>
              <w:pStyle w:val="OGTabText"/>
              <w:rPr>
                <w:lang w:eastAsia="en-AU"/>
              </w:rPr>
            </w:pPr>
            <w:r w:rsidRPr="00AF7B50">
              <w:rPr>
                <w:lang w:eastAsia="en-AU"/>
              </w:rPr>
              <w:t>Personal alert units allocated</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27 370</w:t>
            </w:r>
          </w:p>
        </w:tc>
        <w:tc>
          <w:tcPr>
            <w:tcW w:w="992"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27 370</w:t>
            </w:r>
          </w:p>
        </w:tc>
        <w:tc>
          <w:tcPr>
            <w:tcW w:w="907"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27 370</w:t>
            </w:r>
          </w:p>
        </w:tc>
        <w:tc>
          <w:tcPr>
            <w:tcW w:w="908" w:type="dxa"/>
            <w:tcBorders>
              <w:top w:val="single" w:sz="6" w:space="0" w:color="auto"/>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27 371</w:t>
            </w:r>
          </w:p>
        </w:tc>
      </w:tr>
      <w:tr w:rsidR="00E25CC6" w:rsidRPr="00AF7B50" w:rsidTr="0018374E">
        <w:trPr>
          <w:cantSplit/>
        </w:trPr>
        <w:tc>
          <w:tcPr>
            <w:tcW w:w="3146" w:type="dxa"/>
            <w:tcBorders>
              <w:top w:val="single" w:sz="6" w:space="0" w:color="auto"/>
              <w:left w:val="nil"/>
              <w:right w:val="nil"/>
            </w:tcBorders>
          </w:tcPr>
          <w:p w:rsidR="00E25CC6" w:rsidRPr="00AF7B50" w:rsidRDefault="00E25CC6" w:rsidP="0018374E">
            <w:pPr>
              <w:pStyle w:val="OGTabText"/>
              <w:rPr>
                <w:lang w:eastAsia="en-AU"/>
              </w:rPr>
            </w:pPr>
            <w:r w:rsidRPr="00AF7B50">
              <w:rPr>
                <w:lang w:eastAsia="en-AU"/>
              </w:rPr>
              <w:t>Victorian EyeCare Service (occasions of service)</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75 800</w:t>
            </w:r>
          </w:p>
        </w:tc>
        <w:tc>
          <w:tcPr>
            <w:tcW w:w="992"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75 800</w:t>
            </w:r>
          </w:p>
        </w:tc>
        <w:tc>
          <w:tcPr>
            <w:tcW w:w="907"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75 800</w:t>
            </w:r>
          </w:p>
        </w:tc>
        <w:tc>
          <w:tcPr>
            <w:tcW w:w="908" w:type="dxa"/>
            <w:tcBorders>
              <w:top w:val="single" w:sz="6" w:space="0" w:color="auto"/>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75 266</w:t>
            </w:r>
          </w:p>
        </w:tc>
      </w:tr>
      <w:tr w:rsidR="00E25CC6" w:rsidRPr="00AF7B50" w:rsidTr="005E18CE">
        <w:trPr>
          <w:cantSplit/>
        </w:trPr>
        <w:tc>
          <w:tcPr>
            <w:tcW w:w="7767" w:type="dxa"/>
            <w:gridSpan w:val="6"/>
            <w:tcBorders>
              <w:left w:val="nil"/>
              <w:bottom w:val="single" w:sz="6" w:space="0" w:color="auto"/>
              <w:right w:val="nil"/>
            </w:tcBorders>
          </w:tcPr>
          <w:p w:rsidR="00E25CC6" w:rsidRPr="00AF7B50" w:rsidRDefault="00E25CC6" w:rsidP="0018374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Funded research and service development projects for which satisfactory reports have been received</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102.7</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99.8</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111.2</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93.8</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1A7318">
            <w:pPr>
              <w:pStyle w:val="OGNotes"/>
            </w:pPr>
            <w:r w:rsidRPr="00AF7B50">
              <w:t>The 2015</w:t>
            </w:r>
            <w:r w:rsidRPr="00AF7B50">
              <w:noBreakHyphen/>
              <w:t>16 expected outcome is lower than the 2015</w:t>
            </w:r>
            <w:r w:rsidRPr="00AF7B50">
              <w:noBreakHyphen/>
              <w:t>16 target primarily due to a realignment within the Ageing, Aged and Home Care output to reflect the discontinuation of the policy to increase the provision of aged care facilities in the private sector. The lower 2016</w:t>
            </w:r>
            <w:r w:rsidRPr="00AF7B50">
              <w:noBreakHyphen/>
              <w:t>17 target primarily reflects this change.</w:t>
            </w:r>
          </w:p>
        </w:tc>
      </w:tr>
      <w:tr w:rsidR="00E25CC6" w:rsidRPr="00AF7B50" w:rsidTr="0029184E">
        <w:trPr>
          <w:cantSplit/>
        </w:trPr>
        <w:tc>
          <w:tcPr>
            <w:tcW w:w="7767" w:type="dxa"/>
            <w:gridSpan w:val="6"/>
            <w:tcBorders>
              <w:top w:val="single" w:sz="6" w:space="0" w:color="auto"/>
              <w:left w:val="nil"/>
              <w:bottom w:val="nil"/>
              <w:right w:val="nil"/>
            </w:tcBorders>
          </w:tcPr>
          <w:p w:rsidR="00E25CC6" w:rsidRPr="00AF7B50" w:rsidRDefault="00E25CC6" w:rsidP="0029184E">
            <w:pPr>
              <w:pStyle w:val="OGHeading2"/>
              <w:rPr>
                <w:lang w:eastAsia="en-AU"/>
              </w:rPr>
            </w:pPr>
            <w:r w:rsidRPr="00AF7B50">
              <w:rPr>
                <w:lang w:eastAsia="en-AU"/>
              </w:rPr>
              <w:t>HACC Primary Health, Community Care and Support</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29184E">
            <w:pPr>
              <w:pStyle w:val="OGText"/>
              <w:rPr>
                <w:lang w:eastAsia="en-AU"/>
              </w:rPr>
            </w:pPr>
            <w:r w:rsidRPr="00AF7B50">
              <w:rPr>
                <w:lang w:eastAsia="en-AU"/>
              </w:rPr>
              <w:t>This output includes delivery of a range of community-based nursing, allied health and support services enabling frail, older people and younger people with disabilities to maintain their independence in the community. This includes Home and Community Care (HACC) services.</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Clients receiving Home and Community Care services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69 778</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317 600</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317 600</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306 000</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8B1FE6">
            <w:pPr>
              <w:pStyle w:val="OGNotes"/>
            </w:pPr>
            <w:r w:rsidRPr="00AF7B50">
              <w:t>The lower 2016</w:t>
            </w:r>
            <w:r w:rsidRPr="00AF7B50">
              <w:noBreakHyphen/>
              <w:t>17 target reflects the transfer of older people to Commonwealth management and the roll out of younger eligible clients transferring to the National Disability Insurance Scheme.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pStyle w:val="OGTabText"/>
              <w:rPr>
                <w:lang w:eastAsia="en-AU"/>
              </w:rPr>
            </w:pPr>
            <w:r w:rsidRPr="00AF7B50">
              <w:rPr>
                <w:lang w:eastAsia="en-AU"/>
              </w:rPr>
              <w:t>Home and Community Care service delivery hours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2 196</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10 729</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10 729</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11 700</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8B1FE6">
            <w:pPr>
              <w:pStyle w:val="OGNotes"/>
            </w:pPr>
            <w:r w:rsidRPr="00AF7B50">
              <w:t>The lower 2016</w:t>
            </w:r>
            <w:r w:rsidRPr="00AF7B50">
              <w:noBreakHyphen/>
              <w:t>17 target reflects the transfer of older people to Commonwealth management and the roll out of younger eligible clients transferring to the National Disability Insurance Scheme.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3028E1">
            <w:pPr>
              <w:pStyle w:val="OGTabText"/>
              <w:keepN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1 536</w:t>
            </w: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6 249</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6 249</w:t>
            </w: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5 867</w:t>
            </w:r>
          </w:p>
        </w:tc>
      </w:tr>
      <w:tr w:rsidR="00E25CC6" w:rsidRPr="00AF7B50" w:rsidTr="0029184E">
        <w:trPr>
          <w:cantSplit/>
        </w:trPr>
        <w:tc>
          <w:tcPr>
            <w:tcW w:w="7767" w:type="dxa"/>
            <w:gridSpan w:val="6"/>
            <w:tcBorders>
              <w:top w:val="nil"/>
              <w:left w:val="nil"/>
              <w:bottom w:val="single" w:sz="6" w:space="0" w:color="auto"/>
              <w:right w:val="nil"/>
            </w:tcBorders>
          </w:tcPr>
          <w:p w:rsidR="00E25CC6" w:rsidRPr="00AF7B50" w:rsidRDefault="00E25CC6" w:rsidP="00601065">
            <w:pPr>
              <w:pStyle w:val="OGNotes"/>
            </w:pPr>
            <w:r w:rsidRPr="00AF7B50">
              <w:t>The lower 2016</w:t>
            </w:r>
            <w:r w:rsidRPr="00AF7B50">
              <w:noBreakHyphen/>
              <w:t>17 target reflects the transfer of older people to Commonwealth management and the roll out of younger eligible clients transferring to the National Disability Insurance Scheme.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9184E">
        <w:trPr>
          <w:cantSplit/>
        </w:trPr>
        <w:tc>
          <w:tcPr>
            <w:tcW w:w="3146" w:type="dxa"/>
            <w:tcBorders>
              <w:top w:val="nil"/>
              <w:left w:val="nil"/>
              <w:bottom w:val="single" w:sz="6" w:space="0" w:color="auto"/>
              <w:right w:val="nil"/>
            </w:tcBorders>
          </w:tcPr>
          <w:p w:rsidR="00E25CC6" w:rsidRPr="00AF7B50" w:rsidRDefault="00E25CC6" w:rsidP="0029184E">
            <w:pPr>
              <w:pStyle w:val="OGTabText"/>
              <w:rPr>
                <w:lang w:eastAsia="en-AU"/>
              </w:rPr>
            </w:pPr>
            <w:r w:rsidRPr="00AF7B50">
              <w:rPr>
                <w:lang w:eastAsia="en-AU"/>
              </w:rPr>
              <w:t>Eligible population receiving Home and Community Care services</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w:t>
            </w:r>
          </w:p>
        </w:tc>
        <w:tc>
          <w:tcPr>
            <w:tcW w:w="992"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w:t>
            </w:r>
          </w:p>
        </w:tc>
        <w:tc>
          <w:tcPr>
            <w:tcW w:w="907"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w:t>
            </w:r>
          </w:p>
        </w:tc>
        <w:tc>
          <w:tcPr>
            <w:tcW w:w="908" w:type="dxa"/>
            <w:tcBorders>
              <w:top w:val="nil"/>
              <w:left w:val="nil"/>
              <w:bottom w:val="single" w:sz="6" w:space="0" w:color="auto"/>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32.3</w:t>
            </w:r>
          </w:p>
        </w:tc>
      </w:tr>
      <w:tr w:rsidR="00E25CC6" w:rsidRPr="00AF7B50" w:rsidTr="0029184E">
        <w:trPr>
          <w:cantSplit/>
        </w:trPr>
        <w:tc>
          <w:tcPr>
            <w:tcW w:w="3146" w:type="dxa"/>
            <w:tcBorders>
              <w:top w:val="nil"/>
              <w:left w:val="nil"/>
              <w:bottom w:val="nil"/>
              <w:right w:val="nil"/>
            </w:tcBorders>
          </w:tcPr>
          <w:p w:rsidR="00E25CC6" w:rsidRPr="00AF7B50" w:rsidRDefault="00E25CC6" w:rsidP="0029184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29184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29184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4142B9">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239.5</w:t>
            </w:r>
          </w:p>
        </w:tc>
        <w:tc>
          <w:tcPr>
            <w:tcW w:w="992"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732.7</w:t>
            </w:r>
          </w:p>
        </w:tc>
        <w:tc>
          <w:tcPr>
            <w:tcW w:w="907"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774.9</w:t>
            </w:r>
          </w:p>
        </w:tc>
        <w:tc>
          <w:tcPr>
            <w:tcW w:w="908" w:type="dxa"/>
            <w:tcBorders>
              <w:top w:val="nil"/>
              <w:left w:val="nil"/>
              <w:right w:val="nil"/>
            </w:tcBorders>
          </w:tcPr>
          <w:p w:rsidR="00E25CC6" w:rsidRPr="00AF7B50" w:rsidRDefault="00E25CC6" w:rsidP="0029184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709.6</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82765B">
            <w:pPr>
              <w:pStyle w:val="OGNotes"/>
            </w:pPr>
            <w:r w:rsidRPr="00AF7B50">
              <w:t>The lower 2016</w:t>
            </w:r>
            <w:r w:rsidRPr="00AF7B50">
              <w:noBreakHyphen/>
              <w:t>17 target is primarily due to the transfer of responsibilities to the Commonwealth for aged care and the planned entry of clients to the National Disability Insurance Scheme.</w:t>
            </w:r>
          </w:p>
          <w:p w:rsidR="00E25CC6" w:rsidRPr="00AF7B50" w:rsidRDefault="00E25CC6" w:rsidP="0082765B">
            <w:pPr>
              <w:pStyle w:val="OGNotes"/>
            </w:pPr>
            <w:r w:rsidRPr="00AF7B50">
              <w:t>The 2015</w:t>
            </w:r>
            <w:r w:rsidRPr="00AF7B50">
              <w:noBreakHyphen/>
              <w:t>16 expected outcome is lower than the 2015</w:t>
            </w:r>
            <w:r w:rsidRPr="00AF7B50">
              <w:noBreakHyphen/>
              <w:t xml:space="preserve">16 target primarily due to lower than estimated Commonwealth funding and a realignment within the Ageing, Aged and Home Care output. </w:t>
            </w:r>
          </w:p>
        </w:tc>
      </w:tr>
    </w:tbl>
    <w:p w:rsidR="00E25CC6" w:rsidRPr="00AF7B50" w:rsidRDefault="00E25CC6" w:rsidP="00262444">
      <w:pPr>
        <w:pStyle w:val="Source"/>
      </w:pPr>
      <w:r w:rsidRPr="00AF7B50">
        <w:t>Source: Department of Health and Human Services</w:t>
      </w:r>
      <w:bookmarkEnd w:id="77"/>
      <w:r w:rsidRPr="00AF7B50">
        <w:t xml:space="preserve"> </w:t>
      </w:r>
      <w:r w:rsidRPr="00AF7B50">
        <w:fldChar w:fldCharType="begin"/>
      </w:r>
      <w:r w:rsidRPr="00AF7B50">
        <w:instrText xml:space="preserve"> XE "Department of Health and Human Services:Ageing, Aged and Home Care" \r "DHHS_AgedCare" </w:instrText>
      </w:r>
      <w:r w:rsidRPr="00AF7B50">
        <w:fldChar w:fldCharType="end"/>
      </w:r>
      <w:r>
        <w:t xml:space="preserve"> </w:t>
      </w:r>
      <w:r w:rsidRPr="00AF7B50">
        <w:fldChar w:fldCharType="begin"/>
      </w:r>
      <w:r w:rsidRPr="00AF7B50">
        <w:instrText xml:space="preserve"> XE "Health:Ageing, Aged and Home Care" \r "DHHS_AgedCare" </w:instrText>
      </w:r>
      <w:r w:rsidRPr="00AF7B50">
        <w:fldChar w:fldCharType="end"/>
      </w:r>
      <w:r>
        <w:t xml:space="preserve"> </w:t>
      </w:r>
      <w:r>
        <w:fldChar w:fldCharType="begin"/>
      </w:r>
      <w:r>
        <w:instrText xml:space="preserve"> XE "</w:instrText>
      </w:r>
      <w:r w:rsidRPr="009F2792">
        <w:instrText>Ageing, Aged and Home Care</w:instrText>
      </w:r>
      <w:r>
        <w:instrText xml:space="preserve">" \r "DHHS_AgedCare" </w:instrText>
      </w:r>
      <w:r>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Primary, Community and Dental Health</w:t>
      </w:r>
    </w:p>
    <w:p w:rsidR="00E25CC6" w:rsidRPr="00AF7B50" w:rsidRDefault="00E25CC6" w:rsidP="00262444">
      <w:pPr>
        <w:pStyle w:val="OGText"/>
        <w:rPr>
          <w:rFonts w:eastAsiaTheme="minorHAnsi"/>
        </w:rPr>
      </w:pPr>
      <w:bookmarkStart w:id="78" w:name="DHHS_PrimComDentHlth"/>
      <w:r w:rsidRPr="00AF7B50">
        <w:rPr>
          <w:rFonts w:eastAsiaTheme="minorHAnsi"/>
        </w:rPr>
        <w:t>Primary, Community and Dental Health outputs, through the provision of a range of in</w:t>
      </w:r>
      <w:r w:rsidRPr="00AF7B50">
        <w:rPr>
          <w:rFonts w:eastAsiaTheme="minorHAnsi"/>
        </w:rPr>
        <w:noBreakHyphen/>
        <w:t>home, community</w:t>
      </w:r>
      <w:r w:rsidRPr="00AF7B50">
        <w:rPr>
          <w:rFonts w:eastAsiaTheme="minorHAnsi"/>
        </w:rPr>
        <w:noBreakHyphen/>
        <w:t>based, community, primary health and dental services promote health and wellbeing and prevent the onset of more serious illnesses.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3028E1">
        <w:trPr>
          <w:cantSplit/>
        </w:trPr>
        <w:tc>
          <w:tcPr>
            <w:tcW w:w="7767" w:type="dxa"/>
            <w:gridSpan w:val="6"/>
            <w:tcBorders>
              <w:top w:val="single" w:sz="6" w:space="0" w:color="auto"/>
              <w:left w:val="nil"/>
              <w:right w:val="nil"/>
            </w:tcBorders>
          </w:tcPr>
          <w:p w:rsidR="00E25CC6" w:rsidRPr="00AF7B50" w:rsidRDefault="00E25CC6" w:rsidP="0029184E">
            <w:pPr>
              <w:pStyle w:val="OGHeading2"/>
              <w:rPr>
                <w:lang w:eastAsia="en-AU"/>
              </w:rPr>
            </w:pPr>
            <w:r w:rsidRPr="00AF7B50">
              <w:rPr>
                <w:lang w:eastAsia="en-AU"/>
              </w:rPr>
              <w:t>Community Health Care</w:t>
            </w:r>
          </w:p>
        </w:tc>
      </w:tr>
      <w:tr w:rsidR="00E25CC6" w:rsidRPr="00AF7B50" w:rsidTr="003028E1">
        <w:trPr>
          <w:cantSplit/>
        </w:trPr>
        <w:tc>
          <w:tcPr>
            <w:tcW w:w="7767" w:type="dxa"/>
            <w:gridSpan w:val="6"/>
            <w:tcBorders>
              <w:left w:val="nil"/>
              <w:bottom w:val="nil"/>
              <w:right w:val="nil"/>
            </w:tcBorders>
          </w:tcPr>
          <w:p w:rsidR="00E25CC6" w:rsidRPr="00AF7B50" w:rsidRDefault="00E25CC6" w:rsidP="003028E1">
            <w:pPr>
              <w:pStyle w:val="OGText"/>
              <w:rPr>
                <w:lang w:eastAsia="en-AU"/>
              </w:rPr>
            </w:pPr>
            <w:r w:rsidRPr="00AF7B50">
              <w:rPr>
                <w:lang w:eastAsia="en-AU"/>
              </w:rPr>
              <w:t>This output includes delivery of a range of community care and support services, including counselling, allied health and nursing, that enable people to continue to live independently in the community.</w:t>
            </w:r>
          </w:p>
        </w:tc>
      </w:tr>
      <w:tr w:rsidR="00E25CC6" w:rsidRPr="00AF7B50" w:rsidTr="00C336DE">
        <w:trPr>
          <w:cantSplit/>
        </w:trPr>
        <w:tc>
          <w:tcPr>
            <w:tcW w:w="3146" w:type="dxa"/>
            <w:tcBorders>
              <w:top w:val="single" w:sz="4" w:space="0" w:color="auto"/>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single" w:sz="4" w:space="0" w:color="auto"/>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4"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single" w:sz="4"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single" w:sz="4"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single" w:sz="4"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Better Health Channel visits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37 000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53 142</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lower than the 2015</w:t>
            </w:r>
            <w:r w:rsidRPr="00AF7B50">
              <w:noBreakHyphen/>
              <w:t>16 target due to an anticipated drop in traffic as the Better Health Channel website is restructured.</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referrals made using secure electronic referral systems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250 000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250 000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250 000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250 000</w:t>
            </w:r>
          </w:p>
        </w:tc>
      </w:tr>
      <w:tr w:rsidR="00E25CC6" w:rsidRPr="00AF7B50" w:rsidTr="00D93717">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Primary Care Partnerships with reviewed and updated Strategic Plans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D93717">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Rate of admissions for Ambulatory care sensitive chronic conditions for Aboriginal Victorians</w:t>
            </w:r>
          </w:p>
        </w:tc>
        <w:tc>
          <w:tcPr>
            <w:tcW w:w="907" w:type="dxa"/>
            <w:tcBorders>
              <w:top w:val="single" w:sz="6" w:space="0" w:color="auto"/>
              <w:left w:val="nil"/>
              <w:bottom w:val="single" w:sz="6" w:space="0" w:color="auto"/>
              <w:right w:val="nil"/>
            </w:tcBorders>
          </w:tcPr>
          <w:p w:rsidR="00E25CC6" w:rsidRPr="00AF7B50" w:rsidRDefault="00E25CC6" w:rsidP="004F5AF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rate</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30.9</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30.9</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30.9</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13.9</w:t>
            </w:r>
          </w:p>
        </w:tc>
      </w:tr>
      <w:tr w:rsidR="00E25CC6" w:rsidRPr="00AF7B50" w:rsidTr="00D93717">
        <w:trPr>
          <w:cantSplit/>
        </w:trPr>
        <w:tc>
          <w:tcPr>
            <w:tcW w:w="3146" w:type="dxa"/>
            <w:tcBorders>
              <w:top w:val="single" w:sz="6" w:space="0" w:color="auto"/>
              <w:left w:val="nil"/>
              <w:bottom w:val="nil"/>
              <w:right w:val="nil"/>
            </w:tcBorders>
          </w:tcPr>
          <w:p w:rsidR="00E25CC6" w:rsidRPr="00AF7B50" w:rsidRDefault="00E25CC6" w:rsidP="00C336DE">
            <w:pPr>
              <w:pStyle w:val="OGTabText"/>
              <w:rPr>
                <w:lang w:eastAsia="en-AU"/>
              </w:rPr>
            </w:pPr>
            <w:r w:rsidRPr="00AF7B50">
              <w:rPr>
                <w:lang w:eastAsia="en-AU"/>
              </w:rPr>
              <w:t>Service delivery hours in community health care</w:t>
            </w:r>
          </w:p>
        </w:tc>
        <w:tc>
          <w:tcPr>
            <w:tcW w:w="907"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1 000</w:t>
            </w:r>
          </w:p>
        </w:tc>
        <w:tc>
          <w:tcPr>
            <w:tcW w:w="992"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988</w:t>
            </w:r>
          </w:p>
        </w:tc>
        <w:tc>
          <w:tcPr>
            <w:tcW w:w="907"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988</w:t>
            </w:r>
          </w:p>
        </w:tc>
        <w:tc>
          <w:tcPr>
            <w:tcW w:w="908"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1 071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F05499">
            <w:pPr>
              <w:pStyle w:val="OGNotes"/>
            </w:pPr>
            <w:r w:rsidRPr="00AF7B50">
              <w:t>The higher 2016</w:t>
            </w:r>
            <w:r w:rsidRPr="00AF7B50">
              <w:noBreakHyphen/>
              <w:t>17 target reflects additional activity under the Multidisciplinary Centres for Sexual Assault program and changes in service mix.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1 074</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1 061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1 061</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1 150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1B05FE">
            <w:pPr>
              <w:pStyle w:val="OGNotes"/>
            </w:pPr>
            <w:r w:rsidRPr="00AF7B50">
              <w:t>The higher 2016</w:t>
            </w:r>
            <w:r w:rsidRPr="00AF7B50">
              <w:noBreakHyphen/>
              <w:t>17 target reflects additional activity under the Multidisciplinary Centres for Sexual Assault program and changes in service mix.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Agencies with an Integrated Health Promotion plan that meets the stipulated planning requirements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D40F7B">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261.3</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244.0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244.5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232.1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primarily reflects funding provided for government policy commitments.</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Dental Services</w:t>
            </w:r>
          </w:p>
        </w:tc>
      </w:tr>
      <w:tr w:rsidR="00E25CC6" w:rsidRPr="00AF7B50" w:rsidTr="003028E1">
        <w:trPr>
          <w:cantSplit/>
        </w:trPr>
        <w:tc>
          <w:tcPr>
            <w:tcW w:w="7767" w:type="dxa"/>
            <w:gridSpan w:val="6"/>
            <w:tcBorders>
              <w:top w:val="nil"/>
              <w:left w:val="nil"/>
              <w:bottom w:val="single" w:sz="6" w:space="0" w:color="auto"/>
              <w:right w:val="nil"/>
            </w:tcBorders>
          </w:tcPr>
          <w:p w:rsidR="00E25CC6" w:rsidRPr="00AF7B50" w:rsidRDefault="00E25CC6" w:rsidP="003028E1">
            <w:pPr>
              <w:pStyle w:val="OGText"/>
              <w:rPr>
                <w:rFonts w:cs="Calibri"/>
                <w:sz w:val="19"/>
                <w:szCs w:val="22"/>
                <w:lang w:eastAsia="en-AU"/>
              </w:rPr>
            </w:pPr>
            <w:r w:rsidRPr="00AF7B50">
              <w:rPr>
                <w:lang w:eastAsia="en-AU"/>
              </w:rPr>
              <w:t>This output includes delivery of a range of dental health services to support health and wellbeing in the community.</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Persons treated</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332 150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363 412</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332 150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365 357</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800D63">
            <w:pPr>
              <w:pStyle w:val="OGNotes"/>
            </w:pPr>
            <w:r w:rsidRPr="00AF7B50">
              <w:t>The 2015</w:t>
            </w:r>
            <w:r w:rsidRPr="00AF7B50">
              <w:noBreakHyphen/>
              <w:t>16 expected outcome is higher than the 2015</w:t>
            </w:r>
            <w:r w:rsidRPr="00AF7B50">
              <w:noBreakHyphen/>
              <w:t>16 target due to additional activity from the National Partnership Agreement on Adult Public Dental Services.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1 413</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1 546</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1 413</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1 555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800D63">
            <w:pPr>
              <w:pStyle w:val="OGNotes"/>
            </w:pPr>
            <w:r w:rsidRPr="00AF7B50">
              <w:t>The 2015</w:t>
            </w:r>
            <w:r w:rsidRPr="00AF7B50">
              <w:noBreakHyphen/>
              <w:t>16 expected outcome is higher than the 2015</w:t>
            </w:r>
            <w:r w:rsidRPr="00AF7B50">
              <w:noBreakHyphen/>
              <w:t>16 target due to additional activity from the National Partnership Agreement on Adult Public Dental Services.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Ratio of emergency to general courses of dental care</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ratio</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40:60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40:60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40:60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40:60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Waiting time for dentures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months</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12.2</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8350C5">
            <w:pPr>
              <w:pStyle w:val="OGNotes"/>
            </w:pPr>
            <w:r w:rsidRPr="00AF7B50">
              <w:t>The 2015</w:t>
            </w:r>
            <w:r w:rsidRPr="00AF7B50">
              <w:noBreakHyphen/>
              <w:t>16 expected outcome is lower than the 2015</w:t>
            </w:r>
            <w:r w:rsidRPr="00AF7B50">
              <w:noBreakHyphen/>
              <w:t>16 target due to additional activity from the National Partnership Agreement on Adult Public Dental Services.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Waiting time for restorative dental care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months</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11.8</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8350C5">
            <w:pPr>
              <w:pStyle w:val="OGNotes"/>
            </w:pPr>
            <w:r w:rsidRPr="00AF7B50">
              <w:t>The 2015</w:t>
            </w:r>
            <w:r w:rsidRPr="00AF7B50">
              <w:noBreakHyphen/>
              <w:t>16 expected outcome is lower than the 2015</w:t>
            </w:r>
            <w:r w:rsidRPr="00AF7B50">
              <w:noBreakHyphen/>
              <w:t>16 target due to additional activity from the National Partnership Agreement on Adult Public Dental Services.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206.2</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243.3</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207.8</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222.9</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 xml:space="preserve">16 target primarily due to additional Commonwealth funding under the National Partnership Agreement for Adult Public Dental Services, negotiations for which had not been concluded at the publication of the </w:t>
            </w:r>
            <w:r w:rsidRPr="00AF7B50">
              <w:rPr>
                <w:i w:val="0"/>
              </w:rPr>
              <w:t>2015</w:t>
            </w:r>
            <w:r w:rsidRPr="00AF7B50">
              <w:rPr>
                <w:i w:val="0"/>
              </w:rPr>
              <w:noBreakHyphen/>
              <w:t>16 Budget</w:t>
            </w:r>
            <w:r w:rsidRPr="00AF7B50">
              <w:t>. The lower 2016–17 target reflects non-recurrent capital payments to non-government organisations and denominational health services that were included in the 2015–16 target, partially offset by price escalation.</w:t>
            </w:r>
          </w:p>
        </w:tc>
      </w:tr>
    </w:tbl>
    <w:p w:rsidR="00E25CC6" w:rsidRPr="00AF7B50" w:rsidRDefault="00E25CC6" w:rsidP="00262444">
      <w:pPr>
        <w:pStyle w:val="Source"/>
      </w:pPr>
      <w:r w:rsidRPr="00AF7B50">
        <w:t>Source: Department of Health and Human Services</w:t>
      </w:r>
      <w:bookmarkEnd w:id="78"/>
      <w:r w:rsidRPr="00AF7B50">
        <w:t xml:space="preserve"> </w:t>
      </w:r>
      <w:r w:rsidRPr="00AF7B50">
        <w:fldChar w:fldCharType="begin"/>
      </w:r>
      <w:r w:rsidRPr="00AF7B50">
        <w:instrText xml:space="preserve"> XE "Department of Health and Human Services:Primary, Community and Dental Health" \r "DHHS_PrimComDentHlth" </w:instrText>
      </w:r>
      <w:r w:rsidRPr="00AF7B50">
        <w:fldChar w:fldCharType="end"/>
      </w:r>
      <w:r>
        <w:t xml:space="preserve"> </w:t>
      </w:r>
      <w:r w:rsidRPr="00AF7B50">
        <w:fldChar w:fldCharType="begin"/>
      </w:r>
      <w:r w:rsidRPr="00AF7B50">
        <w:instrText xml:space="preserve"> XE "Health:Primary, Community and Dental Health" \r "DHHS_PrimComDentHlth" </w:instrText>
      </w:r>
      <w:r w:rsidRPr="00AF7B50">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Small Rural Services</w:t>
      </w:r>
    </w:p>
    <w:p w:rsidR="00E25CC6" w:rsidRPr="00AF7B50" w:rsidRDefault="00E25CC6" w:rsidP="00262444">
      <w:pPr>
        <w:pStyle w:val="OGText"/>
        <w:rPr>
          <w:rFonts w:eastAsiaTheme="minorHAnsi"/>
        </w:rPr>
      </w:pPr>
      <w:bookmarkStart w:id="79" w:name="DHHS_SmlRurlSvces"/>
      <w:r w:rsidRPr="00AF7B50">
        <w:rPr>
          <w:rFonts w:eastAsiaTheme="minorHAnsi"/>
        </w:rPr>
        <w:t>Small Rural Services include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w:t>
      </w:r>
      <w:r w:rsidRPr="00AF7B50">
        <w:rPr>
          <w:rFonts w:eastAsiaTheme="minorHAnsi"/>
        </w:rPr>
        <w:noBreakHyphen/>
        <w:t>purpose services and public sector residential aged care services.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226F58">
        <w:trPr>
          <w:cantSplit/>
        </w:trPr>
        <w:tc>
          <w:tcPr>
            <w:tcW w:w="7767" w:type="dxa"/>
            <w:gridSpan w:val="6"/>
            <w:tcBorders>
              <w:top w:val="single" w:sz="6" w:space="0" w:color="auto"/>
              <w:left w:val="nil"/>
              <w:right w:val="nil"/>
            </w:tcBorders>
          </w:tcPr>
          <w:p w:rsidR="00E25CC6" w:rsidRPr="00AF7B50" w:rsidRDefault="00E25CC6" w:rsidP="00D40F7B">
            <w:pPr>
              <w:pStyle w:val="OGHeading2"/>
              <w:rPr>
                <w:lang w:eastAsia="en-AU"/>
              </w:rPr>
            </w:pPr>
            <w:r w:rsidRPr="00AF7B50">
              <w:rPr>
                <w:lang w:eastAsia="en-AU"/>
              </w:rPr>
              <w:t xml:space="preserve">Small Rural Services – Acute Health </w:t>
            </w:r>
          </w:p>
        </w:tc>
      </w:tr>
      <w:tr w:rsidR="00E25CC6" w:rsidRPr="00AF7B50" w:rsidTr="00226F58">
        <w:trPr>
          <w:cantSplit/>
        </w:trPr>
        <w:tc>
          <w:tcPr>
            <w:tcW w:w="7767" w:type="dxa"/>
            <w:gridSpan w:val="6"/>
            <w:tcBorders>
              <w:left w:val="nil"/>
              <w:bottom w:val="single" w:sz="6" w:space="0" w:color="auto"/>
              <w:right w:val="nil"/>
            </w:tcBorders>
          </w:tcPr>
          <w:p w:rsidR="00E25CC6" w:rsidRPr="00AF7B50" w:rsidRDefault="00E25CC6" w:rsidP="00DF3111">
            <w:pPr>
              <w:pStyle w:val="OGText"/>
              <w:rPr>
                <w:lang w:eastAsia="en-AU"/>
              </w:rPr>
            </w:pPr>
            <w:r w:rsidRPr="00AF7B50">
              <w:rPr>
                <w:lang w:eastAsia="en-AU"/>
              </w:rPr>
              <w:t>Admitted and non</w:t>
            </w:r>
            <w:r w:rsidRPr="00AF7B50">
              <w:rPr>
                <w:lang w:eastAsia="en-AU"/>
              </w:rPr>
              <w:noBreakHyphen/>
              <w:t>admitted services delivered by small rural services, including elective and non</w:t>
            </w:r>
            <w:r w:rsidRPr="00AF7B50">
              <w:rPr>
                <w:lang w:eastAsia="en-AU"/>
              </w:rPr>
              <w:noBreakHyphen/>
              <w:t>elective surgical and medical care, accident and emergency services, and maternity services.</w:t>
            </w:r>
          </w:p>
        </w:tc>
      </w:tr>
      <w:tr w:rsidR="00E25CC6" w:rsidRPr="00AF7B50" w:rsidTr="00226F58">
        <w:trPr>
          <w:cantSplit/>
        </w:trPr>
        <w:tc>
          <w:tcPr>
            <w:tcW w:w="3146" w:type="dxa"/>
            <w:tcBorders>
              <w:top w:val="single" w:sz="6" w:space="0" w:color="auto"/>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Separations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41.6</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36.7</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41.6</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36.9</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lower than the 2015</w:t>
            </w:r>
            <w:r w:rsidRPr="00AF7B50">
              <w:noBreakHyphen/>
              <w:t>16 target due to permissible use of Small Rural Acute output funding to provide admitted care, home care, primary health and other services to meet local needs. The 2015 Small Rural Health Service funding review has recommended changes to this measure in 2017</w:t>
            </w:r>
            <w:r w:rsidRPr="00AF7B50">
              <w:noBreakHyphen/>
              <w:t>18 in line with implementing a new funding model.</w:t>
            </w:r>
          </w:p>
        </w:tc>
      </w:tr>
      <w:tr w:rsidR="00E25CC6" w:rsidRPr="00AF7B50" w:rsidTr="00C336DE">
        <w:trPr>
          <w:cantSplit/>
        </w:trPr>
        <w:tc>
          <w:tcPr>
            <w:tcW w:w="3146" w:type="dxa"/>
            <w:tcBorders>
              <w:top w:val="nil"/>
              <w:left w:val="nil"/>
              <w:bottom w:val="nil"/>
              <w:right w:val="nil"/>
            </w:tcBorders>
          </w:tcPr>
          <w:p w:rsidR="00E25CC6" w:rsidRPr="00AF7B50" w:rsidRDefault="00E25CC6" w:rsidP="003028E1">
            <w:pPr>
              <w:pStyle w:val="OGTabText"/>
              <w:keepN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1 298</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1 240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1 298</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1 201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lower than the 2015</w:t>
            </w:r>
            <w:r w:rsidRPr="00AF7B50">
              <w:noBreakHyphen/>
              <w:t>16 target due to permissible use of Small Rural Acute output funding to provide admitted care, home care, primary health and other services to meet local needs. The 2015 Small Rural Health Service funding review has recommended changes to this measure in 2017</w:t>
            </w:r>
            <w:r w:rsidRPr="00AF7B50">
              <w:noBreakHyphen/>
              <w:t>18 in line with implementing a new funding model.</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Weighted Inlier Equivalent Separations (WIES)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25.7</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24.2</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25.7</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lower than the 2015</w:t>
            </w:r>
            <w:r w:rsidRPr="00AF7B50">
              <w:noBreakHyphen/>
              <w:t>16 target due to permissible use of Small Rural Acute output funding to provide admitted care, home care, primary health and other services to meet local needs. The 2015 Small Rural Health Service funding review has recommended changes to this measure in 2017</w:t>
            </w:r>
            <w:r w:rsidRPr="00AF7B50">
              <w:noBreakHyphen/>
              <w:t>18 in line with implementing a new funding model.</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Beds accredited</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341.4</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329.8</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334.5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314.3</w:t>
            </w:r>
          </w:p>
        </w:tc>
      </w:tr>
      <w:tr w:rsidR="00E25CC6" w:rsidRPr="00AF7B50" w:rsidTr="004C79A4">
        <w:trPr>
          <w:cantSplit/>
        </w:trPr>
        <w:tc>
          <w:tcPr>
            <w:tcW w:w="7767" w:type="dxa"/>
            <w:gridSpan w:val="6"/>
            <w:tcBorders>
              <w:top w:val="nil"/>
              <w:left w:val="nil"/>
              <w:bottom w:val="nil"/>
              <w:right w:val="nil"/>
            </w:tcBorders>
          </w:tcPr>
          <w:p w:rsidR="00E25CC6" w:rsidRPr="00AF7B50" w:rsidRDefault="00E25CC6" w:rsidP="00D04794">
            <w:pPr>
              <w:pStyle w:val="OGNotes"/>
              <w:rPr>
                <w:rFonts w:cs="Calibri"/>
                <w:sz w:val="19"/>
                <w:szCs w:val="22"/>
              </w:rPr>
            </w:pPr>
            <w:r w:rsidRPr="00AF7B50">
              <w:t>The higher 2016-17 target primarily reflects funding provided for government policy commitments.</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D40F7B">
            <w:pPr>
              <w:pStyle w:val="OGHeading2"/>
              <w:rPr>
                <w:lang w:eastAsia="en-AU"/>
              </w:rPr>
            </w:pPr>
            <w:r w:rsidRPr="00AF7B50">
              <w:rPr>
                <w:lang w:eastAsia="en-AU"/>
              </w:rPr>
              <w:t xml:space="preserve">Small Rural Services – Aged Care </w:t>
            </w:r>
          </w:p>
        </w:tc>
      </w:tr>
      <w:tr w:rsidR="00E25CC6" w:rsidRPr="00AF7B50" w:rsidTr="003028E1">
        <w:trPr>
          <w:cantSplit/>
        </w:trPr>
        <w:tc>
          <w:tcPr>
            <w:tcW w:w="7767" w:type="dxa"/>
            <w:gridSpan w:val="6"/>
            <w:tcBorders>
              <w:top w:val="nil"/>
              <w:left w:val="nil"/>
              <w:bottom w:val="single" w:sz="6" w:space="0" w:color="auto"/>
              <w:right w:val="nil"/>
            </w:tcBorders>
          </w:tcPr>
          <w:p w:rsidR="00E25CC6" w:rsidRPr="00AF7B50" w:rsidRDefault="00E25CC6" w:rsidP="00191E20">
            <w:pPr>
              <w:pStyle w:val="OGText"/>
              <w:rPr>
                <w:rFonts w:cs="Calibri"/>
                <w:sz w:val="19"/>
                <w:szCs w:val="22"/>
                <w:lang w:eastAsia="en-AU"/>
              </w:rPr>
            </w:pPr>
            <w:r w:rsidRPr="00AF7B50">
              <w:rPr>
                <w:lang w:eastAsia="en-AU"/>
              </w:rPr>
              <w:t>This output includes delivery of in</w:t>
            </w:r>
            <w:r w:rsidRPr="00AF7B50">
              <w:rPr>
                <w:rFonts w:eastAsiaTheme="minorHAnsi"/>
              </w:rPr>
              <w:noBreakHyphen/>
            </w:r>
            <w:r w:rsidRPr="00AF7B50">
              <w:rPr>
                <w:lang w:eastAsia="en-AU"/>
              </w:rPr>
              <w:t>home, community</w:t>
            </w:r>
            <w:r w:rsidRPr="00AF7B50">
              <w:rPr>
                <w:lang w:eastAsia="en-AU"/>
              </w:rPr>
              <w:noBreakHyphen/>
              <w:t>based and residential care services for older people, delivered in small rural towns.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Small Rural Available Bed Days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days</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701 143</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706 200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706 200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705 435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lower 2016</w:t>
            </w:r>
            <w:r w:rsidRPr="00AF7B50">
              <w:noBreakHyphen/>
              <w:t>17 target reflects the planned reduction in beds for two residential aged care services being consolidated into one new facility.</w:t>
            </w:r>
          </w:p>
        </w:tc>
      </w:tr>
      <w:tr w:rsidR="00E25CC6" w:rsidRPr="00AF7B50" w:rsidTr="00C336DE">
        <w:trPr>
          <w:cantSplit/>
        </w:trPr>
        <w:tc>
          <w:tcPr>
            <w:tcW w:w="3146" w:type="dxa"/>
            <w:tcBorders>
              <w:top w:val="nil"/>
              <w:left w:val="nil"/>
              <w:bottom w:val="nil"/>
              <w:right w:val="nil"/>
            </w:tcBorders>
          </w:tcPr>
          <w:p w:rsidR="00E25CC6" w:rsidRPr="00AF7B50" w:rsidRDefault="00E25CC6" w:rsidP="007A0CD9">
            <w:pPr>
              <w:pStyle w:val="OGTabText"/>
              <w:keepN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7A0CD9">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344 328</w:t>
            </w:r>
          </w:p>
        </w:tc>
        <w:tc>
          <w:tcPr>
            <w:tcW w:w="992"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344 884</w:t>
            </w:r>
          </w:p>
        </w:tc>
        <w:tc>
          <w:tcPr>
            <w:tcW w:w="907"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354 033</w:t>
            </w:r>
          </w:p>
        </w:tc>
        <w:tc>
          <w:tcPr>
            <w:tcW w:w="908"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342 544</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lower 2016</w:t>
            </w:r>
            <w:r w:rsidRPr="00AF7B50">
              <w:noBreakHyphen/>
              <w:t>17 target reflects the planned reduction in beds following the consolidation of two residential aged care services into one new facility, and takes into account changes to unit price. The 2015</w:t>
            </w:r>
            <w:r w:rsidRPr="00AF7B50">
              <w:noBreakHyphen/>
              <w:t xml:space="preserve">16 target was incorrectly published in the </w:t>
            </w:r>
            <w:r w:rsidRPr="00AF7B50">
              <w:rPr>
                <w:i w:val="0"/>
              </w:rPr>
              <w:t>2015</w:t>
            </w:r>
            <w:r w:rsidRPr="00AF7B50">
              <w:rPr>
                <w:i w:val="0"/>
              </w:rPr>
              <w:noBreakHyphen/>
              <w:t>16 Budget Paper 3</w:t>
            </w:r>
            <w:r w:rsidRPr="00AF7B50">
              <w: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Residential care services accredited</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This performance measure renames the 2015</w:t>
            </w:r>
            <w:r w:rsidRPr="00AF7B50">
              <w:noBreakHyphen/>
              <w:t xml:space="preserve">16 performance measure </w:t>
            </w:r>
            <w:r>
              <w:t>‘</w:t>
            </w:r>
            <w:r w:rsidRPr="00AF7B50">
              <w:t>Residential care services certified and accredited</w:t>
            </w:r>
            <w:r>
              <w:t>’</w:t>
            </w:r>
            <w:r w:rsidRPr="00AF7B50">
              <w:t>. The new measure reports on the same activity as the previous measure, however has been amended for increased clarity.</w:t>
            </w:r>
          </w:p>
        </w:tc>
      </w:tr>
      <w:tr w:rsidR="00E25CC6" w:rsidRPr="00AF7B50" w:rsidTr="00E837EF">
        <w:trPr>
          <w:cantSplit/>
        </w:trPr>
        <w:tc>
          <w:tcPr>
            <w:tcW w:w="3146" w:type="dxa"/>
            <w:tcBorders>
              <w:top w:val="nil"/>
              <w:left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823749">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192.4</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188.1</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189.4</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178.7</w:t>
            </w:r>
          </w:p>
        </w:tc>
      </w:tr>
      <w:tr w:rsidR="00E25CC6" w:rsidRPr="00AF7B50" w:rsidTr="004C79A4">
        <w:trPr>
          <w:cantSplit/>
        </w:trPr>
        <w:tc>
          <w:tcPr>
            <w:tcW w:w="7767" w:type="dxa"/>
            <w:gridSpan w:val="6"/>
            <w:tcBorders>
              <w:top w:val="nil"/>
              <w:left w:val="nil"/>
              <w:bottom w:val="single" w:sz="6" w:space="0" w:color="auto"/>
              <w:right w:val="nil"/>
            </w:tcBorders>
          </w:tcPr>
          <w:p w:rsidR="00E25CC6" w:rsidRPr="00AF7B50" w:rsidRDefault="00E25CC6" w:rsidP="004C79A4">
            <w:pPr>
              <w:pStyle w:val="OGNotes"/>
              <w:rPr>
                <w:rFonts w:cs="Calibri"/>
                <w:sz w:val="19"/>
                <w:szCs w:val="22"/>
              </w:rPr>
            </w:pPr>
            <w:r w:rsidRPr="00AF7B50">
              <w:t>The higher 2016-17 target primarily reflects price escalation.</w:t>
            </w:r>
          </w:p>
        </w:tc>
      </w:tr>
      <w:tr w:rsidR="00E25CC6" w:rsidRPr="00AF7B50" w:rsidTr="00E837EF">
        <w:trPr>
          <w:cantSplit/>
        </w:trPr>
        <w:tc>
          <w:tcPr>
            <w:tcW w:w="7767" w:type="dxa"/>
            <w:gridSpan w:val="6"/>
            <w:tcBorders>
              <w:top w:val="single" w:sz="6" w:space="0" w:color="auto"/>
              <w:left w:val="nil"/>
              <w:bottom w:val="nil"/>
              <w:right w:val="nil"/>
            </w:tcBorders>
          </w:tcPr>
          <w:p w:rsidR="00E25CC6" w:rsidRPr="00AF7B50" w:rsidRDefault="00E25CC6" w:rsidP="00515469">
            <w:pPr>
              <w:pStyle w:val="OGHeading2"/>
              <w:rPr>
                <w:lang w:eastAsia="en-AU"/>
              </w:rPr>
            </w:pPr>
            <w:r w:rsidRPr="00AF7B50">
              <w:rPr>
                <w:lang w:eastAsia="en-AU"/>
              </w:rPr>
              <w:t>Small Rural Services – Home and Community Care Services</w:t>
            </w:r>
          </w:p>
        </w:tc>
      </w:tr>
      <w:tr w:rsidR="00E25CC6" w:rsidRPr="00AF7B50" w:rsidTr="003028E1">
        <w:trPr>
          <w:cantSplit/>
        </w:trPr>
        <w:tc>
          <w:tcPr>
            <w:tcW w:w="7767" w:type="dxa"/>
            <w:gridSpan w:val="6"/>
            <w:tcBorders>
              <w:top w:val="nil"/>
              <w:left w:val="nil"/>
              <w:bottom w:val="single" w:sz="6" w:space="0" w:color="auto"/>
              <w:right w:val="nil"/>
            </w:tcBorders>
          </w:tcPr>
          <w:p w:rsidR="00E25CC6" w:rsidRPr="00AF7B50" w:rsidRDefault="00E25CC6" w:rsidP="00AC29F8">
            <w:pPr>
              <w:pStyle w:val="OGText"/>
              <w:rPr>
                <w:rFonts w:cs="Calibri"/>
                <w:sz w:val="19"/>
                <w:szCs w:val="22"/>
                <w:lang w:eastAsia="en-AU"/>
              </w:rPr>
            </w:pPr>
            <w:r w:rsidRPr="00AF7B50">
              <w:rPr>
                <w:lang w:eastAsia="en-AU"/>
              </w:rPr>
              <w:t>This output includes delivery of in</w:t>
            </w:r>
            <w:r w:rsidRPr="00AF7B50">
              <w:rPr>
                <w:lang w:eastAsia="en-AU"/>
              </w:rPr>
              <w:noBreakHyphen/>
              <w:t>home, community</w:t>
            </w:r>
            <w:r w:rsidRPr="00AF7B50">
              <w:rPr>
                <w:lang w:eastAsia="en-AU"/>
              </w:rPr>
              <w:noBreakHyphen/>
              <w:t>based care services for older people, and younger people with disabilities delivered by small rural services.</w:t>
            </w: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keepNext/>
              <w:autoSpaceDE w:val="0"/>
              <w:autoSpaceDN w:val="0"/>
              <w:adjustRightInd w:val="0"/>
              <w:spacing w:after="0"/>
              <w:ind w:left="230" w:hanging="230"/>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pStyle w:val="OGTabText"/>
              <w:keepNext/>
              <w:rPr>
                <w:lang w:eastAsia="en-AU"/>
              </w:rPr>
            </w:pPr>
            <w:r w:rsidRPr="00AF7B50">
              <w:rPr>
                <w:lang w:eastAsia="en-AU"/>
              </w:rPr>
              <w:t>Home and Community Care service delivery hours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107 719</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698 000</w:t>
            </w:r>
          </w:p>
        </w:tc>
        <w:tc>
          <w:tcPr>
            <w:tcW w:w="907" w:type="dxa"/>
            <w:tcBorders>
              <w:top w:val="nil"/>
              <w:left w:val="nil"/>
              <w:bottom w:val="nil"/>
              <w:right w:val="nil"/>
            </w:tcBorders>
          </w:tcPr>
          <w:p w:rsidR="00E25CC6" w:rsidRPr="00AF7B50" w:rsidRDefault="00E25CC6" w:rsidP="00607E0D">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 xml:space="preserve">698 000 </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801 155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lower 2016</w:t>
            </w:r>
            <w:r w:rsidRPr="00AF7B50">
              <w:noBreakHyphen/>
              <w:t>17 target reflects the transfer of older people to Commonwealth management and the roll out of younger eligible clients transferring to the National Disability Insurance Scheme.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59 000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347 000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347 000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369 550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lower 2016</w:t>
            </w:r>
            <w:r w:rsidRPr="00AF7B50">
              <w:noBreakHyphen/>
              <w:t>17 target reflects the transfer of older people to Commonwealth management and the roll out of younger eligible clients transferring to the National Disability Insurance Scheme. 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8D665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7.8</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32.1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33.8</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34.9</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B82016">
            <w:pPr>
              <w:pStyle w:val="OGNotes"/>
            </w:pPr>
            <w:r w:rsidRPr="00AF7B50">
              <w:t>The lower 2016</w:t>
            </w:r>
            <w:r w:rsidRPr="00AF7B50">
              <w:noBreakHyphen/>
              <w:t xml:space="preserve">17 target is primarily due to the transfer of funding and responsibilities to the Commonwealth for aged care and the planned entry of clients into the National Disability Insurance Scheme. </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515469">
            <w:pPr>
              <w:pStyle w:val="OGHeading2"/>
              <w:rPr>
                <w:lang w:eastAsia="en-AU"/>
              </w:rPr>
            </w:pPr>
            <w:r w:rsidRPr="00AF7B50">
              <w:rPr>
                <w:lang w:eastAsia="en-AU"/>
              </w:rPr>
              <w:t>Small Rural Services – Primary Health</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4F1A03">
            <w:pPr>
              <w:pStyle w:val="OGText"/>
              <w:rPr>
                <w:lang w:eastAsia="en-AU"/>
              </w:rPr>
            </w:pPr>
            <w:r w:rsidRPr="00AF7B50">
              <w:rPr>
                <w:lang w:eastAsia="en-AU"/>
              </w:rPr>
              <w:t>This output includes delivery of in</w:t>
            </w:r>
            <w:r w:rsidRPr="00AF7B50">
              <w:rPr>
                <w:lang w:eastAsia="en-AU"/>
              </w:rPr>
              <w:noBreakHyphen/>
              <w:t>home, community</w:t>
            </w:r>
            <w:r w:rsidRPr="00AF7B50">
              <w:rPr>
                <w:lang w:eastAsia="en-AU"/>
              </w:rPr>
              <w:noBreakHyphen/>
              <w:t>based and primary health services delivered by small rural services and designed to promote health and wellbeing and prevent the onset of more serious illness.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Service delivery hours in community health care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100 217</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Standard Equivalent Value Units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104 000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104 000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104 000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105 278</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262444">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262444">
            <w:pPr>
              <w:pStyle w:val="OGTabText"/>
              <w:keepN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20.3</w:t>
            </w:r>
          </w:p>
        </w:tc>
        <w:tc>
          <w:tcPr>
            <w:tcW w:w="992" w:type="dxa"/>
            <w:tcBorders>
              <w:top w:val="nil"/>
              <w:left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22.5</w:t>
            </w:r>
          </w:p>
        </w:tc>
        <w:tc>
          <w:tcPr>
            <w:tcW w:w="907" w:type="dxa"/>
            <w:tcBorders>
              <w:top w:val="nil"/>
              <w:left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21.0</w:t>
            </w:r>
          </w:p>
        </w:tc>
        <w:tc>
          <w:tcPr>
            <w:tcW w:w="908" w:type="dxa"/>
            <w:tcBorders>
              <w:top w:val="nil"/>
              <w:left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17.8</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C336DE">
            <w:pPr>
              <w:pStyle w:val="OGNotes"/>
            </w:pPr>
            <w:r w:rsidRPr="00AF7B50">
              <w:t>The lower 2016–17 target reflects one-off capital grants provided to non-government organisations in 2015–16.</w:t>
            </w:r>
          </w:p>
        </w:tc>
      </w:tr>
    </w:tbl>
    <w:p w:rsidR="00E25CC6" w:rsidRPr="00AF7B50" w:rsidRDefault="00E25CC6" w:rsidP="00262444">
      <w:pPr>
        <w:pStyle w:val="Source"/>
      </w:pPr>
      <w:r w:rsidRPr="00AF7B50">
        <w:t>Source: Department of Health and Human Services</w:t>
      </w:r>
      <w:bookmarkEnd w:id="79"/>
      <w:r w:rsidRPr="00AF7B50">
        <w:t xml:space="preserve"> </w:t>
      </w:r>
      <w:r w:rsidRPr="00AF7B50">
        <w:fldChar w:fldCharType="begin"/>
      </w:r>
      <w:r w:rsidRPr="00AF7B50">
        <w:instrText xml:space="preserve"> XE "Department of Health and Human Services:Small Rural Services" \r "DHHS_SmlRurlSvces" </w:instrText>
      </w:r>
      <w:r w:rsidRPr="00AF7B50">
        <w:fldChar w:fldCharType="end"/>
      </w:r>
      <w:r>
        <w:t xml:space="preserve"> </w:t>
      </w:r>
      <w:r w:rsidRPr="00AF7B50">
        <w:fldChar w:fldCharType="begin"/>
      </w:r>
      <w:r w:rsidRPr="00AF7B50">
        <w:instrText xml:space="preserve"> XE "Health:Small Rural Services" \r "DHHS_SmlRurlSvces" </w:instrText>
      </w:r>
      <w:r w:rsidRPr="00AF7B50">
        <w:fldChar w:fldCharType="end"/>
      </w:r>
      <w:r>
        <w:t xml:space="preserve"> </w:t>
      </w:r>
      <w:r w:rsidRPr="00AF7B50">
        <w:fldChar w:fldCharType="begin"/>
      </w:r>
      <w:r w:rsidRPr="00AF7B50">
        <w:instrText xml:space="preserve"> XE "</w:instrText>
      </w:r>
      <w:r>
        <w:instrText>Regional and Rural Victoria</w:instrText>
      </w:r>
      <w:r w:rsidRPr="00AF7B50">
        <w:instrText xml:space="preserve"> Services:Small Rural </w:instrText>
      </w:r>
      <w:r>
        <w:instrText xml:space="preserve">Health </w:instrText>
      </w:r>
      <w:r w:rsidRPr="00AF7B50">
        <w:instrText xml:space="preserve">Services" \r "DHHS_SmlRurlSvces" </w:instrText>
      </w:r>
      <w:r w:rsidRPr="00AF7B50">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Public Health</w:t>
      </w:r>
    </w:p>
    <w:p w:rsidR="00E25CC6" w:rsidRPr="00AF7B50" w:rsidRDefault="00E25CC6" w:rsidP="00262444">
      <w:pPr>
        <w:pStyle w:val="OGText"/>
        <w:rPr>
          <w:rFonts w:eastAsiaTheme="minorHAnsi"/>
        </w:rPr>
      </w:pPr>
      <w:bookmarkStart w:id="80" w:name="DHHS_PubHlth"/>
      <w:r w:rsidRPr="00AF7B50">
        <w:rPr>
          <w:rFonts w:eastAsiaTheme="minorHAnsi"/>
        </w:rPr>
        <w:t>Public Health outputs encompass services and support, including screening for health conditions and safety inspections, that promote and protect the health and wellbeing of all Victorians. These services are delivered in partnership with key stakeholders and communities.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Health Protection</w:t>
            </w:r>
          </w:p>
        </w:tc>
      </w:tr>
      <w:tr w:rsidR="00E25CC6" w:rsidRPr="00AF7B50" w:rsidTr="003028E1">
        <w:trPr>
          <w:cantSplit/>
        </w:trPr>
        <w:tc>
          <w:tcPr>
            <w:tcW w:w="7767" w:type="dxa"/>
            <w:gridSpan w:val="6"/>
            <w:tcBorders>
              <w:top w:val="nil"/>
              <w:left w:val="nil"/>
              <w:bottom w:val="single" w:sz="6" w:space="0" w:color="auto"/>
            </w:tcBorders>
          </w:tcPr>
          <w:p w:rsidR="00E25CC6" w:rsidRPr="00AF7B50" w:rsidRDefault="00E25CC6" w:rsidP="00DF3111">
            <w:pPr>
              <w:pStyle w:val="OGText"/>
              <w:rPr>
                <w:rFonts w:cs="Calibri"/>
                <w:sz w:val="19"/>
                <w:szCs w:val="22"/>
                <w:lang w:eastAsia="en-AU"/>
              </w:rPr>
            </w:pPr>
            <w:r w:rsidRPr="00AF7B50">
              <w:rPr>
                <w:lang w:eastAsia="en-AU"/>
              </w:rPr>
              <w:t>Protects the health of Victorians through a range of prevention programs including regulation, surveillance and the provision of statutory services.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Calls to food safety hotlines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4 500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4 500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4 500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4 891</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Inspections of cooling towers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1 250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1 250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1 250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1 632</w:t>
            </w:r>
          </w:p>
        </w:tc>
      </w:tr>
      <w:tr w:rsidR="00E25CC6" w:rsidRPr="00AF7B50" w:rsidTr="005958EC">
        <w:trPr>
          <w:cantSplit/>
        </w:trPr>
        <w:tc>
          <w:tcPr>
            <w:tcW w:w="3146" w:type="dxa"/>
            <w:tcBorders>
              <w:top w:val="single" w:sz="6" w:space="0" w:color="auto"/>
              <w:left w:val="nil"/>
              <w:right w:val="nil"/>
            </w:tcBorders>
          </w:tcPr>
          <w:p w:rsidR="00E25CC6" w:rsidRPr="00AF7B50" w:rsidRDefault="00E25CC6" w:rsidP="00C336DE">
            <w:pPr>
              <w:pStyle w:val="OGTabText"/>
              <w:rPr>
                <w:lang w:eastAsia="en-AU"/>
              </w:rPr>
            </w:pPr>
            <w:r w:rsidRPr="00AF7B50">
              <w:rPr>
                <w:lang w:eastAsia="en-AU"/>
              </w:rPr>
              <w:t>Inspections of radiation safety management licences</w:t>
            </w:r>
          </w:p>
        </w:tc>
        <w:tc>
          <w:tcPr>
            <w:tcW w:w="907" w:type="dxa"/>
            <w:tcBorders>
              <w:top w:val="single" w:sz="6" w:space="0" w:color="auto"/>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480</w:t>
            </w:r>
          </w:p>
        </w:tc>
        <w:tc>
          <w:tcPr>
            <w:tcW w:w="992" w:type="dxa"/>
            <w:tcBorders>
              <w:top w:val="single" w:sz="6" w:space="0" w:color="auto"/>
              <w:left w:val="nil"/>
              <w:right w:val="nil"/>
            </w:tcBorders>
          </w:tcPr>
          <w:p w:rsidR="00E25CC6" w:rsidRPr="00AF7B50" w:rsidRDefault="00E25CC6" w:rsidP="00B31F7C">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400</w:t>
            </w:r>
          </w:p>
        </w:tc>
        <w:tc>
          <w:tcPr>
            <w:tcW w:w="907"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480</w:t>
            </w:r>
          </w:p>
        </w:tc>
        <w:tc>
          <w:tcPr>
            <w:tcW w:w="908"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579</w:t>
            </w:r>
          </w:p>
        </w:tc>
      </w:tr>
      <w:tr w:rsidR="00E25CC6" w:rsidRPr="00AF7B50" w:rsidTr="005958EC">
        <w:trPr>
          <w:cantSplit/>
        </w:trPr>
        <w:tc>
          <w:tcPr>
            <w:tcW w:w="7767" w:type="dxa"/>
            <w:gridSpan w:val="6"/>
            <w:tcBorders>
              <w:left w:val="nil"/>
              <w:bottom w:val="single" w:sz="6" w:space="0" w:color="auto"/>
              <w:right w:val="nil"/>
            </w:tcBorders>
          </w:tcPr>
          <w:p w:rsidR="00E25CC6" w:rsidRPr="00AF7B50" w:rsidRDefault="00E25CC6" w:rsidP="002957B6">
            <w:pPr>
              <w:pStyle w:val="OGNotes"/>
            </w:pPr>
            <w:r w:rsidRPr="00AF7B50">
              <w:t>The 2015</w:t>
            </w:r>
            <w:r w:rsidRPr="00AF7B50">
              <w:noBreakHyphen/>
              <w:t>16 expected outcome is lower than the 2015</w:t>
            </w:r>
            <w:r w:rsidRPr="00AF7B50">
              <w:noBreakHyphen/>
              <w:t>16 target due to a combination of factors, including a diversion of resources to other health protection priorities.</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available HIV rapid test trial appointments used</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2 688</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2 688</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2 688</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2 749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shade grants funded under the Community Shade Grant Program and the Schools Shade Grant Program</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460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320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940F23">
            <w:pPr>
              <w:pStyle w:val="OGNotes"/>
              <w:rPr>
                <w:rFonts w:ascii="Helv" w:hAnsi="Helv" w:cs="Helv"/>
                <w:i w:val="0"/>
                <w:iCs/>
                <w:sz w:val="20"/>
              </w:rPr>
            </w:pPr>
            <w:r w:rsidRPr="00AF7B50">
              <w:t>This performance measure renames the 2015</w:t>
            </w:r>
            <w:r w:rsidRPr="00AF7B50">
              <w:noBreakHyphen/>
              <w:t xml:space="preserve">16 performance measure </w:t>
            </w:r>
            <w:r>
              <w:t>‘</w:t>
            </w:r>
            <w:r w:rsidRPr="00AF7B50">
              <w:t>Number of built, demountable and natural shade projects funded under the Shade Grants Program</w:t>
            </w:r>
            <w:r>
              <w:t>’</w:t>
            </w:r>
            <w:r w:rsidRPr="00AF7B50">
              <w:t>. It has been amended to reflect the new Community Shade Grant Program and the Schools Shade Grant Program.</w:t>
            </w:r>
            <w:r w:rsidRPr="00AF7B50">
              <w:rPr>
                <w:rFonts w:ascii="Helv" w:hAnsi="Helv" w:cs="Helv"/>
                <w:i w:val="0"/>
                <w:iCs/>
                <w:sz w:val="20"/>
              </w:rPr>
              <w:t xml:space="preserve"> </w:t>
            </w:r>
          </w:p>
          <w:p w:rsidR="00E25CC6" w:rsidRPr="00AF7B50" w:rsidRDefault="00E25CC6" w:rsidP="00940F23">
            <w:pPr>
              <w:pStyle w:val="OGNotes"/>
            </w:pPr>
            <w:r w:rsidRPr="00AF7B50">
              <w:t>The higher 2016</w:t>
            </w:r>
            <w:r w:rsidRPr="00AF7B50">
              <w:noBreakHyphen/>
              <w:t>17 target reflects the provision of a larger number of grants. The 2015</w:t>
            </w:r>
            <w:r w:rsidRPr="00AF7B50">
              <w:noBreakHyphen/>
              <w:t>16 expected outcome is higher than the 2015</w:t>
            </w:r>
            <w:r w:rsidRPr="00AF7B50">
              <w:noBreakHyphen/>
              <w:t>16 target which was based on the discontinued Shade Grants Program.</w:t>
            </w:r>
          </w:p>
        </w:tc>
      </w:tr>
      <w:tr w:rsidR="00E25CC6" w:rsidRPr="00AF7B50" w:rsidTr="00C336DE">
        <w:trPr>
          <w:cantSplit/>
        </w:trPr>
        <w:tc>
          <w:tcPr>
            <w:tcW w:w="3146" w:type="dxa"/>
            <w:tcBorders>
              <w:top w:val="nil"/>
              <w:left w:val="nil"/>
              <w:bottom w:val="nil"/>
              <w:right w:val="nil"/>
            </w:tcBorders>
          </w:tcPr>
          <w:p w:rsidR="00E25CC6" w:rsidRPr="00AF7B50" w:rsidRDefault="00E25CC6" w:rsidP="007F5E8F">
            <w:pPr>
              <w:pStyle w:val="OGTabText"/>
              <w:rPr>
                <w:lang w:eastAsia="en-AU"/>
              </w:rPr>
            </w:pPr>
            <w:r w:rsidRPr="00AF7B50">
              <w:rPr>
                <w:lang w:eastAsia="en-AU"/>
              </w:rPr>
              <w:t>Persons screened for prevention and early detection of health conditions – breast cancer screening</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243 000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243 000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243 000</w:t>
            </w:r>
          </w:p>
        </w:tc>
        <w:tc>
          <w:tcPr>
            <w:tcW w:w="908" w:type="dxa"/>
            <w:tcBorders>
              <w:top w:val="nil"/>
              <w:left w:val="nil"/>
              <w:bottom w:val="nil"/>
              <w:right w:val="nil"/>
            </w:tcBorders>
          </w:tcPr>
          <w:p w:rsidR="00E25CC6" w:rsidRPr="00AF7B50" w:rsidRDefault="00E25CC6" w:rsidP="008B06C5">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241 115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F24614">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 </w:t>
            </w:r>
          </w:p>
        </w:tc>
      </w:tr>
      <w:tr w:rsidR="00E25CC6" w:rsidRPr="00AF7B50" w:rsidTr="00C336DE">
        <w:trPr>
          <w:cantSplit/>
        </w:trPr>
        <w:tc>
          <w:tcPr>
            <w:tcW w:w="3146" w:type="dxa"/>
            <w:tcBorders>
              <w:top w:val="nil"/>
              <w:left w:val="nil"/>
              <w:bottom w:val="nil"/>
              <w:right w:val="nil"/>
            </w:tcBorders>
          </w:tcPr>
          <w:p w:rsidR="00E25CC6" w:rsidRPr="00AF7B50" w:rsidRDefault="00E25CC6" w:rsidP="007F5E8F">
            <w:pPr>
              <w:pStyle w:val="OGTabText"/>
              <w:rPr>
                <w:lang w:eastAsia="en-AU"/>
              </w:rPr>
            </w:pPr>
            <w:r w:rsidRPr="00AF7B50">
              <w:rPr>
                <w:lang w:eastAsia="en-AU"/>
              </w:rPr>
              <w:t>Persons screened for prevention and early detection of health conditions – cervical cancer screening</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570 000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570 000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570 000</w:t>
            </w:r>
          </w:p>
        </w:tc>
        <w:tc>
          <w:tcPr>
            <w:tcW w:w="908" w:type="dxa"/>
            <w:tcBorders>
              <w:top w:val="nil"/>
              <w:left w:val="nil"/>
              <w:bottom w:val="nil"/>
              <w:right w:val="nil"/>
            </w:tcBorders>
          </w:tcPr>
          <w:p w:rsidR="00E25CC6" w:rsidRPr="00AF7B50" w:rsidRDefault="00E25CC6" w:rsidP="008B06C5">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563 500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F24614">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262444">
            <w:pPr>
              <w:pStyle w:val="OGTabText"/>
              <w:keepNext/>
              <w:rPr>
                <w:lang w:eastAsia="en-AU"/>
              </w:rPr>
            </w:pPr>
            <w:r w:rsidRPr="00AF7B50">
              <w:rPr>
                <w:lang w:eastAsia="en-AU"/>
              </w:rPr>
              <w:t>Persons screened for prevention and early detection of health conditions – newborn and maternal serum screening</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80 000</w:t>
            </w: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80 000</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80 000</w:t>
            </w: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80 085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461DEB">
            <w:pPr>
              <w:pStyle w:val="OGNotes"/>
            </w:pPr>
            <w:r w:rsidRPr="00AF7B50">
              <w:t>The 2014</w:t>
            </w:r>
            <w:r w:rsidRPr="00AF7B50">
              <w:noBreakHyphen/>
              <w:t>15 actual published in the Department of Health and Human Services</w:t>
            </w:r>
            <w:r>
              <w:t>’</w:t>
            </w:r>
            <w:r w:rsidRPr="00AF7B50">
              <w:t xml:space="preserve"> </w:t>
            </w:r>
            <w:r w:rsidRPr="00AF7B50">
              <w:rPr>
                <w:i w:val="0"/>
              </w:rPr>
              <w:t>2014</w:t>
            </w:r>
            <w:r w:rsidRPr="00AF7B50">
              <w:rPr>
                <w:i w:val="0"/>
              </w:rPr>
              <w:noBreakHyphen/>
              <w:t>15 Annual Report</w:t>
            </w:r>
            <w:r w:rsidRPr="00AF7B50">
              <w:t xml:space="preserve"> was a preliminary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Persons screened for prevention and early detection of health conditions – pulmonary tuberculosis screening</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1 899</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2 666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D6044D">
            <w:pPr>
              <w:pStyle w:val="OGNotes"/>
            </w:pPr>
            <w:r w:rsidRPr="00AF7B50">
              <w:t>The 2015</w:t>
            </w:r>
            <w:r w:rsidRPr="00AF7B50">
              <w:noBreakHyphen/>
              <w:t>16 expected outcome is lower than the 2015</w:t>
            </w:r>
            <w:r w:rsidRPr="00AF7B50">
              <w:noBreakHyphen/>
              <w:t>16 target due to the number of people being screened being influenced by several factors including the number of infectious TB cases notified, immigration patterns and the number of screenings required.</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Calls to food safety hotlines that are answered</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Immunisation coverage: adolescent (Year 7) students fully immunised for DTPa (diphtheria, tetanus and pertussis)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84</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84</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784DDC">
            <w:pPr>
              <w:pStyle w:val="OGNotes"/>
            </w:pPr>
            <w:r w:rsidRPr="00AF7B50">
              <w:t>This performance measure renames the 2015</w:t>
            </w:r>
            <w:r w:rsidRPr="00AF7B50">
              <w:noBreakHyphen/>
              <w:t xml:space="preserve">16 performance measure </w:t>
            </w:r>
            <w:r>
              <w:t>‘</w:t>
            </w:r>
            <w:r w:rsidRPr="00AF7B50">
              <w:t>Immunisation coverage: adolescent (Year 10) students fully immunised for DTPa (diphtheria, tetanus and pertussis)</w:t>
            </w:r>
            <w:r>
              <w:t>’</w:t>
            </w:r>
            <w:r w:rsidRPr="00AF7B50">
              <w:t>. The new measure reports the same activity as the previous measure, however has been amended as the vaccines are now administered at year 7.</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Immunisation coverage: At school entry</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93</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Immunisation coverage: At two years of age</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Public Health emergency response calls dealt with within designated plans and procedure timelines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Average time taken from notification of a food complaint to commencement of appropriate action</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hours</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Infectious disease outbreaks responded to within 24 hours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Target population screened within specified timeframe for breast cancer</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54</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54</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54</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54.5</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Target population screened within specified timeframe for cervical cancer</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60.3</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1359B8">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258.6</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215.0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235.8</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229.9</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A02633">
            <w:pPr>
              <w:pStyle w:val="OGNotes"/>
            </w:pPr>
            <w:r w:rsidRPr="00AF7B50">
              <w:t>The higher 2016</w:t>
            </w:r>
            <w:r w:rsidRPr="00AF7B50">
              <w:noBreakHyphen/>
              <w:t xml:space="preserve">17 target is primarily due to funding provided for government policy commitments. </w:t>
            </w:r>
          </w:p>
          <w:p w:rsidR="00E25CC6" w:rsidRPr="00AF7B50" w:rsidRDefault="00E25CC6" w:rsidP="00AC29F8">
            <w:pPr>
              <w:pStyle w:val="OGNotes"/>
            </w:pPr>
            <w:r w:rsidRPr="00AF7B50">
              <w:t>The 2015</w:t>
            </w:r>
            <w:r w:rsidRPr="00AF7B50">
              <w:noBreakHyphen/>
              <w:t>16 expected outcome is lower than the 2015</w:t>
            </w:r>
            <w:r w:rsidRPr="00AF7B50">
              <w:noBreakHyphen/>
              <w:t xml:space="preserve">16 target primarily due to the reallocation of the genomic testing initiative to the Public Health Development and Research output, the transfer of the CarePoint initiative from the Small Rural Services – Acute Health output and a realignment of corporate overheads. </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Health Advancement</w:t>
            </w:r>
          </w:p>
        </w:tc>
      </w:tr>
      <w:tr w:rsidR="00E25CC6" w:rsidRPr="00AF7B50" w:rsidTr="003028E1">
        <w:trPr>
          <w:cantSplit/>
        </w:trPr>
        <w:tc>
          <w:tcPr>
            <w:tcW w:w="7767" w:type="dxa"/>
            <w:gridSpan w:val="6"/>
            <w:tcBorders>
              <w:top w:val="nil"/>
              <w:left w:val="nil"/>
              <w:bottom w:val="single" w:sz="6" w:space="0" w:color="auto"/>
              <w:right w:val="nil"/>
            </w:tcBorders>
          </w:tcPr>
          <w:p w:rsidR="00E25CC6" w:rsidRPr="00AF7B50" w:rsidRDefault="00E25CC6" w:rsidP="00E85815">
            <w:pPr>
              <w:pStyle w:val="OGText"/>
              <w:rPr>
                <w:lang w:eastAsia="en-AU"/>
              </w:rPr>
            </w:pPr>
            <w:r w:rsidRPr="00AF7B50">
              <w:rPr>
                <w:lang w:eastAsia="en-AU"/>
              </w:rPr>
              <w:t xml:space="preserve">Improves the general health and wellbeing of Victorians </w:t>
            </w:r>
            <w:r w:rsidRPr="00AF7B50">
              <w:t>through</w:t>
            </w:r>
            <w:r w:rsidRPr="00AF7B50">
              <w:rPr>
                <w:lang w:eastAsia="en-AU"/>
              </w:rPr>
              <w:t xml:space="preserve"> the provision of </w:t>
            </w:r>
            <w:r w:rsidRPr="00AF7B50">
              <w:t>community</w:t>
            </w:r>
            <w:r w:rsidRPr="00AF7B50">
              <w:rPr>
                <w:lang w:eastAsia="en-AU"/>
              </w:rPr>
              <w:t xml:space="preserve"> information and the fostering of healthy behaviours.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1359B8">
            <w:pPr>
              <w:pStyle w:val="OGTabText"/>
              <w:rPr>
                <w:lang w:eastAsia="en-AU"/>
              </w:rPr>
            </w:pPr>
            <w:r w:rsidRPr="00AF7B50">
              <w:rPr>
                <w:lang w:eastAsia="en-AU"/>
              </w:rPr>
              <w:t>Persons completing the Life! – Diabetes and Cardiovascular Disease Prevention program</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5 616</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5 187</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5 616</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5 687</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9D6DDE">
            <w:pPr>
              <w:pStyle w:val="OGNotes"/>
            </w:pPr>
            <w:r w:rsidRPr="00AF7B50">
              <w:t>The 2015</w:t>
            </w:r>
            <w:r w:rsidRPr="00AF7B50">
              <w:noBreakHyphen/>
              <w:t>16 expected outcome is lower than the 2015</w:t>
            </w:r>
            <w:r w:rsidRPr="00AF7B50">
              <w:noBreakHyphen/>
              <w:t>16 target due to a shortfall in program uptake. The department has been working with the agency on a range of strategies to increase program referrals and uptake in line with the 2015</w:t>
            </w:r>
            <w:r w:rsidRPr="00AF7B50">
              <w:noBreakHyphen/>
              <w:t>16 target.</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4F1A03">
            <w:pPr>
              <w:pStyle w:val="OGTabText"/>
              <w:rPr>
                <w:lang w:eastAsia="en-AU"/>
              </w:rPr>
            </w:pPr>
            <w:r w:rsidRPr="00AF7B50">
              <w:rPr>
                <w:lang w:eastAsia="en-AU"/>
              </w:rPr>
              <w:t>Workplaces, pubs and clubs complying with smoke free environment laws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Local Government Authorities with Municipal Public Health and Wellbeing Plans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78.0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72.5</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68.4</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 xml:space="preserve">17 target primarily reflects funding provided for government policy commitments. </w:t>
            </w:r>
          </w:p>
          <w:p w:rsidR="00E25CC6" w:rsidRPr="00AF7B50" w:rsidRDefault="00E25CC6" w:rsidP="006307F5">
            <w:pPr>
              <w:pStyle w:val="OGNotes"/>
            </w:pPr>
            <w:r w:rsidRPr="00AF7B50">
              <w:t>The 2015</w:t>
            </w:r>
            <w:r w:rsidRPr="00AF7B50">
              <w:noBreakHyphen/>
              <w:t>16 expected outcome is higher than the 2015</w:t>
            </w:r>
            <w:r w:rsidRPr="00AF7B50">
              <w:noBreakHyphen/>
              <w:t xml:space="preserve">16 target primarily due to a realignment of corporate costs and changes. </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Public Health Development, Research and Support</w:t>
            </w:r>
          </w:p>
        </w:tc>
      </w:tr>
      <w:tr w:rsidR="00E25CC6" w:rsidRPr="00AF7B50" w:rsidTr="003028E1">
        <w:trPr>
          <w:cantSplit/>
        </w:trPr>
        <w:tc>
          <w:tcPr>
            <w:tcW w:w="7767" w:type="dxa"/>
            <w:gridSpan w:val="6"/>
            <w:tcBorders>
              <w:top w:val="nil"/>
              <w:left w:val="nil"/>
              <w:bottom w:val="single" w:sz="6" w:space="0" w:color="auto"/>
            </w:tcBorders>
          </w:tcPr>
          <w:p w:rsidR="00E25CC6" w:rsidRPr="00AF7B50" w:rsidRDefault="00E25CC6" w:rsidP="00E85815">
            <w:pPr>
              <w:pStyle w:val="OGText"/>
              <w:rPr>
                <w:rFonts w:cs="Calibri"/>
                <w:sz w:val="19"/>
                <w:szCs w:val="22"/>
                <w:lang w:eastAsia="en-AU"/>
              </w:rPr>
            </w:pPr>
            <w:r w:rsidRPr="00AF7B50">
              <w:rPr>
                <w:lang w:eastAsia="en-AU"/>
              </w:rPr>
              <w:t>Develops and advocates for research and development activities, which support evidence</w:t>
            </w:r>
            <w:r w:rsidRPr="00AF7B50">
              <w:noBreakHyphen/>
            </w:r>
            <w:r w:rsidRPr="00AF7B50">
              <w:rPr>
                <w:lang w:eastAsia="en-AU"/>
              </w:rPr>
              <w:t>based public health policies.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people trained in emergency response</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2 024</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Operational infrastructure support grants under management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lower 2016</w:t>
            </w:r>
            <w:r w:rsidRPr="00AF7B50">
              <w:noBreakHyphen/>
              <w:t>17 target reflects the merger of two medical research institutes that receive grants. The 2015</w:t>
            </w:r>
            <w:r w:rsidRPr="00AF7B50">
              <w:noBreakHyphen/>
              <w:t>16 expected outcome is lower than the 2015</w:t>
            </w:r>
            <w:r w:rsidRPr="00AF7B50">
              <w:noBreakHyphen/>
              <w:t>16 target due to the merger occurring during 2015</w:t>
            </w:r>
            <w:r w:rsidRPr="00AF7B50">
              <w:noBreakHyphen/>
              <w:t>16.</w:t>
            </w:r>
          </w:p>
        </w:tc>
      </w:tr>
      <w:tr w:rsidR="00E25CC6" w:rsidRPr="00AF7B50" w:rsidTr="00C336DE">
        <w:trPr>
          <w:cantSplit/>
        </w:trPr>
        <w:tc>
          <w:tcPr>
            <w:tcW w:w="3146" w:type="dxa"/>
            <w:tcBorders>
              <w:top w:val="nil"/>
              <w:left w:val="nil"/>
              <w:bottom w:val="nil"/>
              <w:right w:val="nil"/>
            </w:tcBorders>
          </w:tcPr>
          <w:p w:rsidR="00E25CC6" w:rsidRPr="00AF7B50" w:rsidRDefault="00E25CC6" w:rsidP="00940F23">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940F23">
            <w:pPr>
              <w:keepNext/>
              <w:autoSpaceDE w:val="0"/>
              <w:autoSpaceDN w:val="0"/>
              <w:adjustRightInd w:val="0"/>
              <w:spacing w:after="0"/>
              <w:jc w:val="center"/>
              <w:rPr>
                <w:rFonts w:ascii="Calibri" w:hAnsi="Calibri" w:cs="Calibri"/>
                <w:i/>
                <w:iCs/>
                <w:sz w:val="19"/>
                <w:szCs w:val="22"/>
                <w:lang w:eastAsia="en-AU"/>
              </w:rPr>
            </w:pPr>
          </w:p>
        </w:tc>
        <w:tc>
          <w:tcPr>
            <w:tcW w:w="907" w:type="dxa"/>
            <w:tcBorders>
              <w:top w:val="nil"/>
              <w:left w:val="nil"/>
              <w:right w:val="nil"/>
            </w:tcBorders>
            <w:shd w:val="clear" w:color="auto" w:fill="DCDCDC"/>
          </w:tcPr>
          <w:p w:rsidR="00E25CC6" w:rsidRPr="00AF7B50" w:rsidRDefault="00E25CC6" w:rsidP="00940F23">
            <w:pPr>
              <w:keepNext/>
              <w:autoSpaceDE w:val="0"/>
              <w:autoSpaceDN w:val="0"/>
              <w:adjustRightInd w:val="0"/>
              <w:spacing w:after="0"/>
              <w:jc w:val="right"/>
              <w:rPr>
                <w:rFonts w:ascii="Calibri" w:hAnsi="Calibri" w:cs="Calibri"/>
                <w:i/>
                <w:iCs/>
                <w:sz w:val="19"/>
                <w:szCs w:val="22"/>
                <w:lang w:eastAsia="en-AU"/>
              </w:rPr>
            </w:pPr>
          </w:p>
        </w:tc>
        <w:tc>
          <w:tcPr>
            <w:tcW w:w="992" w:type="dxa"/>
            <w:tcBorders>
              <w:top w:val="nil"/>
              <w:left w:val="nil"/>
              <w:bottom w:val="nil"/>
              <w:right w:val="nil"/>
            </w:tcBorders>
          </w:tcPr>
          <w:p w:rsidR="00E25CC6" w:rsidRPr="00AF7B50" w:rsidRDefault="00E25CC6" w:rsidP="00940F23">
            <w:pPr>
              <w:keepNext/>
              <w:autoSpaceDE w:val="0"/>
              <w:autoSpaceDN w:val="0"/>
              <w:adjustRightInd w:val="0"/>
              <w:spacing w:after="0"/>
              <w:jc w:val="right"/>
              <w:rPr>
                <w:rFonts w:ascii="Calibri" w:hAnsi="Calibri" w:cs="Calibri"/>
                <w:i/>
                <w:iCs/>
                <w:sz w:val="19"/>
                <w:szCs w:val="22"/>
                <w:lang w:eastAsia="en-AU"/>
              </w:rPr>
            </w:pPr>
          </w:p>
        </w:tc>
        <w:tc>
          <w:tcPr>
            <w:tcW w:w="907" w:type="dxa"/>
            <w:tcBorders>
              <w:top w:val="nil"/>
              <w:left w:val="nil"/>
              <w:bottom w:val="nil"/>
              <w:right w:val="nil"/>
            </w:tcBorders>
          </w:tcPr>
          <w:p w:rsidR="00E25CC6" w:rsidRPr="00AF7B50" w:rsidRDefault="00E25CC6" w:rsidP="00940F23">
            <w:pPr>
              <w:keepNext/>
              <w:autoSpaceDE w:val="0"/>
              <w:autoSpaceDN w:val="0"/>
              <w:adjustRightInd w:val="0"/>
              <w:spacing w:after="0"/>
              <w:jc w:val="right"/>
              <w:rPr>
                <w:rFonts w:ascii="Calibri" w:hAnsi="Calibri" w:cs="Calibri"/>
                <w:i/>
                <w:iCs/>
                <w:sz w:val="19"/>
                <w:szCs w:val="22"/>
                <w:lang w:eastAsia="en-AU"/>
              </w:rPr>
            </w:pPr>
          </w:p>
        </w:tc>
        <w:tc>
          <w:tcPr>
            <w:tcW w:w="908" w:type="dxa"/>
            <w:tcBorders>
              <w:top w:val="nil"/>
              <w:left w:val="nil"/>
              <w:bottom w:val="nil"/>
              <w:right w:val="nil"/>
            </w:tcBorders>
          </w:tcPr>
          <w:p w:rsidR="00E25CC6" w:rsidRPr="00AF7B50" w:rsidRDefault="00E25CC6" w:rsidP="00940F23">
            <w:pPr>
              <w:keepNext/>
              <w:autoSpaceDE w:val="0"/>
              <w:autoSpaceDN w:val="0"/>
              <w:adjustRightInd w:val="0"/>
              <w:spacing w:after="0"/>
              <w:jc w:val="right"/>
              <w:rPr>
                <w:rFonts w:ascii="Calibri" w:hAnsi="Calibri" w:cs="Calibri"/>
                <w:i/>
                <w:iCs/>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940F23">
            <w:pPr>
              <w:pStyle w:val="OGTabText"/>
              <w:keepNext/>
              <w:rPr>
                <w:lang w:eastAsia="en-AU"/>
              </w:rPr>
            </w:pPr>
            <w:r w:rsidRPr="00AF7B50">
              <w:rPr>
                <w:lang w:eastAsia="en-AU"/>
              </w:rPr>
              <w:t>Practitioner medicinal cannabis authorisations processed within prescribed timeline</w:t>
            </w:r>
          </w:p>
        </w:tc>
        <w:tc>
          <w:tcPr>
            <w:tcW w:w="907" w:type="dxa"/>
            <w:tcBorders>
              <w:top w:val="nil"/>
              <w:left w:val="nil"/>
              <w:bottom w:val="nil"/>
              <w:right w:val="nil"/>
            </w:tcBorders>
          </w:tcPr>
          <w:p w:rsidR="00E25CC6" w:rsidRPr="00AF7B50" w:rsidRDefault="00E25CC6" w:rsidP="00940F23">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940F23">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nil"/>
              <w:right w:val="nil"/>
            </w:tcBorders>
          </w:tcPr>
          <w:p w:rsidR="00E25CC6" w:rsidRPr="00AF7B50" w:rsidRDefault="00E25CC6" w:rsidP="00940F23">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bottom w:val="nil"/>
              <w:right w:val="nil"/>
            </w:tcBorders>
          </w:tcPr>
          <w:p w:rsidR="00E25CC6" w:rsidRPr="00AF7B50" w:rsidRDefault="00E25CC6" w:rsidP="00940F23">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bottom w:val="nil"/>
              <w:right w:val="nil"/>
            </w:tcBorders>
          </w:tcPr>
          <w:p w:rsidR="00E25CC6" w:rsidRPr="00AF7B50" w:rsidRDefault="00E25CC6" w:rsidP="00940F23">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DB07EE">
            <w:pPr>
              <w:pStyle w:val="OGNotes"/>
            </w:pPr>
            <w:r w:rsidRPr="00AF7B50">
              <w:t>New performance measure for 2016</w:t>
            </w:r>
            <w:r w:rsidRPr="00AF7B50">
              <w:noBreakHyphen/>
              <w:t>17 to reflect government priorities regarding medicinal cannabis. The 2016</w:t>
            </w:r>
            <w:r w:rsidRPr="00AF7B50">
              <w:noBreakHyphen/>
              <w:t>17 target is nominal and will be reviewed as the program is established.</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53.1</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43.8</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35.1</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13.1</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782E1E">
            <w:pPr>
              <w:pStyle w:val="OGNotes"/>
            </w:pPr>
            <w:r w:rsidRPr="00AF7B50">
              <w:t>The higher 2016</w:t>
            </w:r>
            <w:r w:rsidRPr="00AF7B50">
              <w:noBreakHyphen/>
              <w:t xml:space="preserve">17 target primarily reflects funding provided for government policy commitments. </w:t>
            </w:r>
          </w:p>
          <w:p w:rsidR="00E25CC6" w:rsidRPr="00AF7B50" w:rsidRDefault="00E25CC6" w:rsidP="006307F5">
            <w:pPr>
              <w:pStyle w:val="OGNotes"/>
            </w:pPr>
            <w:r w:rsidRPr="00AF7B50">
              <w:t>The 2015</w:t>
            </w:r>
            <w:r w:rsidRPr="00AF7B50">
              <w:noBreakHyphen/>
              <w:t>16 expected outcome is higher than the 2015–16 target due to the reallocation of the genomic testing funding from the Health Protection output and a realignment of corporate overheads.</w:t>
            </w:r>
          </w:p>
        </w:tc>
      </w:tr>
    </w:tbl>
    <w:p w:rsidR="00E25CC6" w:rsidRPr="00AF7B50" w:rsidRDefault="00E25CC6" w:rsidP="00262444">
      <w:pPr>
        <w:pStyle w:val="Source"/>
      </w:pPr>
      <w:r w:rsidRPr="00AF7B50">
        <w:t>Source: Department of Health and Human Services</w:t>
      </w:r>
      <w:bookmarkEnd w:id="80"/>
      <w:r w:rsidRPr="00AF7B50">
        <w:t xml:space="preserve"> </w:t>
      </w:r>
      <w:r w:rsidRPr="00AF7B50">
        <w:fldChar w:fldCharType="begin"/>
      </w:r>
      <w:r w:rsidRPr="00AF7B50">
        <w:instrText xml:space="preserve"> XE "Department of Health and Human Services:Public Health" \r "DHHS_PubHlth" </w:instrText>
      </w:r>
      <w:r w:rsidRPr="00AF7B50">
        <w:fldChar w:fldCharType="end"/>
      </w:r>
      <w:r>
        <w:t xml:space="preserve"> </w:t>
      </w:r>
      <w:r w:rsidRPr="00AF7B50">
        <w:fldChar w:fldCharType="begin"/>
      </w:r>
      <w:r w:rsidRPr="00AF7B50">
        <w:instrText xml:space="preserve"> XE "Health:Public Health" \r "DHHS_PubHlth" </w:instrText>
      </w:r>
      <w:r w:rsidRPr="00AF7B50">
        <w:fldChar w:fldCharType="end"/>
      </w:r>
      <w:r>
        <w:fldChar w:fldCharType="begin"/>
      </w:r>
      <w:r>
        <w:instrText xml:space="preserve"> XE "</w:instrText>
      </w:r>
      <w:r w:rsidRPr="009F2792">
        <w:instrText>Public Health</w:instrText>
      </w:r>
      <w:r>
        <w:instrText xml:space="preserve">" \r "DHHS_PubHlth" </w:instrText>
      </w:r>
      <w:r>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Drug Services</w:t>
      </w:r>
    </w:p>
    <w:p w:rsidR="00E25CC6" w:rsidRPr="00AF7B50" w:rsidRDefault="00E25CC6" w:rsidP="00262444">
      <w:pPr>
        <w:pStyle w:val="OGText"/>
        <w:rPr>
          <w:rFonts w:eastAsiaTheme="minorHAnsi"/>
        </w:rPr>
      </w:pPr>
      <w:bookmarkStart w:id="81" w:name="DHHS_DrugSvces"/>
      <w:r w:rsidRPr="00AF7B50">
        <w:rPr>
          <w:rFonts w:eastAsiaTheme="minorHAnsi"/>
        </w:rPr>
        <w:t>Drug Services outputs include programs and services aimed at promoting and protecting health by reducing death, disease and social harm caused by the use and misuse of licit and illicit drugs.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Drug Prevention and Control</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Encourages all Victorians to minimise the harmful effects of illicit and licit drugs, including alcohol, by providing a comprehensive range of strategies, which focus on enhanced community and professional education, targeted prevention and early intervention, and the use of effective regulation.</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Contacts through Family Drug Help</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5 000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5 000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5 000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6 424</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Licences and permits issued to health services or businesses for the manufacture, use or supply of drugs and poisons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1 425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1 425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1 425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1 475</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Needles and syringes provided through the Needle and Syringe Program</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8 800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8 800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8 800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8 979</w:t>
            </w: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pStyle w:val="OGTabText"/>
              <w:keepNext/>
              <w:rPr>
                <w:lang w:eastAsia="en-AU"/>
              </w:rPr>
            </w:pPr>
            <w:r w:rsidRPr="00AF7B50">
              <w:rPr>
                <w:lang w:eastAsia="en-AU"/>
              </w:rPr>
              <w:t>Number of telephone, email, website contacts and in person responses to queries and requests for information on alcohol and drug issues (through the Australian Drug Foundation)</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1 200 000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950 000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950 000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1 685 665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the focus on ice and ice</w:t>
            </w:r>
            <w:r w:rsidRPr="00AF7B50">
              <w:noBreakHyphen/>
              <w:t>related issues, causing a time</w:t>
            </w:r>
            <w:r w:rsidRPr="00AF7B50">
              <w:noBreakHyphen/>
              <w:t>limited increase in requests and queries for information.</w:t>
            </w:r>
          </w:p>
        </w:tc>
      </w:tr>
      <w:tr w:rsidR="00E25CC6" w:rsidRPr="00AF7B50" w:rsidTr="00C336DE">
        <w:trPr>
          <w:cantSplit/>
        </w:trPr>
        <w:tc>
          <w:tcPr>
            <w:tcW w:w="3146" w:type="dxa"/>
            <w:tcBorders>
              <w:top w:val="nil"/>
              <w:left w:val="nil"/>
              <w:bottom w:val="nil"/>
              <w:right w:val="nil"/>
            </w:tcBorders>
          </w:tcPr>
          <w:p w:rsidR="00E25CC6" w:rsidRPr="00AF7B50" w:rsidRDefault="00E25CC6" w:rsidP="005F6A28">
            <w:pPr>
              <w:pStyle w:val="OGTabText"/>
              <w:rPr>
                <w:lang w:eastAsia="en-AU"/>
              </w:rPr>
            </w:pPr>
            <w:r w:rsidRPr="00AF7B50">
              <w:rPr>
                <w:lang w:eastAsia="en-AU"/>
              </w:rPr>
              <w:t>Treatment permits issued to medical practitioners or nurse practitioners to prescribe Schedule 8 drugs, including pharmacotherapy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39 773</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lower than the 2015</w:t>
            </w:r>
            <w:r w:rsidRPr="00AF7B50">
              <w:noBreakHyphen/>
              <w:t>16 target due to a reduction in Schedule 8 permit requirements.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Pharmacotherapy permits processed within designated timeframe</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r>
      <w:tr w:rsidR="00E25CC6" w:rsidRPr="00AF7B50" w:rsidTr="00C336DE">
        <w:trPr>
          <w:cantSplit/>
        </w:trPr>
        <w:tc>
          <w:tcPr>
            <w:tcW w:w="3146" w:type="dxa"/>
            <w:tcBorders>
              <w:top w:val="nil"/>
              <w:left w:val="nil"/>
              <w:bottom w:val="nil"/>
              <w:right w:val="nil"/>
            </w:tcBorders>
          </w:tcPr>
          <w:p w:rsidR="00E25CC6" w:rsidRPr="00AF7B50" w:rsidRDefault="00E25CC6" w:rsidP="007A0CD9">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7A0CD9">
            <w:pPr>
              <w:keepNext/>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r>
      <w:tr w:rsidR="00E25CC6" w:rsidRPr="00AF7B50" w:rsidTr="00B3364D">
        <w:trPr>
          <w:cantSplit/>
        </w:trPr>
        <w:tc>
          <w:tcPr>
            <w:tcW w:w="3146" w:type="dxa"/>
            <w:tcBorders>
              <w:top w:val="nil"/>
              <w:left w:val="nil"/>
              <w:right w:val="nil"/>
            </w:tcBorders>
          </w:tcPr>
          <w:p w:rsidR="00E25CC6" w:rsidRPr="00AF7B50" w:rsidRDefault="00E25CC6" w:rsidP="007A0CD9">
            <w:pPr>
              <w:pStyle w:val="OGTabText"/>
              <w:keepN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7A0CD9">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34.6</w:t>
            </w:r>
          </w:p>
        </w:tc>
        <w:tc>
          <w:tcPr>
            <w:tcW w:w="992" w:type="dxa"/>
            <w:tcBorders>
              <w:top w:val="nil"/>
              <w:left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33.3</w:t>
            </w:r>
          </w:p>
        </w:tc>
        <w:tc>
          <w:tcPr>
            <w:tcW w:w="907" w:type="dxa"/>
            <w:tcBorders>
              <w:top w:val="nil"/>
              <w:left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33.8</w:t>
            </w:r>
          </w:p>
        </w:tc>
        <w:tc>
          <w:tcPr>
            <w:tcW w:w="908" w:type="dxa"/>
            <w:tcBorders>
              <w:top w:val="nil"/>
              <w:left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25.6</w:t>
            </w:r>
          </w:p>
        </w:tc>
      </w:tr>
      <w:tr w:rsidR="00E25CC6" w:rsidRPr="00AF7B50" w:rsidTr="00B3364D">
        <w:trPr>
          <w:cantSplit/>
        </w:trPr>
        <w:tc>
          <w:tcPr>
            <w:tcW w:w="7767" w:type="dxa"/>
            <w:gridSpan w:val="6"/>
            <w:tcBorders>
              <w:top w:val="nil"/>
              <w:left w:val="nil"/>
              <w:bottom w:val="single" w:sz="6" w:space="0" w:color="auto"/>
              <w:right w:val="nil"/>
            </w:tcBorders>
          </w:tcPr>
          <w:p w:rsidR="00E25CC6" w:rsidRPr="00AF7B50" w:rsidRDefault="00E25CC6" w:rsidP="00B3364D">
            <w:pPr>
              <w:pStyle w:val="OGNotes"/>
              <w:rPr>
                <w:rFonts w:cs="Calibri"/>
                <w:sz w:val="19"/>
                <w:szCs w:val="22"/>
              </w:rPr>
            </w:pPr>
            <w:r w:rsidRPr="00AF7B50">
              <w:t>The higher 2016-17 target primarily reflects price escalation including National Health Reform adjustment.</w:t>
            </w:r>
          </w:p>
        </w:tc>
      </w:tr>
      <w:tr w:rsidR="00E25CC6" w:rsidRPr="00AF7B50" w:rsidTr="00B3364D">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Drug Treatment and Rehabilitation</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AC29F8">
            <w:pPr>
              <w:pStyle w:val="OGText"/>
              <w:rPr>
                <w:lang w:eastAsia="en-AU"/>
              </w:rPr>
            </w:pPr>
            <w:r w:rsidRPr="00AF7B50">
              <w:rPr>
                <w:lang w:eastAsia="en-AU"/>
              </w:rPr>
              <w:t>Assists the community and individuals to control and reduce the harmful effects of illicit and licit drugs, including alcohol, in Victoria through the provision of community</w:t>
            </w:r>
            <w:r w:rsidRPr="00AF7B50">
              <w:rPr>
                <w:lang w:eastAsia="en-AU"/>
              </w:rPr>
              <w:noBreakHyphen/>
              <w:t>based non</w:t>
            </w:r>
            <w:r w:rsidRPr="00AF7B50">
              <w:rPr>
                <w:lang w:eastAsia="en-AU"/>
              </w:rPr>
              <w:noBreakHyphen/>
              <w:t>residential and residential treatment services, education and training, and support services.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Clients on the pharmacotherapy program</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14 000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14 000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14 000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14 122</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Commenced courses of treatment: community</w:t>
            </w:r>
            <w:r w:rsidRPr="00AF7B50">
              <w:rPr>
                <w:lang w:eastAsia="en-AU"/>
              </w:rPr>
              <w:noBreakHyphen/>
              <w:t>based drug treatment services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7 494</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6 755</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6 755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14 480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youth growth funding.</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Commenced courses of treatment: residential</w:t>
            </w:r>
            <w:r w:rsidRPr="00AF7B50">
              <w:rPr>
                <w:lang w:eastAsia="en-AU"/>
              </w:rPr>
              <w:noBreakHyphen/>
              <w:t>based drug treatment services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6 302</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6 062</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6 062</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5 994</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residential withdrawal growth funding provided for the Tackling Ice and Other Drugs initiative that commenced late in 2015</w:t>
            </w:r>
            <w:r w:rsidRPr="00AF7B50">
              <w:noBreakHyphen/>
              <w:t>16.</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Drug Treatment Activity Units (DTAUs)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75 885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67 394</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67 394</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34 795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new funding for therapeutic day rehabilitation programs and adult non</w:t>
            </w:r>
            <w:r w:rsidRPr="00AF7B50">
              <w:noBreakHyphen/>
              <w:t>residential growth.</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new residential withdrawal clients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2 200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2 200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2 200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1 906</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Residential bed days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107 310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107 310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107 310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127 686</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new clients to existing clients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39</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residential rehabilitation courses of treatment greater than 65 days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43</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Successful courses of treatment (episodes of care): community</w:t>
            </w:r>
            <w:r w:rsidRPr="00AF7B50">
              <w:rPr>
                <w:lang w:eastAsia="en-AU"/>
              </w:rPr>
              <w:noBreakHyphen/>
              <w:t>based drug treatment services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6 508</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5 868</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5 868</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11 957</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030739">
            <w:pPr>
              <w:pStyle w:val="OGNotes"/>
            </w:pPr>
            <w:r w:rsidRPr="00AF7B50">
              <w:t>The higher 2016</w:t>
            </w:r>
            <w:r w:rsidRPr="00AF7B50">
              <w:noBreakHyphen/>
              <w:t>17 target reflects the additional youth services provided by the Tackling Ice and Other Drugs funding rolled out in late 2015</w:t>
            </w:r>
            <w:r w:rsidRPr="00AF7B50">
              <w:noBreakHyphen/>
              <w:t>16.</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Successful courses of treatment (episodes of care): residential</w:t>
            </w:r>
            <w:r w:rsidRPr="00AF7B50">
              <w:rPr>
                <w:lang w:eastAsia="en-AU"/>
              </w:rPr>
              <w:noBreakHyphen/>
              <w:t>based drug treatment services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5 859</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5 636</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5 636</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5 359</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residential growth.</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Trained alcohol and drug workers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68</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Average working days between screening of client and commencement of community</w:t>
            </w:r>
            <w:r w:rsidRPr="00AF7B50">
              <w:rPr>
                <w:lang w:eastAsia="en-AU"/>
              </w:rPr>
              <w:noBreakHyphen/>
              <w:t>based drug treatment</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days</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0.3</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Average working days between screening of client and commencement of residential</w:t>
            </w:r>
            <w:r w:rsidRPr="00AF7B50">
              <w:rPr>
                <w:lang w:eastAsia="en-AU"/>
              </w:rPr>
              <w:noBreakHyphen/>
              <w:t>based drug treatment</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days</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B55F5C">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157.9</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153.7</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147.5</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140.2</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C336DE">
            <w:pPr>
              <w:pStyle w:val="OGNotes"/>
            </w:pPr>
            <w:r w:rsidRPr="00AF7B50">
              <w:t>The higher 2016</w:t>
            </w:r>
            <w:r w:rsidRPr="00AF7B50">
              <w:noBreakHyphen/>
              <w:t>17 target primarily reflects funding provided for government policy commitments.</w:t>
            </w:r>
          </w:p>
        </w:tc>
      </w:tr>
    </w:tbl>
    <w:p w:rsidR="00E25CC6" w:rsidRPr="00AF7B50" w:rsidRDefault="00E25CC6" w:rsidP="00262444">
      <w:pPr>
        <w:pStyle w:val="Source"/>
      </w:pPr>
      <w:r w:rsidRPr="00AF7B50">
        <w:t>Source: Department of Health and Human Services</w:t>
      </w:r>
      <w:bookmarkEnd w:id="81"/>
      <w:r w:rsidRPr="00AF7B50">
        <w:t xml:space="preserve"> </w:t>
      </w:r>
      <w:r w:rsidRPr="00AF7B50">
        <w:fldChar w:fldCharType="begin"/>
      </w:r>
      <w:r w:rsidRPr="00AF7B50">
        <w:instrText xml:space="preserve"> XE "Department of Health and Human Services:Drug Services" \r "DHHS_DrugSvces" </w:instrText>
      </w:r>
      <w:r w:rsidRPr="00AF7B50">
        <w:fldChar w:fldCharType="end"/>
      </w:r>
      <w:r>
        <w:t xml:space="preserve"> </w:t>
      </w:r>
      <w:r w:rsidRPr="00AF7B50">
        <w:fldChar w:fldCharType="begin"/>
      </w:r>
      <w:r w:rsidRPr="00AF7B50">
        <w:instrText xml:space="preserve"> XE "Health:Drug Services" \r "DHHS_DrugSvces" </w:instrText>
      </w:r>
      <w:r w:rsidRPr="00AF7B50">
        <w:fldChar w:fldCharType="end"/>
      </w:r>
      <w:r>
        <w:t xml:space="preserve"> </w:t>
      </w:r>
      <w:r>
        <w:fldChar w:fldCharType="begin"/>
      </w:r>
      <w:r>
        <w:instrText xml:space="preserve"> XE "</w:instrText>
      </w:r>
      <w:r w:rsidRPr="009F2792">
        <w:instrText>Drug Services</w:instrText>
      </w:r>
      <w:r>
        <w:instrText xml:space="preserve">" \r "DHHS_DrugSvces" </w:instrText>
      </w:r>
      <w:r>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Disability Services</w:t>
      </w:r>
    </w:p>
    <w:p w:rsidR="00E25CC6" w:rsidRPr="00AF7B50" w:rsidRDefault="00E25CC6" w:rsidP="00262444">
      <w:pPr>
        <w:pStyle w:val="OGText"/>
        <w:rPr>
          <w:rFonts w:eastAsiaTheme="minorHAnsi"/>
        </w:rPr>
      </w:pPr>
      <w:bookmarkStart w:id="82" w:name="DHHS_DisabSvces"/>
      <w:r w:rsidRPr="00AF7B50">
        <w:rPr>
          <w:rFonts w:eastAsiaTheme="minorHAnsi"/>
        </w:rPr>
        <w:t>The Disability Services output, through the provision of continuing care and support services for people with disabilities, their carers and their families, aims to make a positive difference for Victorians experiencing disadvantage and provide excellent community services to meet clients</w:t>
      </w:r>
      <w:r>
        <w:rPr>
          <w:rFonts w:eastAsiaTheme="minorHAnsi"/>
        </w:rPr>
        <w:t>’</w:t>
      </w:r>
      <w:r w:rsidRPr="00AF7B50">
        <w:rPr>
          <w:rFonts w:eastAsiaTheme="minorHAnsi"/>
        </w:rPr>
        <w:t xml:space="preserve"> needs.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Disability Services</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This output provides:</w:t>
            </w:r>
          </w:p>
          <w:p w:rsidR="00E25CC6" w:rsidRPr="00AF7B50" w:rsidRDefault="00E25CC6" w:rsidP="00E85815">
            <w:pPr>
              <w:pStyle w:val="OGBullet"/>
              <w:rPr>
                <w:lang w:eastAsia="en-AU"/>
              </w:rPr>
            </w:pPr>
            <w:r w:rsidRPr="00AF7B50">
              <w:rPr>
                <w:lang w:eastAsia="en-AU"/>
              </w:rPr>
              <w:t>programs and resources that enable clients with a disability to exercise choice and control through the use of packages of individualised funding;</w:t>
            </w:r>
          </w:p>
          <w:p w:rsidR="00E25CC6" w:rsidRPr="00AF7B50" w:rsidRDefault="00E25CC6" w:rsidP="00E85815">
            <w:pPr>
              <w:pStyle w:val="OGBullet"/>
              <w:rPr>
                <w:lang w:eastAsia="en-AU"/>
              </w:rPr>
            </w:pPr>
            <w:r w:rsidRPr="00AF7B50">
              <w:rPr>
                <w:lang w:eastAsia="en-AU"/>
              </w:rPr>
              <w:t>specialised support for people with a disability and resources and programs that build capacity to respond to the needs of people with a disability; and</w:t>
            </w:r>
          </w:p>
          <w:p w:rsidR="00E25CC6" w:rsidRPr="00AF7B50" w:rsidRDefault="00E25CC6" w:rsidP="00E85815">
            <w:pPr>
              <w:pStyle w:val="OGBullet"/>
              <w:rPr>
                <w:lang w:eastAsia="en-AU"/>
              </w:rPr>
            </w:pPr>
            <w:r w:rsidRPr="00AF7B50">
              <w:rPr>
                <w:lang w:eastAsia="en-AU"/>
              </w:rPr>
              <w:t>bed and facility</w:t>
            </w:r>
            <w:r w:rsidRPr="00AF7B50">
              <w:rPr>
                <w:lang w:eastAsia="en-AU"/>
              </w:rPr>
              <w:noBreakHyphen/>
              <w:t>based services characterised by the bundling of accommodation services and disability support.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Clients accessing aids and equipment</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30 307</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30 307</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30 307</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31 619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Clients in residential institutions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79</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3433CD">
            <w:pPr>
              <w:pStyle w:val="OGNotes"/>
              <w:rPr>
                <w:b/>
              </w:rPr>
            </w:pPr>
            <w:r w:rsidRPr="00AF7B50">
              <w:t>The lower 2016</w:t>
            </w:r>
            <w:r w:rsidRPr="00AF7B50">
              <w:noBreakHyphen/>
              <w:t>17 target reflects the closure of the Colanda Residential Services disability institution, to be replaced by contemporary, community</w:t>
            </w:r>
            <w:r w:rsidRPr="00AF7B50">
              <w:noBreakHyphen/>
              <w:t>based housing options for residents.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Clients receiving case management services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5 300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5 325</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5 300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5 418</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Note that future reporting against this target will reflect the transition of Victorian clients to the National Disability Insurance Scheme.</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Clients receiving individualised support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16 192</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15 382</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16 192</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15 110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F01D4A">
            <w:pPr>
              <w:pStyle w:val="OGNotes"/>
            </w:pPr>
            <w:r w:rsidRPr="00AF7B50">
              <w:t>The 2015</w:t>
            </w:r>
            <w:r w:rsidRPr="00AF7B50">
              <w:noBreakHyphen/>
              <w:t>16 expected outcome is lower than the 2015</w:t>
            </w:r>
            <w:r w:rsidRPr="00AF7B50">
              <w:noBreakHyphen/>
              <w:t>16 target due to clients who have exited to the National Disability Insurance Scheme. Note that future reporting against this target will reflect the transition of Victorian clients to the National Disability Insurance Scheme.</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Hours of community</w:t>
            </w:r>
            <w:r w:rsidRPr="00AF7B50">
              <w:rPr>
                <w:lang w:eastAsia="en-AU"/>
              </w:rPr>
              <w:noBreakHyphen/>
              <w:t>based respite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1 000 000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1 265 000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1 000 000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1 265 077</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due to an increased focus on reporting and clarification of counting rules for group activities. Note that future reporting against this target will reflect the transition of Victorian clients to the National Disability Insurance Scheme.</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respite days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101 475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104 151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101 475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101 071.6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Note that future reporting against this target will reflect the transition of Victorian clients to the National Disability Insurance Scheme.</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supported accommodation beds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5 141</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5 141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5 141</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5 112</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Note that future reporting against this target will reflect the transition of Victorian clients to the National Disability Insurance Scheme.</w:t>
            </w:r>
          </w:p>
        </w:tc>
      </w:tr>
      <w:tr w:rsidR="00E25CC6" w:rsidRPr="00AF7B50" w:rsidTr="00C336DE">
        <w:trPr>
          <w:cantSplit/>
        </w:trPr>
        <w:tc>
          <w:tcPr>
            <w:tcW w:w="3146" w:type="dxa"/>
            <w:tcBorders>
              <w:top w:val="nil"/>
              <w:left w:val="nil"/>
              <w:bottom w:val="nil"/>
              <w:right w:val="nil"/>
            </w:tcBorders>
          </w:tcPr>
          <w:p w:rsidR="00E25CC6" w:rsidRPr="00AF7B50" w:rsidRDefault="00E25CC6" w:rsidP="00262444">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Clients satisfied with the aids and equipment services system</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Clients who have had a comprehensive health status review</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98.9</w:t>
            </w: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pStyle w:val="OGTabText"/>
              <w:keepNext/>
              <w:rPr>
                <w:lang w:eastAsia="en-AU"/>
              </w:rPr>
            </w:pPr>
            <w:r w:rsidRPr="00AF7B50">
              <w:rPr>
                <w:lang w:eastAsia="en-AU"/>
              </w:rPr>
              <w:t>Organisations that have successfully completed a quality review (accommodation supports)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as all organisations have either achieved or maintained certification/accreditation against the Human Services standards.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Organisations that have successfully completed a quality review (client services and capacity)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as all organisations have either achieved or maintained certification/accreditation against the Human Services standards.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Organisations that have successfully completed a quality review (individualised supports)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as all organisations have either achieved or maintained certification/accreditation against the Human Services standards.</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Support plans reviewed at least once during each period of three years commencing from when the support plan was first prepared (accommodation supports)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95.7</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Support plans reviewed at least once during each period of three years commencing from when the support plan was first prepared (individualised supports)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83</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84</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lower than the 2015</w:t>
            </w:r>
            <w:r w:rsidRPr="00AF7B50">
              <w:noBreakHyphen/>
              <w:t>16 target due to additional effort directed towards clients with complex needs whose cases required more frequent review.</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4A0E8D">
            <w:pPr>
              <w:pStyle w:val="OGTabText"/>
              <w:rPr>
                <w:lang w:eastAsia="en-AU"/>
              </w:rPr>
            </w:pPr>
            <w:r w:rsidRPr="00AF7B50">
              <w:rPr>
                <w:lang w:eastAsia="en-AU"/>
              </w:rPr>
              <w:t>Support plans reviewed every 12 months for persons residing in residential institutions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Applications for aids and equipment acknowledged in writing within 10 working days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indicating a responsive service. This is a positive result.</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Proportion of clients whose support is commenced within departmental timelines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94.2</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5F6A28">
            <w:pPr>
              <w:pStyle w:val="OGTabText"/>
              <w:rPr>
                <w:lang w:eastAsia="en-AU"/>
              </w:rPr>
            </w:pPr>
            <w:r w:rsidRPr="00AF7B50">
              <w:rPr>
                <w:lang w:eastAsia="en-AU"/>
              </w:rPr>
              <w:t>Support plans prepared within 60 days of the person commencing to regularly access the disability services (accommodation supports)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99.5</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5F6A28">
            <w:pPr>
              <w:pStyle w:val="OGTabText"/>
              <w:rPr>
                <w:lang w:eastAsia="en-AU"/>
              </w:rPr>
            </w:pPr>
            <w:r w:rsidRPr="00AF7B50">
              <w:rPr>
                <w:lang w:eastAsia="en-AU"/>
              </w:rPr>
              <w:t>Support plans prepared within 60 days of the person commencing to regularly access the disability services (individualised supports)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91.3</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Supported accommodation occupancy rate</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97.5</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1 683.4</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1 774.3</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1 780.0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1 651.1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AC29F8">
            <w:pPr>
              <w:pStyle w:val="OGNotes"/>
            </w:pPr>
            <w:r w:rsidRPr="00AF7B50">
              <w:t>The lower 2016</w:t>
            </w:r>
            <w:r w:rsidRPr="00AF7B50">
              <w:noBreakHyphen/>
              <w:t>17 target reflects the transfer of funding to establish the new output that identifies the Department</w:t>
            </w:r>
            <w:r>
              <w:t>’</w:t>
            </w:r>
            <w:r w:rsidRPr="00AF7B50">
              <w:t>s contribution to the National Disability Insurance Scheme.</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Victorian Contribution to National Disability Insurance Scheme</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AC29F8">
            <w:pPr>
              <w:pStyle w:val="OGText"/>
              <w:rPr>
                <w:lang w:eastAsia="en-AU"/>
              </w:rPr>
            </w:pPr>
            <w:r w:rsidRPr="00AF7B50">
              <w:rPr>
                <w:lang w:eastAsia="en-AU"/>
              </w:rPr>
              <w:t>This is the department</w:t>
            </w:r>
            <w:r>
              <w:rPr>
                <w:lang w:eastAsia="en-AU"/>
              </w:rPr>
              <w:t>’</w:t>
            </w:r>
            <w:r w:rsidRPr="00AF7B50">
              <w:rPr>
                <w:lang w:eastAsia="en-AU"/>
              </w:rPr>
              <w:t>s contribution to the National Disability Insurance Scheme. The Scheme ensures that people with severe or profound disabilities can access the supports they need to live the life they want and achieve their goals and aspirations.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2C3A3A">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National Disability Insurance Scheme participants</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20 205</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449C3">
        <w:trPr>
          <w:cantSplit/>
        </w:trPr>
        <w:tc>
          <w:tcPr>
            <w:tcW w:w="7767" w:type="dxa"/>
            <w:gridSpan w:val="6"/>
            <w:tcBorders>
              <w:top w:val="nil"/>
              <w:left w:val="nil"/>
              <w:bottom w:val="single" w:sz="6" w:space="0" w:color="auto"/>
              <w:right w:val="nil"/>
            </w:tcBorders>
          </w:tcPr>
          <w:p w:rsidR="00E25CC6" w:rsidRPr="00AF7B50" w:rsidRDefault="00E25CC6" w:rsidP="002C3A3A">
            <w:pPr>
              <w:pStyle w:val="OGNotes"/>
              <w:rPr>
                <w:rFonts w:cs="Calibri"/>
                <w:sz w:val="19"/>
                <w:szCs w:val="22"/>
              </w:rPr>
            </w:pPr>
            <w:r w:rsidRPr="00AF7B50">
              <w:t>New performance measure for 2016–17 to reflect Victoria</w:t>
            </w:r>
            <w:r>
              <w:t>’</w:t>
            </w:r>
            <w:r w:rsidRPr="00AF7B50">
              <w:t>s expected number of National Disability Insurance Scheme participants.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912E1F">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268.6</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C336DE">
            <w:pPr>
              <w:pStyle w:val="OGNotes"/>
            </w:pPr>
            <w:r w:rsidRPr="00AF7B50">
              <w:t>The new output for 2016</w:t>
            </w:r>
            <w:r w:rsidRPr="00AF7B50">
              <w:noBreakHyphen/>
              <w:t>17 includes funding previously reported in the HACC Primary Health, Community Care and Support output, the Disability Services output and the Mental Health Community Support Services (MHCSS) output. Funding contributions to the National Disability Insurance Scheme from the Department of Economic Development, Jobs, Transport and Resources and the Department of Education and Training are not included.</w:t>
            </w:r>
          </w:p>
        </w:tc>
      </w:tr>
    </w:tbl>
    <w:p w:rsidR="00E25CC6" w:rsidRPr="00AF7B50" w:rsidRDefault="00E25CC6" w:rsidP="00262444">
      <w:pPr>
        <w:pStyle w:val="Source"/>
      </w:pPr>
      <w:r w:rsidRPr="00AF7B50">
        <w:t>Source: Department of Health and Human Services</w:t>
      </w:r>
      <w:bookmarkEnd w:id="82"/>
      <w:r w:rsidRPr="00AF7B50">
        <w:t xml:space="preserve"> </w:t>
      </w:r>
      <w:r w:rsidRPr="00AF7B50">
        <w:fldChar w:fldCharType="begin"/>
      </w:r>
      <w:r w:rsidRPr="00AF7B50">
        <w:instrText xml:space="preserve"> XE "Department of Health and Human Services:Disability Services" \r "DHHS_DisabSvces" </w:instrText>
      </w:r>
      <w:r w:rsidRPr="00AF7B50">
        <w:fldChar w:fldCharType="end"/>
      </w:r>
      <w:r>
        <w:t xml:space="preserve"> </w:t>
      </w:r>
      <w:r w:rsidRPr="00AF7B50">
        <w:fldChar w:fldCharType="begin"/>
      </w:r>
      <w:r w:rsidRPr="00AF7B50">
        <w:instrText xml:space="preserve"> XE "Health:Disability Services" \r "DHHS_DisabSvces" </w:instrText>
      </w:r>
      <w:r w:rsidRPr="00AF7B50">
        <w:fldChar w:fldCharType="end"/>
      </w:r>
      <w:r>
        <w:t xml:space="preserve"> </w:t>
      </w:r>
      <w:r>
        <w:fldChar w:fldCharType="begin"/>
      </w:r>
      <w:r>
        <w:instrText xml:space="preserve"> XE "</w:instrText>
      </w:r>
      <w:r w:rsidRPr="009F2792">
        <w:instrText>Disability Services</w:instrText>
      </w:r>
      <w:r>
        <w:instrText xml:space="preserve">" \r "DHHS_DisabSvces" </w:instrText>
      </w:r>
      <w:r>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Child Protection and Family Services</w:t>
      </w:r>
    </w:p>
    <w:p w:rsidR="00E25CC6" w:rsidRPr="00AF7B50" w:rsidRDefault="00E25CC6" w:rsidP="00262444">
      <w:pPr>
        <w:pStyle w:val="OGText"/>
        <w:rPr>
          <w:rFonts w:eastAsiaTheme="minorHAnsi"/>
        </w:rPr>
      </w:pPr>
      <w:bookmarkStart w:id="83" w:name="DHHS_ChildProtect"/>
      <w:r w:rsidRPr="00AF7B50">
        <w:rPr>
          <w:rFonts w:eastAsiaTheme="minorHAnsi"/>
        </w:rPr>
        <w:t>The Child Protection and Family Services output, through the funding and statutory child protection services, family support and parenting services, family violence and sexual assault services, adoption and placement care services and specialist support services, aims to ensure the safety and wellbeing of adolescents and children at risk of harm, abuse and neglect. This output aims to make a positive difference for Victorians experiencing disadvantage by providing excellent community services to meet clients</w:t>
      </w:r>
      <w:r>
        <w:rPr>
          <w:rFonts w:eastAsiaTheme="minorHAnsi"/>
        </w:rPr>
        <w:t>’</w:t>
      </w:r>
      <w:r w:rsidRPr="00AF7B50">
        <w:rPr>
          <w:rFonts w:eastAsiaTheme="minorHAnsi"/>
        </w:rPr>
        <w:t xml:space="preserve"> needs.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Child Protection and Family Services</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This output provides:</w:t>
            </w:r>
          </w:p>
          <w:p w:rsidR="00E25CC6" w:rsidRPr="00AF7B50" w:rsidRDefault="00E25CC6" w:rsidP="00E85815">
            <w:pPr>
              <w:pStyle w:val="OGBullet"/>
              <w:rPr>
                <w:lang w:eastAsia="en-AU"/>
              </w:rPr>
            </w:pPr>
            <w:r w:rsidRPr="00AF7B50">
              <w:rPr>
                <w:lang w:eastAsia="en-AU"/>
              </w:rPr>
              <w:t>child protection services to ensure the safety and wellbeing of children and young people at risk of harm, abuse and neglect;</w:t>
            </w:r>
          </w:p>
          <w:p w:rsidR="00E25CC6" w:rsidRPr="00AF7B50" w:rsidRDefault="00E25CC6" w:rsidP="00E85815">
            <w:pPr>
              <w:pStyle w:val="OGBullet"/>
              <w:rPr>
                <w:lang w:eastAsia="en-AU"/>
              </w:rPr>
            </w:pPr>
            <w:r w:rsidRPr="00AF7B50">
              <w:rPr>
                <w:lang w:eastAsia="en-AU"/>
              </w:rPr>
              <w:t>specialist support and placement services to ensure the safety and wellbeing of children and young people who require support to remain with their family or are placed in out</w:t>
            </w:r>
            <w:r w:rsidRPr="00AF7B50">
              <w:rPr>
                <w:lang w:eastAsia="en-AU"/>
              </w:rPr>
              <w:noBreakHyphen/>
              <w:t>of</w:t>
            </w:r>
            <w:r w:rsidRPr="00AF7B50">
              <w:rPr>
                <w:lang w:eastAsia="en-AU"/>
              </w:rPr>
              <w:noBreakHyphen/>
              <w:t>home care; and</w:t>
            </w:r>
          </w:p>
          <w:p w:rsidR="00E25CC6" w:rsidRPr="00AF7B50" w:rsidRDefault="00E25CC6" w:rsidP="00E85815">
            <w:pPr>
              <w:pStyle w:val="OGBullet"/>
              <w:rPr>
                <w:lang w:eastAsia="en-AU"/>
              </w:rPr>
            </w:pPr>
            <w:r w:rsidRPr="00AF7B50">
              <w:rPr>
                <w:lang w:eastAsia="en-AU"/>
              </w:rPr>
              <w:t>a range of early intervention and support services to ensure the safety and wellbeing of children, young people and families.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Daily average number of children in out</w:t>
            </w:r>
            <w:r w:rsidRPr="00AF7B50">
              <w:rPr>
                <w:lang w:eastAsia="en-AU"/>
              </w:rPr>
              <w:noBreakHyphen/>
              <w:t>of</w:t>
            </w:r>
            <w:r w:rsidRPr="00AF7B50">
              <w:rPr>
                <w:lang w:eastAsia="en-AU"/>
              </w:rPr>
              <w:noBreakHyphen/>
              <w:t>home care placements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8 159</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8 505</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7 500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8 043</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452B9E">
            <w:pPr>
              <w:pStyle w:val="OGNotes"/>
            </w:pPr>
            <w:r w:rsidRPr="00AF7B50">
              <w:t>The 2015</w:t>
            </w:r>
            <w:r w:rsidRPr="00AF7B50">
              <w:noBreakHyphen/>
              <w:t>16 expected outcome is higher than the 2015</w:t>
            </w:r>
            <w:r w:rsidRPr="00AF7B50">
              <w:noBreakHyphen/>
              <w:t>16 target due to increased demand with a heightened observance of child abuse in the community arising from inquiries such as the Royal Commission into Family Violence and the Royal Commission into Institutional Child Sexual Abuse. In addition, children and young people are remaining in out</w:t>
            </w:r>
            <w:r w:rsidRPr="00AF7B50">
              <w:noBreakHyphen/>
              <w:t>of</w:t>
            </w:r>
            <w:r w:rsidRPr="00AF7B50">
              <w:noBreakHyphen/>
              <w:t>home care longer. The higher 2016</w:t>
            </w:r>
            <w:r w:rsidRPr="00AF7B50">
              <w:noBreakHyphen/>
              <w:t>17 target also reflects increased demand and length of stay in out-of-home care.</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Child FIRST assessments and interventions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69550A">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11 931</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14 538</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11 681</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13 576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E530D">
            <w:pPr>
              <w:pStyle w:val="OGNotes"/>
            </w:pPr>
            <w:r w:rsidRPr="00AF7B50">
              <w:t>The higher 2016–17 target reflects funding provided for government policy commitments. The 2015</w:t>
            </w:r>
            <w:r w:rsidRPr="00AF7B50">
              <w:noBreakHyphen/>
              <w:t>16 expected outcome is higher than the 2015</w:t>
            </w:r>
            <w:r w:rsidRPr="00AF7B50">
              <w:noBreakHyphen/>
              <w:t xml:space="preserve">16 target due to continuing high demand for assistance and additional investment. </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children in kinship care whose placements are managed by community service organisations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715</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children receiving an intensive support service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1 400</w:t>
            </w:r>
          </w:p>
        </w:tc>
      </w:tr>
      <w:tr w:rsidR="00E25CC6" w:rsidRPr="00AF7B50" w:rsidTr="00880886">
        <w:trPr>
          <w:cantSplit/>
        </w:trPr>
        <w:tc>
          <w:tcPr>
            <w:tcW w:w="3146" w:type="dxa"/>
            <w:tcBorders>
              <w:top w:val="single" w:sz="6" w:space="0" w:color="auto"/>
              <w:left w:val="nil"/>
              <w:right w:val="nil"/>
            </w:tcBorders>
          </w:tcPr>
          <w:p w:rsidR="00E25CC6" w:rsidRPr="00AF7B50" w:rsidRDefault="00E25CC6" w:rsidP="00880886">
            <w:pPr>
              <w:pStyle w:val="OGTabText"/>
              <w:rPr>
                <w:lang w:eastAsia="en-AU"/>
              </w:rPr>
            </w:pPr>
            <w:r w:rsidRPr="00AF7B50">
              <w:rPr>
                <w:lang w:eastAsia="en-AU"/>
              </w:rPr>
              <w:t>Number of family services cases provided to Aboriginal families</w:t>
            </w:r>
          </w:p>
        </w:tc>
        <w:tc>
          <w:tcPr>
            <w:tcW w:w="907" w:type="dxa"/>
            <w:tcBorders>
              <w:top w:val="single" w:sz="6" w:space="0" w:color="auto"/>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2 547</w:t>
            </w:r>
          </w:p>
        </w:tc>
        <w:tc>
          <w:tcPr>
            <w:tcW w:w="992"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2 766</w:t>
            </w:r>
          </w:p>
        </w:tc>
        <w:tc>
          <w:tcPr>
            <w:tcW w:w="907"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2 547</w:t>
            </w:r>
          </w:p>
        </w:tc>
        <w:tc>
          <w:tcPr>
            <w:tcW w:w="908"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2 346</w:t>
            </w:r>
          </w:p>
        </w:tc>
      </w:tr>
      <w:tr w:rsidR="00E25CC6" w:rsidRPr="00AF7B50" w:rsidTr="005E18CE">
        <w:trPr>
          <w:cantSplit/>
        </w:trPr>
        <w:tc>
          <w:tcPr>
            <w:tcW w:w="7767" w:type="dxa"/>
            <w:gridSpan w:val="6"/>
            <w:tcBorders>
              <w:left w:val="nil"/>
              <w:bottom w:val="single" w:sz="6" w:space="0" w:color="auto"/>
              <w:right w:val="nil"/>
            </w:tcBorders>
          </w:tcPr>
          <w:p w:rsidR="00E25CC6" w:rsidRPr="00AF7B50" w:rsidRDefault="00E25CC6" w:rsidP="00880886">
            <w:pPr>
              <w:pStyle w:val="OGNotes"/>
              <w:rPr>
                <w:rFonts w:cs="Calibri"/>
                <w:sz w:val="19"/>
                <w:szCs w:val="22"/>
              </w:rPr>
            </w:pPr>
            <w:r w:rsidRPr="00AF7B50">
              <w:t>The 2015</w:t>
            </w:r>
            <w:r w:rsidRPr="00AF7B50">
              <w:noBreakHyphen/>
              <w:t>16 expected outcome is higher than the 2015</w:t>
            </w:r>
            <w:r w:rsidRPr="00AF7B50">
              <w:noBreakHyphen/>
              <w:t>16 target due to the prioritisation of Aboriginal families in service design of 2015</w:t>
            </w:r>
            <w:r w:rsidRPr="00AF7B50">
              <w:noBreakHyphen/>
              <w:t>16 investment and improved data collection.</w:t>
            </w:r>
          </w:p>
        </w:tc>
      </w:tr>
      <w:tr w:rsidR="00E25CC6" w:rsidRPr="00AF7B50" w:rsidTr="00C336DE">
        <w:trPr>
          <w:cantSplit/>
        </w:trPr>
        <w:tc>
          <w:tcPr>
            <w:tcW w:w="3146" w:type="dxa"/>
            <w:tcBorders>
              <w:top w:val="nil"/>
              <w:left w:val="nil"/>
              <w:bottom w:val="nil"/>
              <w:right w:val="nil"/>
            </w:tcBorders>
          </w:tcPr>
          <w:p w:rsidR="00E25CC6" w:rsidRPr="00AF7B50" w:rsidRDefault="00E25CC6" w:rsidP="00262444">
            <w:pPr>
              <w:pStyle w:val="OGTabText"/>
              <w:keepNext/>
              <w:rPr>
                <w:lang w:eastAsia="en-AU"/>
              </w:rPr>
            </w:pPr>
            <w:r w:rsidRPr="00AF7B50">
              <w:rPr>
                <w:lang w:eastAsia="en-AU"/>
              </w:rPr>
              <w:t>Reports to child protection services about the wellbeing and safety of children</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7944DE">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121 600</w:t>
            </w: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105 400</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100 200</w:t>
            </w: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91 348</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036B93">
            <w:pPr>
              <w:pStyle w:val="OGNotes"/>
            </w:pPr>
            <w:r w:rsidRPr="00AF7B50">
              <w:t>The higher 2016</w:t>
            </w:r>
            <w:r w:rsidRPr="00AF7B50">
              <w:noBreakHyphen/>
              <w:t>17 target reflects a recent increase in trends in the number of reports. The 2015</w:t>
            </w:r>
            <w:r w:rsidRPr="00AF7B50">
              <w:noBreakHyphen/>
              <w:t>16 expected outcome is higher than the 2015</w:t>
            </w:r>
            <w:r w:rsidRPr="00AF7B50">
              <w:noBreakHyphen/>
              <w:t xml:space="preserve">16 target due to increased demand with a heightened observance of child abuse in the community arising from Inquiries such as the Royal Commission into Family Violence and the Royal Commission into Institutional Child Sexual Abuse. </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number of family services cases provided</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69550A">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35 855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34 548</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35 215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33 285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AC29F8">
            <w:pPr>
              <w:pStyle w:val="OGNotes"/>
            </w:pPr>
            <w:r w:rsidRPr="00AF7B50">
              <w:t>The higher 2016</w:t>
            </w:r>
            <w:r w:rsidRPr="00AF7B50">
              <w:noBreakHyphen/>
              <w:t>17 target reflects funding provided for government policy commitments. The 2015</w:t>
            </w:r>
            <w:r w:rsidRPr="00AF7B50">
              <w:noBreakHyphen/>
              <w:t>16 expected outcome is lower than the 2015</w:t>
            </w:r>
            <w:r w:rsidRPr="00AF7B50">
              <w:noBreakHyphen/>
              <w:t>16 target due to the impact of the 2015</w:t>
            </w:r>
            <w:r w:rsidRPr="00AF7B50">
              <w:noBreakHyphen/>
              <w:t>16 investment focusing on more intensive service delivery to address the increasing client complexity.</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Children and young people in out</w:t>
            </w:r>
            <w:r w:rsidRPr="00AF7B50">
              <w:rPr>
                <w:lang w:eastAsia="en-AU"/>
              </w:rPr>
              <w:noBreakHyphen/>
              <w:t>of</w:t>
            </w:r>
            <w:r w:rsidRPr="00AF7B50">
              <w:rPr>
                <w:lang w:eastAsia="en-AU"/>
              </w:rPr>
              <w:noBreakHyphen/>
              <w:t>home care who have had two or less placements in the past 12 months (not including placements at home)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86</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86</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90.3</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due to more children and young people remaining in stable placements.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Children and young people who were the subject of a substantiated report within 12 months of the closure of a previous substantiated report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17.5</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16.8</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due to demand pressures. The higher 2016</w:t>
            </w:r>
            <w:r w:rsidRPr="00AF7B50">
              <w:noBreakHyphen/>
              <w:t>17 target reflects the upward trend in demand pressures.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Children and young people who were the subject of an investigation which led to a decision not to substantiate, who were subsequently the subject of a substantiation within three months of case closure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2.4</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940277">
            <w:pPr>
              <w:pStyle w:val="OGNotes"/>
            </w:pPr>
            <w:r w:rsidRPr="00AF7B50">
              <w:t>The lower 2016</w:t>
            </w:r>
            <w:r w:rsidRPr="00AF7B50">
              <w:noBreakHyphen/>
              <w:t>17 target reflects the positive trend in performance. The 2015</w:t>
            </w:r>
            <w:r w:rsidRPr="00AF7B50">
              <w:noBreakHyphen/>
              <w:t>16 expected outcome is lower than the 2015</w:t>
            </w:r>
            <w:r w:rsidRPr="00AF7B50">
              <w:noBreakHyphen/>
              <w:t xml:space="preserve">16 target due to sound risk assessment and decision making in respect to case closure. </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Organisations that have successfully completed a quality review (family and community services)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98.7</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as all organisations have either achieved or maintained certification/accreditation against the Human Services standards. This is a positive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262444">
            <w:pPr>
              <w:pStyle w:val="OGTabText"/>
              <w:keepNext/>
              <w:rPr>
                <w:lang w:eastAsia="en-AU"/>
              </w:rPr>
            </w:pPr>
            <w:r w:rsidRPr="00AF7B50">
              <w:rPr>
                <w:lang w:eastAsia="en-AU"/>
              </w:rPr>
              <w:t>Organisations that have successfully completed a quality review (specialist support and placement services)</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nil"/>
              <w:right w:val="nil"/>
            </w:tcBorders>
          </w:tcPr>
          <w:p w:rsidR="00E25CC6" w:rsidRPr="00AF7B50" w:rsidRDefault="00E25CC6" w:rsidP="00262444">
            <w:pPr>
              <w:keepNext/>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as all organisations have either achieved or maintained certification/accreditation against the Human Services standards. This is a positive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Proportion of Aboriginal children placed with relatives / kin, other Aboriginal carers or in Aboriginal residential care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69.9</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AC29F8">
            <w:pPr>
              <w:pStyle w:val="OGNotes"/>
            </w:pPr>
            <w:r w:rsidRPr="00AF7B50">
              <w:t>The 2015</w:t>
            </w:r>
            <w:r w:rsidRPr="00AF7B50">
              <w:noBreakHyphen/>
              <w:t>16 expected outcome is higher than the 2015</w:t>
            </w:r>
            <w:r w:rsidRPr="00AF7B50">
              <w:noBreakHyphen/>
              <w:t>16 target reflecting more Aboriginal children being placed with relatives/kin, other Aboriginal carers or in Aboriginal residential care.</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Proportion of placements that are home</w:t>
            </w:r>
            <w:r w:rsidRPr="00AF7B50">
              <w:rPr>
                <w:lang w:eastAsia="en-AU"/>
              </w:rPr>
              <w:noBreakHyphen/>
              <w:t>based care</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94.2</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4265AB">
            <w:pPr>
              <w:pStyle w:val="OGNotes"/>
            </w:pPr>
            <w:r w:rsidRPr="00AF7B50">
              <w:t>The 2015</w:t>
            </w:r>
            <w:r w:rsidRPr="00AF7B50">
              <w:noBreakHyphen/>
              <w:t>16 expected outcome is higher than the 2015</w:t>
            </w:r>
            <w:r w:rsidRPr="00AF7B50">
              <w:noBreakHyphen/>
              <w:t>16 target due to the prioritisation of home</w:t>
            </w:r>
            <w:r w:rsidRPr="00AF7B50">
              <w:noBreakHyphen/>
              <w:t>based care placements. This is a positive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child protection investigations assessed as urgent, that were visited, or where attempts were made to visit, within two days of receipt of the report</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96.7</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Sexual assault support services clients receiving an initial response within five working days of referral</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96.4</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262444">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E45438">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1 105.6</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1 021.6</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990.8</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889.9</w:t>
            </w:r>
          </w:p>
        </w:tc>
      </w:tr>
      <w:tr w:rsidR="00E25CC6" w:rsidRPr="00AF7B50" w:rsidTr="00262444">
        <w:trPr>
          <w:cantSplit/>
        </w:trPr>
        <w:tc>
          <w:tcPr>
            <w:tcW w:w="7767" w:type="dxa"/>
            <w:gridSpan w:val="6"/>
            <w:tcBorders>
              <w:top w:val="nil"/>
              <w:left w:val="nil"/>
              <w:bottom w:val="single" w:sz="12" w:space="0" w:color="auto"/>
              <w:right w:val="nil"/>
            </w:tcBorders>
          </w:tcPr>
          <w:p w:rsidR="00E25CC6" w:rsidRPr="00AF7B50" w:rsidRDefault="00E25CC6" w:rsidP="004A0E8D">
            <w:pPr>
              <w:pStyle w:val="OGNotes"/>
            </w:pPr>
            <w:r w:rsidRPr="00AF7B50">
              <w:t>The higher 2016</w:t>
            </w:r>
            <w:r w:rsidRPr="00AF7B50">
              <w:noBreakHyphen/>
              <w:t>17 target primarily reflects funding provided for government policy commitments.</w:t>
            </w:r>
          </w:p>
        </w:tc>
      </w:tr>
    </w:tbl>
    <w:p w:rsidR="00E25CC6" w:rsidRPr="00AF7B50" w:rsidRDefault="00E25CC6" w:rsidP="00262444">
      <w:pPr>
        <w:pStyle w:val="Source"/>
      </w:pPr>
      <w:r w:rsidRPr="00AF7B50">
        <w:t>Source: Department of Health and Human Services</w:t>
      </w:r>
      <w:bookmarkEnd w:id="83"/>
      <w:r w:rsidRPr="00AF7B50">
        <w:t xml:space="preserve"> </w:t>
      </w:r>
      <w:r w:rsidRPr="00AF7B50">
        <w:fldChar w:fldCharType="begin"/>
      </w:r>
      <w:r w:rsidRPr="00AF7B50">
        <w:instrText xml:space="preserve"> XE "Department of Health and Human Services:Child Protection and Family Services" \r "DHHS_ChildProtect" </w:instrText>
      </w:r>
      <w:r w:rsidRPr="00AF7B50">
        <w:fldChar w:fldCharType="end"/>
      </w:r>
      <w:r>
        <w:t xml:space="preserve"> </w:t>
      </w:r>
      <w:r w:rsidRPr="00AF7B50">
        <w:fldChar w:fldCharType="begin"/>
      </w:r>
      <w:r w:rsidRPr="00AF7B50">
        <w:instrText xml:space="preserve"> XE "</w:instrText>
      </w:r>
      <w:r>
        <w:instrText>Children</w:instrText>
      </w:r>
      <w:r w:rsidRPr="00AF7B50">
        <w:instrText xml:space="preserve">:Child Protection and Family Services" \r "DHHS_ChildProtect" </w:instrText>
      </w:r>
      <w:r w:rsidRPr="00AF7B50">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Youth Services and Youth Justice</w:t>
      </w:r>
    </w:p>
    <w:p w:rsidR="00E25CC6" w:rsidRPr="00AF7B50" w:rsidRDefault="00E25CC6" w:rsidP="00262444">
      <w:pPr>
        <w:pStyle w:val="OGText"/>
        <w:rPr>
          <w:rFonts w:eastAsiaTheme="minorHAnsi"/>
        </w:rPr>
      </w:pPr>
      <w:bookmarkStart w:id="84" w:name="DHHS_YouthSvces"/>
      <w:r w:rsidRPr="00AF7B50">
        <w:rPr>
          <w:rFonts w:eastAsiaTheme="minorHAnsi"/>
        </w:rPr>
        <w:t>Youth Services and Youth Justice outputs, through the funding of a range of services including the provision of advice to courts, community</w:t>
      </w:r>
      <w:r w:rsidRPr="00AF7B50">
        <w:rPr>
          <w:rFonts w:eastAsiaTheme="minorHAnsi"/>
        </w:rPr>
        <w:noBreakHyphen/>
        <w:t>based and custodial supervision and youth services, aim to make a positive difference for Victorians experiencing disadvantage by providing excellent community services to meet clients</w:t>
      </w:r>
      <w:r>
        <w:rPr>
          <w:rFonts w:eastAsiaTheme="minorHAnsi"/>
        </w:rPr>
        <w:t>’</w:t>
      </w:r>
      <w:r w:rsidRPr="00AF7B50">
        <w:rPr>
          <w:rFonts w:eastAsiaTheme="minorHAnsi"/>
        </w:rPr>
        <w:t xml:space="preserve"> needs.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Community</w:t>
            </w:r>
            <w:r w:rsidRPr="00AF7B50">
              <w:rPr>
                <w:lang w:eastAsia="en-AU"/>
              </w:rPr>
              <w:noBreakHyphen/>
              <w:t>based Services</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This output provides community statutory supervision and support to young people subject to community</w:t>
            </w:r>
            <w:r w:rsidRPr="00AF7B50">
              <w:rPr>
                <w:lang w:eastAsia="en-AU"/>
              </w:rPr>
              <w:noBreakHyphen/>
              <w:t>based dispositions in order to divert young people from the youth justice system and minimise the likelihood of further offending.</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Average daily number of clients under community</w:t>
            </w:r>
            <w:r w:rsidRPr="00AF7B50">
              <w:rPr>
                <w:lang w:eastAsia="en-AU"/>
              </w:rPr>
              <w:noBreakHyphen/>
              <w:t>based supervision</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1 625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1 200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1 625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1 021</w:t>
            </w:r>
          </w:p>
        </w:tc>
      </w:tr>
      <w:tr w:rsidR="00E25CC6" w:rsidRPr="00AF7B50" w:rsidTr="00E837EF">
        <w:trPr>
          <w:cantSplit/>
        </w:trPr>
        <w:tc>
          <w:tcPr>
            <w:tcW w:w="7767" w:type="dxa"/>
            <w:gridSpan w:val="6"/>
            <w:tcBorders>
              <w:top w:val="nil"/>
              <w:left w:val="nil"/>
              <w:bottom w:val="single" w:sz="6" w:space="0" w:color="auto"/>
              <w:right w:val="nil"/>
            </w:tcBorders>
          </w:tcPr>
          <w:p w:rsidR="00E25CC6" w:rsidRPr="00AF7B50" w:rsidRDefault="00E25CC6" w:rsidP="00B61E03">
            <w:pPr>
              <w:pStyle w:val="OGNotes"/>
            </w:pPr>
            <w:r w:rsidRPr="00AF7B50">
              <w:t>The 2015-16 expected outcome is lower than the 2015-16 target due to the success of early intervention diversionary responses (Youth Support Service and Bail Supervision) in the pre</w:t>
            </w:r>
            <w:r w:rsidRPr="00AF7B50">
              <w:noBreakHyphen/>
              <w:t>charge and pre</w:t>
            </w:r>
            <w:r w:rsidRPr="00AF7B50">
              <w:noBreakHyphen/>
              <w:t>plea stages. This is a positive result.</w:t>
            </w:r>
          </w:p>
        </w:tc>
      </w:tr>
      <w:tr w:rsidR="00E25CC6" w:rsidRPr="00AF7B50" w:rsidTr="00E837EF">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Proportion of youth justice clients under community</w:t>
            </w:r>
            <w:r w:rsidRPr="00AF7B50">
              <w:rPr>
                <w:lang w:eastAsia="en-AU"/>
              </w:rPr>
              <w:noBreakHyphen/>
              <w:t>based supervision</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88.5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87.8</w:t>
            </w:r>
          </w:p>
        </w:tc>
      </w:tr>
      <w:tr w:rsidR="00E25CC6" w:rsidRPr="00AF7B50" w:rsidTr="00E837EF">
        <w:trPr>
          <w:cantSplit/>
        </w:trPr>
        <w:tc>
          <w:tcPr>
            <w:tcW w:w="3146" w:type="dxa"/>
            <w:tcBorders>
              <w:top w:val="single" w:sz="6" w:space="0" w:color="auto"/>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single" w:sz="6" w:space="0" w:color="auto"/>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Community</w:t>
            </w:r>
            <w:r w:rsidRPr="00AF7B50">
              <w:rPr>
                <w:lang w:eastAsia="en-AU"/>
              </w:rPr>
              <w:noBreakHyphen/>
              <w:t>based orders completed successfully</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87</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89.7</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Young people on supervised orders who have a client assessment and plan completed within six weeks of the commencement of the order</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96.5</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897503">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71.6</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69.1</w:t>
            </w:r>
          </w:p>
        </w:tc>
        <w:tc>
          <w:tcPr>
            <w:tcW w:w="907" w:type="dxa"/>
            <w:tcBorders>
              <w:top w:val="nil"/>
              <w:left w:val="nil"/>
              <w:right w:val="nil"/>
            </w:tcBorders>
          </w:tcPr>
          <w:p w:rsidR="00E25CC6" w:rsidRPr="00AF7B50" w:rsidRDefault="00E25CC6" w:rsidP="000032A0">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69.9</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65.9</w:t>
            </w:r>
          </w:p>
        </w:tc>
      </w:tr>
      <w:tr w:rsidR="00E25CC6" w:rsidRPr="00AF7B50" w:rsidTr="004C79A4">
        <w:trPr>
          <w:cantSplit/>
        </w:trPr>
        <w:tc>
          <w:tcPr>
            <w:tcW w:w="7767" w:type="dxa"/>
            <w:gridSpan w:val="6"/>
            <w:tcBorders>
              <w:top w:val="nil"/>
              <w:left w:val="nil"/>
              <w:bottom w:val="single" w:sz="6" w:space="0" w:color="auto"/>
              <w:right w:val="nil"/>
            </w:tcBorders>
          </w:tcPr>
          <w:p w:rsidR="00E25CC6" w:rsidRPr="00AF7B50" w:rsidRDefault="00E25CC6" w:rsidP="00897503">
            <w:pPr>
              <w:pStyle w:val="OGNotes"/>
              <w:rPr>
                <w:rFonts w:cs="Calibri"/>
                <w:sz w:val="19"/>
                <w:szCs w:val="22"/>
              </w:rPr>
            </w:pPr>
            <w:r w:rsidRPr="00AF7B50">
              <w:t>The higher 2016-17 target primarily reflects funding provided for government policy commitments.</w:t>
            </w:r>
          </w:p>
        </w:tc>
      </w:tr>
      <w:tr w:rsidR="00E25CC6" w:rsidRPr="00AF7B50" w:rsidTr="00897503">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Youth Justice Custodial Services</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This output provides supervision and rehabilitation, through the provision of case management, health and education services and the establishment of structured community supports, to assist young people address offending behaviour, develop non</w:t>
            </w:r>
            <w:r w:rsidRPr="00AF7B50">
              <w:rPr>
                <w:lang w:eastAsia="en-AU"/>
              </w:rPr>
              <w:noBreakHyphen/>
              <w:t>offending lifestyles and support the reintegration of the young person into the community at the completion of their sentence.</w:t>
            </w:r>
          </w:p>
        </w:tc>
      </w:tr>
      <w:tr w:rsidR="00E25CC6" w:rsidRPr="00AF7B50" w:rsidTr="00C336DE">
        <w:trPr>
          <w:cantSplit/>
        </w:trPr>
        <w:tc>
          <w:tcPr>
            <w:tcW w:w="3146" w:type="dxa"/>
            <w:tcBorders>
              <w:top w:val="nil"/>
              <w:left w:val="nil"/>
              <w:bottom w:val="nil"/>
              <w:right w:val="nil"/>
            </w:tcBorders>
          </w:tcPr>
          <w:p w:rsidR="00E25CC6" w:rsidRPr="00AF7B50" w:rsidRDefault="00E25CC6" w:rsidP="005F6A28">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5F6A28">
            <w:pPr>
              <w:keepNext/>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Annual daily average number of young people in custody: male (under 15 years) and female</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r w:rsidRPr="00AF7B50">
              <w:rPr>
                <w:rFonts w:ascii="Calibri" w:hAnsi="Calibri" w:cs="Calibri"/>
                <w:sz w:val="19"/>
                <w:szCs w:val="22"/>
                <w:lang w:eastAsia="en-AU"/>
              </w:rPr>
              <w:noBreakHyphen/>
              <w:t>25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w:t>
            </w:r>
            <w:r w:rsidRPr="00AF7B50">
              <w:rPr>
                <w:rFonts w:ascii="Calibri" w:hAnsi="Calibri" w:cs="Calibri"/>
                <w:sz w:val="19"/>
                <w:szCs w:val="22"/>
                <w:lang w:eastAsia="en-AU"/>
              </w:rPr>
              <w:noBreakHyphen/>
              <w:t>25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18.6</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5F6A28">
            <w:pPr>
              <w:pStyle w:val="OGTabText"/>
              <w:rPr>
                <w:lang w:eastAsia="en-AU"/>
              </w:rPr>
            </w:pPr>
            <w:r w:rsidRPr="00AF7B50">
              <w:rPr>
                <w:lang w:eastAsia="en-AU"/>
              </w:rPr>
              <w:t>Annual daily average number of young people in custody: males (15 years plus)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140</w:t>
            </w:r>
            <w:r w:rsidRPr="00AF7B50">
              <w:rPr>
                <w:rFonts w:ascii="Calibri" w:hAnsi="Calibri" w:cs="Calibri"/>
                <w:sz w:val="19"/>
                <w:szCs w:val="22"/>
                <w:lang w:eastAsia="en-AU"/>
              </w:rPr>
              <w:noBreakHyphen/>
              <w:t>190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140</w:t>
            </w:r>
            <w:r w:rsidRPr="00AF7B50">
              <w:rPr>
                <w:rFonts w:ascii="Calibri" w:hAnsi="Calibri" w:cs="Calibri"/>
                <w:sz w:val="19"/>
                <w:szCs w:val="22"/>
                <w:lang w:eastAsia="en-AU"/>
              </w:rPr>
              <w:noBreakHyphen/>
              <w:t>190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123.7</w:t>
            </w: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pStyle w:val="OGTabText"/>
              <w:keepNext/>
              <w:rPr>
                <w:lang w:eastAsia="en-AU"/>
              </w:rPr>
            </w:pPr>
            <w:r w:rsidRPr="00AF7B50">
              <w:rPr>
                <w:lang w:eastAsia="en-AU"/>
              </w:rPr>
              <w:t>Average daily custodial centre utilisation rate: males (15 years plus)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r w:rsidRPr="00AF7B50">
              <w:rPr>
                <w:rFonts w:ascii="Calibri" w:hAnsi="Calibri" w:cs="Calibri"/>
                <w:sz w:val="19"/>
                <w:szCs w:val="22"/>
                <w:lang w:eastAsia="en-AU"/>
              </w:rPr>
              <w:noBreakHyphen/>
              <w:t>95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r w:rsidRPr="00AF7B50">
              <w:rPr>
                <w:rFonts w:ascii="Calibri" w:hAnsi="Calibri" w:cs="Calibri"/>
                <w:sz w:val="19"/>
                <w:szCs w:val="22"/>
                <w:lang w:eastAsia="en-AU"/>
              </w:rPr>
              <w:noBreakHyphen/>
              <w:t>95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67.6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lower than the 2015</w:t>
            </w:r>
            <w:r w:rsidRPr="00AF7B50">
              <w:noBreakHyphen/>
              <w:t>16 target due to the opening of the new secure youth justice centre at the Malmsbury Youth Justice Precinct.</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5F6A28">
            <w:pPr>
              <w:pStyle w:val="OGTabText"/>
              <w:rPr>
                <w:lang w:eastAsia="en-AU"/>
              </w:rPr>
            </w:pPr>
            <w:r w:rsidRPr="00AF7B50">
              <w:rPr>
                <w:lang w:eastAsia="en-AU"/>
              </w:rPr>
              <w:t>Average daily custodial centre utilisation rate: males (under 15 years) and female</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w:t>
            </w:r>
            <w:r w:rsidRPr="00AF7B50">
              <w:rPr>
                <w:rFonts w:ascii="Calibri" w:hAnsi="Calibri" w:cs="Calibri"/>
                <w:sz w:val="19"/>
                <w:szCs w:val="22"/>
                <w:lang w:eastAsia="en-AU"/>
              </w:rPr>
              <w:noBreakHyphen/>
              <w:t>65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w:t>
            </w:r>
            <w:r w:rsidRPr="00AF7B50">
              <w:rPr>
                <w:rFonts w:ascii="Calibri" w:hAnsi="Calibri" w:cs="Calibri"/>
                <w:sz w:val="19"/>
                <w:szCs w:val="22"/>
                <w:lang w:eastAsia="en-AU"/>
              </w:rPr>
              <w:noBreakHyphen/>
              <w:t>65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62</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Clients participating in community re</w:t>
            </w:r>
            <w:r w:rsidRPr="00AF7B50">
              <w:rPr>
                <w:lang w:eastAsia="en-AU"/>
              </w:rPr>
              <w:noBreakHyphen/>
              <w:t>integration activities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Young people on custodial orders who have a client assessment and plan completed within six weeks of the commencement of the order</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98.3</w:t>
            </w:r>
          </w:p>
        </w:tc>
      </w:tr>
      <w:tr w:rsidR="00E25CC6" w:rsidRPr="00AF7B50" w:rsidTr="00E837EF">
        <w:trPr>
          <w:cantSplit/>
        </w:trPr>
        <w:tc>
          <w:tcPr>
            <w:tcW w:w="3146" w:type="dxa"/>
            <w:tcBorders>
              <w:top w:val="nil"/>
              <w:left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B61E03">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0032A0">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89.8</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85.7</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85.8</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68.3</w:t>
            </w:r>
          </w:p>
        </w:tc>
      </w:tr>
      <w:tr w:rsidR="00E25CC6" w:rsidRPr="00AF7B50" w:rsidTr="004C79A4">
        <w:trPr>
          <w:cantSplit/>
        </w:trPr>
        <w:tc>
          <w:tcPr>
            <w:tcW w:w="7767" w:type="dxa"/>
            <w:gridSpan w:val="6"/>
            <w:tcBorders>
              <w:top w:val="nil"/>
              <w:left w:val="nil"/>
              <w:bottom w:val="single" w:sz="12" w:space="0" w:color="auto"/>
              <w:right w:val="nil"/>
            </w:tcBorders>
          </w:tcPr>
          <w:p w:rsidR="00E25CC6" w:rsidRPr="00AF7B50" w:rsidRDefault="00E25CC6" w:rsidP="00B61E03">
            <w:pPr>
              <w:pStyle w:val="OGNotes"/>
              <w:rPr>
                <w:rFonts w:cs="Calibri"/>
                <w:sz w:val="19"/>
                <w:szCs w:val="22"/>
              </w:rPr>
            </w:pPr>
            <w:r w:rsidRPr="00AF7B50">
              <w:t>The higher 2016-17 target primarily reflects the full-year effect of prior year government policy commitments.</w:t>
            </w:r>
          </w:p>
        </w:tc>
      </w:tr>
    </w:tbl>
    <w:p w:rsidR="00E25CC6" w:rsidRPr="00AF7B50" w:rsidRDefault="00E25CC6" w:rsidP="001666F0">
      <w:pPr>
        <w:pStyle w:val="Source"/>
      </w:pPr>
      <w:r w:rsidRPr="00AF7B50">
        <w:t>Source: Department of Health and Human Services</w:t>
      </w:r>
      <w:bookmarkEnd w:id="84"/>
      <w:r w:rsidRPr="00AF7B50">
        <w:t xml:space="preserve"> </w:t>
      </w:r>
      <w:r w:rsidRPr="00AF7B50">
        <w:fldChar w:fldCharType="begin"/>
      </w:r>
      <w:r w:rsidRPr="00AF7B50">
        <w:instrText xml:space="preserve"> XE "Department of Health and Human Services:Youth Services and Youth Justice" \r "DHHS_YouthSvces" </w:instrText>
      </w:r>
      <w:r w:rsidRPr="00AF7B50">
        <w:fldChar w:fldCharType="end"/>
      </w:r>
      <w:r>
        <w:t xml:space="preserve"> </w:t>
      </w:r>
      <w:r>
        <w:fldChar w:fldCharType="begin"/>
      </w:r>
      <w:r>
        <w:instrText xml:space="preserve"> XE "</w:instrText>
      </w:r>
      <w:r w:rsidRPr="009F2792">
        <w:instrText>Youth Services and Youth Justice</w:instrText>
      </w:r>
      <w:r>
        <w:instrText xml:space="preserve">" \r "DHHS_YouthSvces" </w:instrText>
      </w:r>
      <w:r>
        <w:fldChar w:fldCharType="end"/>
      </w:r>
    </w:p>
    <w:p w:rsidR="00E25CC6" w:rsidRPr="00AF7B50" w:rsidRDefault="00E25CC6"/>
    <w:p w:rsidR="00E25CC6" w:rsidRPr="00AF7B50" w:rsidRDefault="00E25CC6" w:rsidP="00B10667">
      <w:r w:rsidRPr="00AF7B50">
        <w:br w:type="page"/>
      </w:r>
    </w:p>
    <w:p w:rsidR="00E25CC6" w:rsidRPr="00AF7B50" w:rsidRDefault="00E25CC6" w:rsidP="00B10667">
      <w:pPr>
        <w:pStyle w:val="OGHeading1"/>
        <w:rPr>
          <w:rFonts w:eastAsiaTheme="minorHAnsi"/>
        </w:rPr>
      </w:pPr>
      <w:r w:rsidRPr="00AF7B50">
        <w:rPr>
          <w:rFonts w:eastAsiaTheme="minorHAnsi"/>
        </w:rPr>
        <w:t>Concessions to Pensioners and Beneficiaries</w:t>
      </w:r>
    </w:p>
    <w:p w:rsidR="00E25CC6" w:rsidRPr="00AF7B50" w:rsidRDefault="00E25CC6" w:rsidP="001666F0">
      <w:pPr>
        <w:pStyle w:val="OGText"/>
        <w:rPr>
          <w:rFonts w:eastAsiaTheme="minorHAnsi"/>
        </w:rPr>
      </w:pPr>
      <w:bookmarkStart w:id="85" w:name="DHHS_Concess"/>
      <w:r w:rsidRPr="00AF7B50">
        <w:rPr>
          <w:rFonts w:eastAsiaTheme="minorHAnsi"/>
        </w:rPr>
        <w:t>The Concessions to Pensioners and Beneficiaries output, through the development and coordination of the delivery of concessions and relief grants to eligible consumers and concession card holders, aims to make a positive difference for Victorians experiencing disadvantage by providing excellent community services to meet clients</w:t>
      </w:r>
      <w:r>
        <w:rPr>
          <w:rFonts w:eastAsiaTheme="minorHAnsi"/>
        </w:rPr>
        <w:t>’</w:t>
      </w:r>
      <w:r w:rsidRPr="00AF7B50">
        <w:rPr>
          <w:rFonts w:eastAsiaTheme="minorHAnsi"/>
        </w:rPr>
        <w:t xml:space="preserve"> needs.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B10667">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B10667">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B10667">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Concessions to Pensioners and Beneficiaries</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Households receiving mains electricity concessions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911 070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910 960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918 300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909 195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551F94">
            <w:pPr>
              <w:pStyle w:val="OGNotes"/>
            </w:pPr>
            <w:r w:rsidRPr="00AF7B50">
              <w:t>The lower 2016</w:t>
            </w:r>
            <w:r w:rsidRPr="00AF7B50">
              <w:noBreakHyphen/>
              <w:t xml:space="preserve">17 target reflects a forecast decrease in the number of eligible households. Eligibility for this concession has not changed. </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Households receiving mains gas concessions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650 482</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640 000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614 200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609 160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a forecast increase in the number of eligible households. Eligibility for this concession has not changed.</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Households receiving non</w:t>
            </w:r>
            <w:r w:rsidRPr="00AF7B50">
              <w:rPr>
                <w:lang w:eastAsia="en-AU"/>
              </w:rPr>
              <w:noBreakHyphen/>
              <w:t>mains energy concessions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23 074</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22 580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22 800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22 291</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a forecast increase in the number of eligible households. Eligibility for this concession has not changed.</w:t>
            </w: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pStyle w:val="OGTabText"/>
              <w:keepNext/>
              <w:rPr>
                <w:lang w:eastAsia="en-AU"/>
              </w:rPr>
            </w:pPr>
            <w:r w:rsidRPr="00AF7B50">
              <w:rPr>
                <w:lang w:eastAsia="en-AU"/>
              </w:rPr>
              <w:t>Households receiving pensioner concessions for municipal rates and charges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441 821</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437 330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435 400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433 574</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a forecast increase in the number of eligible households. Eligibility for this concession has not changed.</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Households receiving water and sewerage concessions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688 725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688 500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690 700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687 217</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551F94">
            <w:pPr>
              <w:pStyle w:val="OGNotes"/>
            </w:pPr>
            <w:r w:rsidRPr="00AF7B50">
              <w:t>The lower 2016</w:t>
            </w:r>
            <w:r w:rsidRPr="00AF7B50">
              <w:noBreakHyphen/>
              <w:t xml:space="preserve">17 target reflects a forecast decrease in the number of eligible households. Eligibility for this concession has not changed. </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clients receiving trustee services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14 600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14 600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14 600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13 002</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Community Service Agreement performance targets that have been achieved by State Trustees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96.9</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customers satisfied with State Trustee Limited Services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customer requests answered by State Trustees within the timelines set in the Community Service Agreement</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94.6</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1666F0">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531.2</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565.2</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563.9</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522.4</w:t>
            </w:r>
          </w:p>
        </w:tc>
      </w:tr>
      <w:tr w:rsidR="00E25CC6" w:rsidRPr="00AF7B50" w:rsidTr="001666F0">
        <w:trPr>
          <w:cantSplit/>
        </w:trPr>
        <w:tc>
          <w:tcPr>
            <w:tcW w:w="7767" w:type="dxa"/>
            <w:gridSpan w:val="6"/>
            <w:tcBorders>
              <w:top w:val="nil"/>
              <w:left w:val="nil"/>
              <w:bottom w:val="single" w:sz="12" w:space="0" w:color="auto"/>
              <w:right w:val="nil"/>
            </w:tcBorders>
          </w:tcPr>
          <w:p w:rsidR="00E25CC6" w:rsidRPr="00AF7B50" w:rsidRDefault="00E25CC6" w:rsidP="00940F23">
            <w:pPr>
              <w:pStyle w:val="OGNotes"/>
            </w:pPr>
            <w:r w:rsidRPr="00AF7B50">
              <w:t>The lower 2016</w:t>
            </w:r>
            <w:r w:rsidRPr="00AF7B50">
              <w:noBreakHyphen/>
              <w:t>17 target relates primarily to cost reductions associated with Commonwealth changes in pensioner eligibility and lower estimated costs in respect of utility concessions.</w:t>
            </w:r>
          </w:p>
        </w:tc>
      </w:tr>
    </w:tbl>
    <w:p w:rsidR="00E25CC6" w:rsidRPr="00AF7B50" w:rsidRDefault="00E25CC6" w:rsidP="001666F0">
      <w:pPr>
        <w:pStyle w:val="Source"/>
      </w:pPr>
      <w:r w:rsidRPr="00AF7B50">
        <w:t>Source: Department of Health and Human Services</w:t>
      </w:r>
      <w:bookmarkEnd w:id="85"/>
      <w:r w:rsidRPr="00AF7B50">
        <w:t xml:space="preserve"> </w:t>
      </w:r>
      <w:r w:rsidRPr="00AF7B50">
        <w:fldChar w:fldCharType="begin"/>
      </w:r>
      <w:r w:rsidRPr="00AF7B50">
        <w:instrText xml:space="preserve"> XE "Department of Health and Human Services:Concessions to Pensioners and Beneficiaries" \r "DHHS_Concess" </w:instrText>
      </w:r>
      <w:r w:rsidRPr="00AF7B50">
        <w:fldChar w:fldCharType="end"/>
      </w:r>
      <w:r>
        <w:t xml:space="preserve"> </w:t>
      </w:r>
      <w:r>
        <w:fldChar w:fldCharType="begin"/>
      </w:r>
      <w:r>
        <w:instrText xml:space="preserve"> XE "</w:instrText>
      </w:r>
      <w:r w:rsidRPr="009F2792">
        <w:instrText>Concessions to Pensioners and Beneficiaries</w:instrText>
      </w:r>
      <w:r>
        <w:instrText xml:space="preserve">" \r "DHHS_Concess" </w:instrText>
      </w:r>
      <w:r>
        <w:fldChar w:fldCharType="end"/>
      </w:r>
    </w:p>
    <w:p w:rsidR="00E25CC6" w:rsidRPr="00AF7B50" w:rsidRDefault="00E25CC6"/>
    <w:p w:rsidR="00E25CC6" w:rsidRPr="00AF7B50" w:rsidRDefault="00E25CC6" w:rsidP="00262444">
      <w:r w:rsidRPr="00AF7B50">
        <w:br w:type="page"/>
      </w:r>
    </w:p>
    <w:p w:rsidR="00E25CC6" w:rsidRPr="00AF7B50" w:rsidRDefault="00E25CC6" w:rsidP="00262444">
      <w:pPr>
        <w:pStyle w:val="OGHeading1"/>
        <w:rPr>
          <w:rFonts w:eastAsiaTheme="minorHAnsi"/>
        </w:rPr>
      </w:pPr>
      <w:r w:rsidRPr="00AF7B50">
        <w:rPr>
          <w:rFonts w:eastAsiaTheme="minorHAnsi"/>
        </w:rPr>
        <w:t>Housing Assistance</w:t>
      </w:r>
    </w:p>
    <w:p w:rsidR="00E25CC6" w:rsidRPr="00AF7B50" w:rsidRDefault="00E25CC6" w:rsidP="001666F0">
      <w:pPr>
        <w:pStyle w:val="OGText"/>
        <w:rPr>
          <w:rFonts w:eastAsiaTheme="minorHAnsi"/>
        </w:rPr>
      </w:pPr>
      <w:bookmarkStart w:id="86" w:name="DHHS_HsingAssist"/>
      <w:r w:rsidRPr="00AF7B50">
        <w:rPr>
          <w:rFonts w:eastAsiaTheme="minorHAnsi"/>
        </w:rPr>
        <w:t>The Housing Assistance output, through the provision of homelessness services, crisis and transitional accommodation and long</w:t>
      </w:r>
      <w:r w:rsidRPr="00AF7B50">
        <w:rPr>
          <w:rFonts w:eastAsiaTheme="minorHAnsi"/>
        </w:rPr>
        <w:noBreakHyphen/>
        <w:t>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w:t>
      </w:r>
      <w:r>
        <w:rPr>
          <w:rFonts w:eastAsiaTheme="minorHAnsi"/>
        </w:rPr>
        <w:t>’</w:t>
      </w:r>
      <w:r w:rsidRPr="00AF7B50">
        <w:rPr>
          <w:rFonts w:eastAsiaTheme="minorHAnsi"/>
        </w:rPr>
        <w:t xml:space="preserve"> needs.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776FB9">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776FB9">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Housing Assistance</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This output provides:</w:t>
            </w:r>
          </w:p>
          <w:p w:rsidR="00E25CC6" w:rsidRPr="00AF7B50" w:rsidRDefault="00E25CC6" w:rsidP="00E85815">
            <w:pPr>
              <w:pStyle w:val="OGBullet"/>
              <w:rPr>
                <w:lang w:eastAsia="en-AU"/>
              </w:rPr>
            </w:pPr>
            <w:r w:rsidRPr="00AF7B50">
              <w:rPr>
                <w:lang w:eastAsia="en-AU"/>
              </w:rPr>
              <w:t>housing assistance for low income families, older people, singles, youth and other households. It responds to the needs of clients through the provision of appropriate accommodation, including short</w:t>
            </w:r>
            <w:r w:rsidRPr="00AF7B50">
              <w:rPr>
                <w:lang w:eastAsia="en-AU"/>
              </w:rPr>
              <w:noBreakHyphen/>
              <w:t>term and long</w:t>
            </w:r>
            <w:r w:rsidRPr="00AF7B50">
              <w:rPr>
                <w:lang w:eastAsia="en-AU"/>
              </w:rPr>
              <w:noBreakHyphen/>
              <w:t>term properties that assist in reducing and preventing homelessness; and</w:t>
            </w:r>
          </w:p>
          <w:p w:rsidR="00E25CC6" w:rsidRPr="00AF7B50" w:rsidRDefault="00E25CC6" w:rsidP="00E85815">
            <w:pPr>
              <w:pStyle w:val="OGBullet"/>
              <w:rPr>
                <w:lang w:eastAsia="en-AU"/>
              </w:rPr>
            </w:pPr>
            <w:r w:rsidRPr="00AF7B50">
              <w:rPr>
                <w:lang w:eastAsia="en-AU"/>
              </w:rPr>
              <w:t>housing support services to people who are homeless or at risk of homelessness, in short</w:t>
            </w:r>
            <w:r w:rsidRPr="00AF7B50">
              <w:rPr>
                <w:lang w:eastAsia="en-AU"/>
              </w:rPr>
              <w:noBreakHyphen/>
              <w:t>term housing or crisis situations. Support will assist clients in accessing and maintaining tenancies in appropriate accommodation. Services provided will assist in the prevention and overall reduction or homelessness and decrease for social housing.</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Bond loans provided during year</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12 000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12 000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12 000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12 252</w:t>
            </w: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pStyle w:val="OGTabText"/>
              <w:keepNext/>
              <w:rPr>
                <w:lang w:eastAsia="en-AU"/>
              </w:rPr>
            </w:pPr>
            <w:r w:rsidRPr="00AF7B50">
              <w:rPr>
                <w:lang w:eastAsia="en-AU"/>
              </w:rPr>
              <w:t>Households assisted with housing establishment assistance during year</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36 000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40 000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40 000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36 000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lower 2016</w:t>
            </w:r>
            <w:r w:rsidRPr="00AF7B50">
              <w:noBreakHyphen/>
              <w:t>17 target reflects the allocation of non</w:t>
            </w:r>
            <w:r w:rsidRPr="00AF7B50">
              <w:noBreakHyphen/>
              <w:t xml:space="preserve">recurrent funding in the </w:t>
            </w:r>
            <w:r w:rsidRPr="00AF7B50">
              <w:rPr>
                <w:i w:val="0"/>
              </w:rPr>
              <w:t>2015</w:t>
            </w:r>
            <w:r w:rsidRPr="00AF7B50">
              <w:rPr>
                <w:i w:val="0"/>
              </w:rPr>
              <w:noBreakHyphen/>
              <w:t>16 Budget</w:t>
            </w:r>
            <w:r w:rsidRPr="00AF7B50">
              <w:t>.</w:t>
            </w:r>
          </w:p>
        </w:tc>
      </w:tr>
      <w:tr w:rsidR="00E25CC6" w:rsidRPr="00AF7B50" w:rsidTr="00E651AA">
        <w:trPr>
          <w:cantSplit/>
        </w:trPr>
        <w:tc>
          <w:tcPr>
            <w:tcW w:w="3146" w:type="dxa"/>
            <w:tcBorders>
              <w:top w:val="single" w:sz="6" w:space="0" w:color="auto"/>
              <w:left w:val="nil"/>
              <w:right w:val="nil"/>
            </w:tcBorders>
          </w:tcPr>
          <w:p w:rsidR="00E25CC6" w:rsidRPr="00AF7B50" w:rsidRDefault="00E25CC6" w:rsidP="00C336DE">
            <w:pPr>
              <w:pStyle w:val="OGTabText"/>
              <w:rPr>
                <w:lang w:eastAsia="en-AU"/>
              </w:rPr>
            </w:pPr>
            <w:r w:rsidRPr="00AF7B50">
              <w:rPr>
                <w:lang w:eastAsia="en-AU"/>
              </w:rPr>
              <w:t>Number of clients assisted to address and prevent homelessness</w:t>
            </w:r>
          </w:p>
        </w:tc>
        <w:tc>
          <w:tcPr>
            <w:tcW w:w="907" w:type="dxa"/>
            <w:tcBorders>
              <w:top w:val="single" w:sz="6" w:space="0" w:color="auto"/>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AF7B50" w:rsidRDefault="00E25CC6" w:rsidP="00405115">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113 500</w:t>
            </w:r>
          </w:p>
        </w:tc>
        <w:tc>
          <w:tcPr>
            <w:tcW w:w="992"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100 000</w:t>
            </w:r>
          </w:p>
        </w:tc>
        <w:tc>
          <w:tcPr>
            <w:tcW w:w="907"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100 000</w:t>
            </w:r>
          </w:p>
        </w:tc>
        <w:tc>
          <w:tcPr>
            <w:tcW w:w="908" w:type="dxa"/>
            <w:tcBorders>
              <w:top w:val="single" w:sz="6" w:space="0" w:color="auto"/>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100 000</w:t>
            </w:r>
          </w:p>
        </w:tc>
      </w:tr>
      <w:tr w:rsidR="00E25CC6" w:rsidRPr="00AF7B50" w:rsidTr="00E651AA">
        <w:trPr>
          <w:cantSplit/>
        </w:trPr>
        <w:tc>
          <w:tcPr>
            <w:tcW w:w="7767" w:type="dxa"/>
            <w:gridSpan w:val="6"/>
            <w:tcBorders>
              <w:left w:val="nil"/>
              <w:right w:val="nil"/>
            </w:tcBorders>
          </w:tcPr>
          <w:p w:rsidR="00E25CC6" w:rsidRPr="00AF7B50" w:rsidRDefault="00E25CC6" w:rsidP="00B91246">
            <w:pPr>
              <w:pStyle w:val="OGNotes"/>
              <w:rPr>
                <w:rFonts w:cs="Calibri"/>
                <w:sz w:val="19"/>
                <w:szCs w:val="22"/>
              </w:rPr>
            </w:pPr>
            <w:r w:rsidRPr="00AF7B50">
              <w:t>The higher 2016–17 target reflects funding provided for government policy commitments.</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households assisted with crisis/transitional accommodation</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9 000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9 000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9 000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9 004</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DB3C31">
            <w:pPr>
              <w:pStyle w:val="OGTabText"/>
              <w:rPr>
                <w:lang w:eastAsia="en-AU"/>
              </w:rPr>
            </w:pPr>
            <w:r w:rsidRPr="00AF7B50">
              <w:rPr>
                <w:lang w:eastAsia="en-AU"/>
              </w:rPr>
              <w:t>Number of households assisted with long</w:t>
            </w:r>
            <w:r w:rsidRPr="00AF7B50">
              <w:rPr>
                <w:lang w:eastAsia="en-AU"/>
              </w:rPr>
              <w:noBreakHyphen/>
              <w:t>term social housing (public, Aboriginal and community long</w:t>
            </w:r>
            <w:r w:rsidRPr="00AF7B50">
              <w:rPr>
                <w:lang w:eastAsia="en-AU"/>
              </w:rPr>
              <w:noBreakHyphen/>
              <w:t>term tenancies at end of year)</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77 343</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77 343</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77 343</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77 914</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public housing dwellings upgraded during year</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2 298</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2 003</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2 003</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1 740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additional funding provided by the Victorian Property Fund.</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number of social housing dwellings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405115">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85 524</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85 302</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85 195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85 386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the ongoing commitment to social housing.</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social housing dwellings acquired during the year</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640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371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371</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655</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reflects the reprioritisation of funds into growth strategies.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clients with case plans in homelessness support programs with some, most or all of their case plan goals achieved</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Social housing tenants satisfied with completed urgent maintenance works</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87.9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Average waiting time for public rental housing for those clients who have received early housing allocation</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months</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10.5</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9.5</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Proportion of clients where support to sustain housing tenure was unable to be provided or referred</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18</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12</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1666F0">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513.1</w:t>
            </w:r>
          </w:p>
        </w:tc>
        <w:tc>
          <w:tcPr>
            <w:tcW w:w="992" w:type="dxa"/>
            <w:tcBorders>
              <w:top w:val="nil"/>
              <w:left w:val="nil"/>
              <w:right w:val="nil"/>
            </w:tcBorders>
          </w:tcPr>
          <w:p w:rsidR="00E25CC6" w:rsidRPr="00AF7B50" w:rsidRDefault="00E25CC6" w:rsidP="00B46A70">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422.3</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420.8</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422.7</w:t>
            </w:r>
          </w:p>
        </w:tc>
      </w:tr>
      <w:tr w:rsidR="00E25CC6" w:rsidRPr="00AF7B50" w:rsidTr="001666F0">
        <w:trPr>
          <w:cantSplit/>
        </w:trPr>
        <w:tc>
          <w:tcPr>
            <w:tcW w:w="7767" w:type="dxa"/>
            <w:gridSpan w:val="6"/>
            <w:tcBorders>
              <w:top w:val="nil"/>
              <w:left w:val="nil"/>
              <w:bottom w:val="single" w:sz="12" w:space="0" w:color="auto"/>
              <w:right w:val="nil"/>
            </w:tcBorders>
          </w:tcPr>
          <w:p w:rsidR="00E25CC6" w:rsidRPr="00AF7B50" w:rsidRDefault="00E25CC6" w:rsidP="00940F23">
            <w:pPr>
              <w:pStyle w:val="OGNotes"/>
            </w:pPr>
            <w:r w:rsidRPr="00AF7B50">
              <w:t>The higher 2016</w:t>
            </w:r>
            <w:r w:rsidRPr="00AF7B50">
              <w:noBreakHyphen/>
              <w:t>17 target primarily reflects funding provided for government policy commitments.</w:t>
            </w:r>
          </w:p>
        </w:tc>
      </w:tr>
    </w:tbl>
    <w:p w:rsidR="00E25CC6" w:rsidRPr="00AF7B50" w:rsidRDefault="00E25CC6" w:rsidP="001666F0">
      <w:pPr>
        <w:pStyle w:val="Source"/>
      </w:pPr>
      <w:r w:rsidRPr="00AF7B50">
        <w:t>Source: Department of Health and Human Services</w:t>
      </w:r>
      <w:bookmarkEnd w:id="86"/>
      <w:r w:rsidRPr="00AF7B50">
        <w:t xml:space="preserve"> </w:t>
      </w:r>
      <w:r w:rsidRPr="00AF7B50">
        <w:fldChar w:fldCharType="begin"/>
      </w:r>
      <w:r w:rsidRPr="00AF7B50">
        <w:instrText xml:space="preserve"> XE "Department of Health and Human Services:Housing Assistance" \r "DHHS_HsingAssist" </w:instrText>
      </w:r>
      <w:r w:rsidRPr="00AF7B50">
        <w:fldChar w:fldCharType="end"/>
      </w:r>
      <w:r>
        <w:t xml:space="preserve"> </w:t>
      </w:r>
      <w:r>
        <w:fldChar w:fldCharType="begin"/>
      </w:r>
      <w:r>
        <w:instrText xml:space="preserve"> XE "</w:instrText>
      </w:r>
      <w:r w:rsidRPr="009F2792">
        <w:instrText>Housing Assistance</w:instrText>
      </w:r>
      <w:r>
        <w:instrText xml:space="preserve">" \r "DHHS_HsingAssist" </w:instrText>
      </w:r>
      <w:r>
        <w:fldChar w:fldCharType="end"/>
      </w:r>
    </w:p>
    <w:p w:rsidR="00E25CC6" w:rsidRPr="00AF7B50" w:rsidRDefault="00E25CC6"/>
    <w:p w:rsidR="00E25CC6" w:rsidRPr="00AF7B50" w:rsidRDefault="00E25CC6" w:rsidP="00262444">
      <w:r w:rsidRPr="00AF7B50">
        <w:br w:type="page"/>
      </w:r>
    </w:p>
    <w:p w:rsidR="00E25CC6" w:rsidRPr="00AF7B50" w:rsidRDefault="00E25CC6" w:rsidP="00262444">
      <w:pPr>
        <w:pStyle w:val="OGHeading1"/>
        <w:rPr>
          <w:rFonts w:eastAsiaTheme="minorHAnsi"/>
        </w:rPr>
      </w:pPr>
      <w:r w:rsidRPr="00AF7B50">
        <w:rPr>
          <w:rFonts w:eastAsiaTheme="minorHAnsi"/>
        </w:rPr>
        <w:t>Empowering Individuals and Communities</w:t>
      </w:r>
    </w:p>
    <w:p w:rsidR="00E25CC6" w:rsidRPr="00AF7B50" w:rsidRDefault="00E25CC6" w:rsidP="001666F0">
      <w:pPr>
        <w:pStyle w:val="OGText"/>
        <w:rPr>
          <w:rFonts w:eastAsiaTheme="minorHAnsi"/>
        </w:rPr>
      </w:pPr>
      <w:bookmarkStart w:id="87" w:name="DHHS_EmpIndiv"/>
      <w:r w:rsidRPr="00AF7B50">
        <w:rPr>
          <w:rFonts w:eastAsiaTheme="minorHAnsi"/>
        </w:rPr>
        <w:t>Empowering Individuals and Communities is delivered through funded programs that support community participation including Sport and Recreation, Neighbourhood Houses, Men</w:t>
      </w:r>
      <w:r>
        <w:rPr>
          <w:rFonts w:eastAsiaTheme="minorHAnsi"/>
        </w:rPr>
        <w:t>’</w:t>
      </w:r>
      <w:r w:rsidRPr="00AF7B50">
        <w:rPr>
          <w:rFonts w:eastAsiaTheme="minorHAnsi"/>
        </w:rPr>
        <w:t>s Sheds, community support projects and programs for youth and people with a disability. Leadership is delivered for whole of government policy on sport and recreation, youth and disability that will create an environment that encourages equity and improves all aspects of life.</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AF7B50" w:rsidTr="00776FB9">
        <w:trPr>
          <w:cantSplit/>
          <w:tblHeader/>
        </w:trPr>
        <w:tc>
          <w:tcPr>
            <w:tcW w:w="3146"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rPr>
                <w:rFonts w:ascii="Calibri" w:hAnsi="Calibri" w:cs="Calibri"/>
                <w:i/>
                <w:iCs/>
                <w:sz w:val="19"/>
                <w:szCs w:val="22"/>
                <w:lang w:eastAsia="en-AU"/>
              </w:rPr>
            </w:pPr>
            <w:r w:rsidRPr="00AF7B50">
              <w:rPr>
                <w:rFonts w:ascii="Calibri" w:hAnsi="Calibri" w:cs="Calibri"/>
                <w:b/>
                <w:bCs/>
                <w:sz w:val="19"/>
                <w:szCs w:val="22"/>
                <w:lang w:eastAsia="en-AU"/>
              </w:rPr>
              <w:t>Major outputs/deliverables</w:t>
            </w:r>
          </w:p>
          <w:p w:rsidR="00E25CC6" w:rsidRPr="00AF7B50" w:rsidRDefault="00E25CC6" w:rsidP="00776FB9">
            <w:pPr>
              <w:autoSpaceDE w:val="0"/>
              <w:autoSpaceDN w:val="0"/>
              <w:adjustRightInd w:val="0"/>
              <w:spacing w:after="0"/>
              <w:rPr>
                <w:rFonts w:ascii="Calibri" w:hAnsi="Calibri" w:cs="Calibri"/>
                <w:i/>
                <w:iCs/>
                <w:sz w:val="19"/>
                <w:szCs w:val="22"/>
                <w:lang w:eastAsia="en-AU"/>
              </w:rPr>
            </w:pPr>
            <w:r w:rsidRPr="00AF7B50">
              <w:rPr>
                <w:rFonts w:ascii="Calibri" w:hAnsi="Calibri" w:cs="Calibri"/>
                <w:i/>
                <w:iCs/>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center"/>
              <w:rPr>
                <w:rFonts w:ascii="Calibri" w:hAnsi="Calibri" w:cs="Calibri"/>
                <w:i/>
                <w:iCs/>
                <w:sz w:val="19"/>
                <w:szCs w:val="22"/>
                <w:lang w:eastAsia="en-AU"/>
              </w:rPr>
            </w:pPr>
            <w:r w:rsidRPr="00AF7B50">
              <w:rPr>
                <w:rFonts w:ascii="Calibri" w:hAnsi="Calibri" w:cs="Calibri"/>
                <w:i/>
                <w:iCs/>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2016</w:t>
            </w:r>
            <w:r w:rsidRPr="00AF7B50">
              <w:rPr>
                <w:rFonts w:ascii="Calibri" w:hAnsi="Calibri" w:cs="Calibri"/>
                <w:i/>
                <w:iCs/>
                <w:sz w:val="19"/>
                <w:szCs w:val="22"/>
                <w:lang w:eastAsia="en-AU"/>
              </w:rPr>
              <w:noBreakHyphen/>
              <w:t>17 target</w:t>
            </w:r>
          </w:p>
        </w:tc>
        <w:tc>
          <w:tcPr>
            <w:tcW w:w="992"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expected outcome</w:t>
            </w:r>
          </w:p>
        </w:tc>
        <w:tc>
          <w:tcPr>
            <w:tcW w:w="907"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2015</w:t>
            </w:r>
            <w:r w:rsidRPr="00AF7B50">
              <w:rPr>
                <w:rFonts w:ascii="Calibri" w:hAnsi="Calibri" w:cs="Calibri"/>
                <w:i/>
                <w:iCs/>
                <w:sz w:val="19"/>
                <w:szCs w:val="22"/>
                <w:lang w:eastAsia="en-AU"/>
              </w:rPr>
              <w:noBreakHyphen/>
              <w:t>16 target</w:t>
            </w:r>
          </w:p>
        </w:tc>
        <w:tc>
          <w:tcPr>
            <w:tcW w:w="908" w:type="dxa"/>
            <w:tcBorders>
              <w:top w:val="nil"/>
              <w:left w:val="nil"/>
              <w:bottom w:val="single" w:sz="4" w:space="0" w:color="auto"/>
              <w:right w:val="nil"/>
            </w:tcBorders>
            <w:shd w:val="solid" w:color="000000" w:fill="auto"/>
            <w:vAlign w:val="bottom"/>
          </w:tcPr>
          <w:p w:rsidR="00E25CC6" w:rsidRPr="00AF7B50" w:rsidRDefault="00E25CC6" w:rsidP="00776FB9">
            <w:pPr>
              <w:autoSpaceDE w:val="0"/>
              <w:autoSpaceDN w:val="0"/>
              <w:adjustRightInd w:val="0"/>
              <w:spacing w:after="0"/>
              <w:jc w:val="right"/>
              <w:rPr>
                <w:rFonts w:ascii="Calibri" w:hAnsi="Calibri" w:cs="Calibri"/>
                <w:i/>
                <w:iCs/>
                <w:sz w:val="19"/>
                <w:szCs w:val="22"/>
                <w:lang w:eastAsia="en-AU"/>
              </w:rPr>
            </w:pPr>
            <w:r w:rsidRPr="00AF7B50">
              <w:rPr>
                <w:rFonts w:ascii="Calibri" w:hAnsi="Calibri" w:cs="Calibri"/>
                <w:i/>
                <w:iCs/>
                <w:sz w:val="19"/>
                <w:szCs w:val="22"/>
                <w:lang w:eastAsia="en-AU"/>
              </w:rPr>
              <w:t>2014</w:t>
            </w:r>
            <w:r w:rsidRPr="00AF7B50">
              <w:rPr>
                <w:rFonts w:ascii="Calibri" w:hAnsi="Calibri" w:cs="Calibri"/>
                <w:i/>
                <w:iCs/>
                <w:sz w:val="19"/>
                <w:szCs w:val="22"/>
                <w:lang w:eastAsia="en-AU"/>
              </w:rPr>
              <w:noBreakHyphen/>
              <w:t>15 actual</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Community Participation</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Community Participation programs include the Neighbourhood House Coordination Program, Men</w:t>
            </w:r>
            <w:r>
              <w:rPr>
                <w:lang w:eastAsia="en-AU"/>
              </w:rPr>
              <w:t>’</w:t>
            </w:r>
            <w:r w:rsidRPr="00AF7B50">
              <w:rPr>
                <w:lang w:eastAsia="en-AU"/>
              </w:rPr>
              <w:t>s Sheds, Community Support and Community Finance initiatives. These programs support the social and economic participation of Victorian communities, particularly vulnerable populations.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Hours of coordination funding provided to Neighbourhood Houses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 (000)</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Strategy implementation actions within agreed performance targets: Community Organisations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Strategy implementation actions within agreed performance targets: Volunteering</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Grants acquitted within the timeframe specified in the terms and conditions of the funding agreement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due to changes in acquitting Men</w:t>
            </w:r>
            <w:r>
              <w:t>’</w:t>
            </w:r>
            <w:r w:rsidRPr="00AF7B50">
              <w:t>s Shed grants. This is a positive result.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i/>
                <w:iCs/>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r>
      <w:tr w:rsidR="00E25CC6" w:rsidRPr="00AF7B50" w:rsidTr="00E651AA">
        <w:trPr>
          <w:cantSplit/>
        </w:trPr>
        <w:tc>
          <w:tcPr>
            <w:tcW w:w="3146" w:type="dxa"/>
            <w:tcBorders>
              <w:top w:val="nil"/>
              <w:left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42.0</w:t>
            </w:r>
          </w:p>
        </w:tc>
        <w:tc>
          <w:tcPr>
            <w:tcW w:w="992"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45.2</w:t>
            </w:r>
          </w:p>
        </w:tc>
        <w:tc>
          <w:tcPr>
            <w:tcW w:w="907"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39.8</w:t>
            </w:r>
          </w:p>
        </w:tc>
        <w:tc>
          <w:tcPr>
            <w:tcW w:w="908" w:type="dxa"/>
            <w:tcBorders>
              <w:top w:val="nil"/>
              <w:left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39.5</w:t>
            </w:r>
          </w:p>
        </w:tc>
      </w:tr>
      <w:tr w:rsidR="00E25CC6" w:rsidRPr="00AF7B50" w:rsidTr="00E651AA">
        <w:trPr>
          <w:cantSplit/>
        </w:trPr>
        <w:tc>
          <w:tcPr>
            <w:tcW w:w="7767" w:type="dxa"/>
            <w:gridSpan w:val="6"/>
            <w:tcBorders>
              <w:top w:val="nil"/>
              <w:left w:val="nil"/>
              <w:bottom w:val="single" w:sz="6" w:space="0" w:color="auto"/>
            </w:tcBorders>
          </w:tcPr>
          <w:p w:rsidR="00E25CC6" w:rsidRPr="00AF7B50" w:rsidRDefault="00E25CC6" w:rsidP="00D05B92">
            <w:pPr>
              <w:pStyle w:val="OGNotes"/>
              <w:rPr>
                <w:rFonts w:cs="Calibri"/>
                <w:b/>
                <w:sz w:val="19"/>
                <w:szCs w:val="22"/>
              </w:rPr>
            </w:pPr>
            <w:r w:rsidRPr="00AF7B50">
              <w:t>The 2015–16 expected outcome is higher than the 2015–16 target  primarily due to additional funding received from other departments. The higher 2016–17 target primarily reflects funding for the Social and Community Services Equal Remuneration Order and price escalation.</w:t>
            </w:r>
          </w:p>
        </w:tc>
      </w:tr>
      <w:tr w:rsidR="00E25CC6" w:rsidRPr="00AF7B50" w:rsidTr="00E651AA">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Office for Disability</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The Office for Disability leads and coordinates whole of government policy, disability action planning and funding, and support to disability advocacy and self</w:t>
            </w:r>
            <w:r w:rsidRPr="00AF7B50">
              <w:rPr>
                <w:lang w:eastAsia="en-AU"/>
              </w:rPr>
              <w:noBreakHyphen/>
              <w:t>advocacy organisations so that people with a disability experience reduced disadvantage, can fully participate in the community and have their rights upheld.</w:t>
            </w:r>
          </w:p>
        </w:tc>
      </w:tr>
      <w:tr w:rsidR="00E25CC6" w:rsidRPr="00AF7B50" w:rsidTr="00C336DE">
        <w:trPr>
          <w:cantSplit/>
        </w:trPr>
        <w:tc>
          <w:tcPr>
            <w:tcW w:w="3146" w:type="dxa"/>
            <w:tcBorders>
              <w:top w:val="nil"/>
              <w:left w:val="nil"/>
              <w:bottom w:val="nil"/>
              <w:right w:val="nil"/>
            </w:tcBorders>
          </w:tcPr>
          <w:p w:rsidR="00E25CC6" w:rsidRPr="00AF7B50" w:rsidRDefault="00E25CC6" w:rsidP="005F6A28">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5F6A28">
            <w:pPr>
              <w:keepNext/>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Number of Disability Advocacy clients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1 869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Office for Disability projects delivered within agreed timeframes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720C55">
            <w:pPr>
              <w:pStyle w:val="OGNotes"/>
            </w:pPr>
            <w:r w:rsidRPr="00AF7B50">
              <w:t>The higher 2016</w:t>
            </w:r>
            <w:r w:rsidRPr="00AF7B50">
              <w:noBreakHyphen/>
              <w:t>17 target reflects the positive trend in performance.</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i/>
                <w:iCs/>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i/>
                <w:iCs/>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5.1</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5.2</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4.8</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BE7345">
            <w:pPr>
              <w:pStyle w:val="OGNotes"/>
            </w:pPr>
            <w:r w:rsidRPr="00AF7B50">
              <w:t>The higher 2016</w:t>
            </w:r>
            <w:r w:rsidRPr="00AF7B50">
              <w:noBreakHyphen/>
              <w:t>17 target primarily reflects funding provided for government policy commitments.</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C336DE">
            <w:pPr>
              <w:pStyle w:val="OGHeading2"/>
              <w:rPr>
                <w:lang w:eastAsia="en-AU"/>
              </w:rPr>
            </w:pPr>
            <w:r w:rsidRPr="00AF7B50">
              <w:rPr>
                <w:lang w:eastAsia="en-AU"/>
              </w:rPr>
              <w:t>Youth Affairs</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Text"/>
              <w:rPr>
                <w:lang w:eastAsia="en-AU"/>
              </w:rPr>
            </w:pPr>
            <w:r w:rsidRPr="00AF7B50">
              <w:rPr>
                <w:lang w:eastAsia="en-AU"/>
              </w:rPr>
              <w:t>Youth Affairs leads and coordinates whole of government policy advice and delivers a range of initiatives for young people aged between 12 and 25 to gain a range of skills and experiences and to actively participate in their local communities.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Participation by young people in programs that provide opportunities to be involved in social and economic life in their communities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200 000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200 000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200 000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264 292</w:t>
            </w:r>
          </w:p>
        </w:tc>
      </w:tr>
      <w:tr w:rsidR="00E25CC6" w:rsidRPr="00AF7B50" w:rsidTr="00C336DE">
        <w:trPr>
          <w:cantSplit/>
        </w:trPr>
        <w:tc>
          <w:tcPr>
            <w:tcW w:w="3146" w:type="dxa"/>
            <w:tcBorders>
              <w:top w:val="single" w:sz="6" w:space="0" w:color="auto"/>
              <w:left w:val="nil"/>
              <w:bottom w:val="single" w:sz="6" w:space="0" w:color="auto"/>
              <w:right w:val="nil"/>
            </w:tcBorders>
          </w:tcPr>
          <w:p w:rsidR="00E25CC6" w:rsidRPr="00AF7B50" w:rsidRDefault="00E25CC6" w:rsidP="00C336DE">
            <w:pPr>
              <w:pStyle w:val="OGTabText"/>
              <w:rPr>
                <w:lang w:eastAsia="en-AU"/>
              </w:rPr>
            </w:pPr>
            <w:r w:rsidRPr="00AF7B50">
              <w:rPr>
                <w:lang w:eastAsia="en-AU"/>
              </w:rPr>
              <w:t>Participation by young people in programs that support young people to be involved in decision making in their community</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1 775</w:t>
            </w:r>
          </w:p>
        </w:tc>
        <w:tc>
          <w:tcPr>
            <w:tcW w:w="992"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1 775</w:t>
            </w:r>
          </w:p>
        </w:tc>
        <w:tc>
          <w:tcPr>
            <w:tcW w:w="907"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1 775</w:t>
            </w:r>
          </w:p>
        </w:tc>
        <w:tc>
          <w:tcPr>
            <w:tcW w:w="908" w:type="dxa"/>
            <w:tcBorders>
              <w:top w:val="single" w:sz="6" w:space="0" w:color="auto"/>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2 743</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Participants reporting development of transferrable skills that support education, training and vocational opportunities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75</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97</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Percentage of programs delivered within agreed timeframes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99.9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16.4</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16.1</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17.0</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higher 2016</w:t>
            </w:r>
            <w:r w:rsidRPr="00AF7B50">
              <w:noBreakHyphen/>
              <w:t>17 target primarily reflects price escalation and changes in carried over funding.</w:t>
            </w:r>
          </w:p>
        </w:tc>
      </w:tr>
      <w:tr w:rsidR="00E25CC6" w:rsidRPr="00AF7B50" w:rsidTr="00C336DE">
        <w:trPr>
          <w:cantSplit/>
        </w:trPr>
        <w:tc>
          <w:tcPr>
            <w:tcW w:w="7767" w:type="dxa"/>
            <w:gridSpan w:val="6"/>
            <w:tcBorders>
              <w:top w:val="single" w:sz="6" w:space="0" w:color="auto"/>
              <w:left w:val="nil"/>
              <w:bottom w:val="nil"/>
              <w:right w:val="nil"/>
            </w:tcBorders>
          </w:tcPr>
          <w:p w:rsidR="00E25CC6" w:rsidRPr="00AF7B50" w:rsidRDefault="00E25CC6" w:rsidP="007A0CD9">
            <w:pPr>
              <w:pStyle w:val="OGHeading2"/>
              <w:rPr>
                <w:lang w:eastAsia="en-AU"/>
              </w:rPr>
            </w:pPr>
            <w:r w:rsidRPr="00AF7B50">
              <w:rPr>
                <w:lang w:eastAsia="en-AU"/>
              </w:rPr>
              <w:t>Sport and Recreation</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7A0CD9">
            <w:pPr>
              <w:pStyle w:val="OGText"/>
              <w:rPr>
                <w:lang w:eastAsia="en-AU"/>
              </w:rPr>
            </w:pPr>
            <w:r w:rsidRPr="00AF7B50">
              <w:rPr>
                <w:lang w:eastAsia="en-AU"/>
              </w:rPr>
              <w:t>This output provides strategic leadership to the Victorian sport and recreation industry through innovation, sector development and funding support. It enhances participation in sport and active recreation and assists Victoria</w:t>
            </w:r>
            <w:r>
              <w:rPr>
                <w:lang w:eastAsia="en-AU"/>
              </w:rPr>
              <w:t>’</w:t>
            </w:r>
            <w:r w:rsidRPr="00AF7B50">
              <w:rPr>
                <w:lang w:eastAsia="en-AU"/>
              </w:rPr>
              <w:t>s elite athletes achieve their potential. This output improves community sport and recreation facilities across the state and guides the development and management of state</w:t>
            </w:r>
            <w:r w:rsidRPr="00AF7B50">
              <w:rPr>
                <w:lang w:eastAsia="en-AU"/>
              </w:rPr>
              <w:noBreakHyphen/>
              <w:t>level sport facilities and a range of sporting events.</w:t>
            </w:r>
          </w:p>
        </w:tc>
      </w:tr>
      <w:tr w:rsidR="00E25CC6" w:rsidRPr="00AF7B50" w:rsidTr="00C336DE">
        <w:trPr>
          <w:cantSplit/>
        </w:trPr>
        <w:tc>
          <w:tcPr>
            <w:tcW w:w="3146" w:type="dxa"/>
            <w:tcBorders>
              <w:top w:val="nil"/>
              <w:left w:val="nil"/>
              <w:bottom w:val="nil"/>
              <w:right w:val="nil"/>
            </w:tcBorders>
          </w:tcPr>
          <w:p w:rsidR="00E25CC6" w:rsidRPr="00AF7B50" w:rsidRDefault="00E25CC6" w:rsidP="007A0CD9">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Quantity</w:t>
            </w:r>
          </w:p>
        </w:tc>
        <w:tc>
          <w:tcPr>
            <w:tcW w:w="907" w:type="dxa"/>
            <w:tcBorders>
              <w:top w:val="nil"/>
              <w:left w:val="nil"/>
              <w:bottom w:val="nil"/>
              <w:right w:val="nil"/>
            </w:tcBorders>
          </w:tcPr>
          <w:p w:rsidR="00E25CC6" w:rsidRPr="00AF7B50" w:rsidRDefault="00E25CC6" w:rsidP="007A0CD9">
            <w:pPr>
              <w:keepNext/>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7A0CD9">
            <w:pPr>
              <w:keepNext/>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Combat sports licences, registrations and permits issued</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&gt;600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610</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&gt;600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639</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Community Facility Grants: number approved</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AF7B50" w:rsidRDefault="00E25CC6" w:rsidP="00FA4CD7">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&gt;140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150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&gt;130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308</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1F5C44">
            <w:pPr>
              <w:pStyle w:val="OGNotes"/>
            </w:pPr>
            <w:r w:rsidRPr="00AF7B50">
              <w:t>The 2015</w:t>
            </w:r>
            <w:r w:rsidRPr="00AF7B50">
              <w:noBreakHyphen/>
              <w:t>16 expected outcome is higher than the 2015</w:t>
            </w:r>
            <w:r w:rsidRPr="00AF7B50">
              <w:noBreakHyphen/>
              <w:t>16 target due to the impact of new programs having a larger than expected number of approvals. The higher 2016–17 target reflects this higher expected outcome.</w:t>
            </w:r>
          </w:p>
        </w:tc>
      </w:tr>
      <w:tr w:rsidR="00E25CC6" w:rsidRPr="00AF7B50" w:rsidTr="00C336DE">
        <w:trPr>
          <w:cantSplit/>
        </w:trPr>
        <w:tc>
          <w:tcPr>
            <w:tcW w:w="3146" w:type="dxa"/>
            <w:tcBorders>
              <w:top w:val="nil"/>
              <w:left w:val="nil"/>
              <w:bottom w:val="nil"/>
              <w:right w:val="nil"/>
            </w:tcBorders>
          </w:tcPr>
          <w:p w:rsidR="00E25CC6" w:rsidRPr="00AF7B50" w:rsidRDefault="00E25CC6" w:rsidP="00F15C5D">
            <w:pPr>
              <w:pStyle w:val="OGTabText"/>
              <w:keepNext/>
              <w:rPr>
                <w:lang w:eastAsia="en-AU"/>
              </w:rPr>
            </w:pPr>
            <w:r w:rsidRPr="00AF7B50">
              <w:rPr>
                <w:lang w:eastAsia="en-AU"/>
              </w:rPr>
              <w:t>Events facilitated: Sport and recreation</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F01228">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&gt;70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&gt;50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72</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594874">
            <w:pPr>
              <w:pStyle w:val="OGNotes"/>
            </w:pPr>
            <w:r w:rsidRPr="00AF7B50">
              <w:t>The 2015</w:t>
            </w:r>
            <w:r w:rsidRPr="00AF7B50">
              <w:noBreakHyphen/>
              <w:t>16 expected outcome is higher than the 2015</w:t>
            </w:r>
            <w:r w:rsidRPr="00AF7B50">
              <w:noBreakHyphen/>
              <w:t>16 target due to demand for event funding through the Significant Sporting Events Program by a large number of sports. The higher 2016–17 target reflects this increase in demand.</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projects in progress that relate to the planning and development of state level facilities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&gt;9</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8</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&gt;7</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940F23">
            <w:pPr>
              <w:pStyle w:val="OGNotes"/>
            </w:pPr>
            <w:r w:rsidRPr="00AF7B50">
              <w:t>The higher 2016</w:t>
            </w:r>
            <w:r w:rsidRPr="00AF7B50">
              <w:noBreakHyphen/>
              <w:t>17 target reflects the imminent transfer of the oversight of the Melbourne Park redevelopment to the department. The 2015</w:t>
            </w:r>
            <w:r w:rsidRPr="00AF7B50">
              <w:noBreakHyphen/>
              <w:t>16 expected outcome is higher than the 2015</w:t>
            </w:r>
            <w:r w:rsidRPr="00AF7B50">
              <w:noBreakHyphen/>
              <w:t xml:space="preserve">16 target due to the commencement of new projects related to state facilities. </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Number of sports with athletes on Victorian Institute of Sport (VIS) scholarships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&gt;20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37</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&gt;20</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39</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due to the large numbers of sports that have athletes who are eligible for individual scholarships.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Sport and recreation organisations undertaking programs or activities to enhance participation</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F01228">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&gt;90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104</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&gt;85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103</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E25411">
            <w:pPr>
              <w:pStyle w:val="OGNotes"/>
            </w:pPr>
            <w:r w:rsidRPr="00AF7B50">
              <w:t>The higher 2016</w:t>
            </w:r>
            <w:r w:rsidRPr="00AF7B50">
              <w:noBreakHyphen/>
              <w:t>17 target reflects baseline performance. The 2015</w:t>
            </w:r>
            <w:r w:rsidRPr="00AF7B50">
              <w:noBreakHyphen/>
              <w:t>16 expected outcome is higher than the 2015</w:t>
            </w:r>
            <w:r w:rsidRPr="00AF7B50">
              <w:noBreakHyphen/>
              <w:t xml:space="preserve">16 target due to a large number of organisations receiving support. </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Sporting club grants: number approved</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number</w:t>
            </w:r>
          </w:p>
        </w:tc>
        <w:tc>
          <w:tcPr>
            <w:tcW w:w="907" w:type="dxa"/>
            <w:tcBorders>
              <w:top w:val="nil"/>
              <w:left w:val="nil"/>
              <w:bottom w:val="nil"/>
              <w:right w:val="nil"/>
            </w:tcBorders>
            <w:shd w:val="clear" w:color="auto" w:fill="DCDCDC"/>
          </w:tcPr>
          <w:p w:rsidR="00E25CC6" w:rsidRPr="00AF7B50" w:rsidRDefault="00E25CC6" w:rsidP="00F01228">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600</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nm</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B71512">
            <w:pPr>
              <w:pStyle w:val="OGNotes"/>
            </w:pPr>
            <w:r w:rsidRPr="00AF7B50">
              <w:t>New performance measure for 2016</w:t>
            </w:r>
            <w:r w:rsidRPr="00AF7B50">
              <w:noBreakHyphen/>
              <w:t>17 to reflect Government priorities regarding sporting club grants.</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Victorian Institute of Sport scholarship holders on national teams/squads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&gt;55</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60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&gt;55</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72</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2015</w:t>
            </w:r>
            <w:r w:rsidRPr="00AF7B50">
              <w:noBreakHyphen/>
              <w:t>16 expected outcome is higher than the 2015</w:t>
            </w:r>
            <w:r w:rsidRPr="00AF7B50">
              <w:noBreakHyphen/>
              <w:t>16 target due to the strong performance of the Victorian Institute of Sport in developing athletes who are selected for national teams and squads.</w:t>
            </w:r>
          </w:p>
        </w:tc>
      </w:tr>
      <w:tr w:rsidR="00E25CC6" w:rsidRPr="00AF7B50" w:rsidTr="00C336DE">
        <w:trPr>
          <w:cantSplit/>
        </w:trPr>
        <w:tc>
          <w:tcPr>
            <w:tcW w:w="3146" w:type="dxa"/>
            <w:tcBorders>
              <w:top w:val="nil"/>
              <w:left w:val="nil"/>
              <w:bottom w:val="nil"/>
              <w:right w:val="nil"/>
            </w:tcBorders>
          </w:tcPr>
          <w:p w:rsidR="00E25CC6" w:rsidRPr="00AF7B50" w:rsidRDefault="00E25CC6" w:rsidP="005F6A28">
            <w:pPr>
              <w:keepNext/>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Quality</w:t>
            </w:r>
          </w:p>
        </w:tc>
        <w:tc>
          <w:tcPr>
            <w:tcW w:w="907" w:type="dxa"/>
            <w:tcBorders>
              <w:top w:val="nil"/>
              <w:left w:val="nil"/>
              <w:bottom w:val="nil"/>
              <w:right w:val="nil"/>
            </w:tcBorders>
          </w:tcPr>
          <w:p w:rsidR="00E25CC6" w:rsidRPr="00AF7B50" w:rsidRDefault="00E25CC6" w:rsidP="005F6A28">
            <w:pPr>
              <w:keepNext/>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5F6A28">
            <w:pPr>
              <w:keepNext/>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single" w:sz="6" w:space="0" w:color="auto"/>
              <w:right w:val="nil"/>
            </w:tcBorders>
          </w:tcPr>
          <w:p w:rsidR="00E25CC6" w:rsidRPr="00AF7B50" w:rsidRDefault="00E25CC6" w:rsidP="00C336DE">
            <w:pPr>
              <w:pStyle w:val="OGTabText"/>
              <w:rPr>
                <w:lang w:eastAsia="en-AU"/>
              </w:rPr>
            </w:pPr>
            <w:r w:rsidRPr="00AF7B50">
              <w:rPr>
                <w:lang w:eastAsia="en-AU"/>
              </w:rPr>
              <w:t>Contract management of outdoor recreation camps meets agreed key performance indicators</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&gt;90</w:t>
            </w:r>
          </w:p>
        </w:tc>
        <w:tc>
          <w:tcPr>
            <w:tcW w:w="992"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w:t>
            </w:r>
          </w:p>
        </w:tc>
        <w:tc>
          <w:tcPr>
            <w:tcW w:w="907"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&gt;90</w:t>
            </w:r>
          </w:p>
        </w:tc>
        <w:tc>
          <w:tcPr>
            <w:tcW w:w="908" w:type="dxa"/>
            <w:tcBorders>
              <w:top w:val="nil"/>
              <w:left w:val="nil"/>
              <w:bottom w:val="single" w:sz="6" w:space="0" w:color="auto"/>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94</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Timeliness</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Annual Community Sport and Recreation Awards held</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date</w:t>
            </w:r>
          </w:p>
        </w:tc>
        <w:tc>
          <w:tcPr>
            <w:tcW w:w="907" w:type="dxa"/>
            <w:tcBorders>
              <w:top w:val="nil"/>
              <w:left w:val="nil"/>
              <w:bottom w:val="nil"/>
              <w:right w:val="nil"/>
            </w:tcBorders>
            <w:shd w:val="clear" w:color="auto" w:fill="DCDCDC"/>
          </w:tcPr>
          <w:p w:rsidR="00E25CC6" w:rsidRPr="00AF7B50" w:rsidRDefault="00E25CC6" w:rsidP="00E433C4">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Jun</w:t>
            </w:r>
            <w:r w:rsidRPr="00AF7B50">
              <w:rPr>
                <w:rFonts w:ascii="Calibri" w:hAnsi="Calibri" w:cs="Calibri"/>
                <w:sz w:val="19"/>
                <w:szCs w:val="22"/>
                <w:lang w:eastAsia="en-AU"/>
              </w:rPr>
              <w:noBreakHyphen/>
              <w:t>17</w:t>
            </w:r>
          </w:p>
        </w:tc>
        <w:tc>
          <w:tcPr>
            <w:tcW w:w="992" w:type="dxa"/>
            <w:tcBorders>
              <w:top w:val="nil"/>
              <w:left w:val="nil"/>
              <w:bottom w:val="nil"/>
              <w:right w:val="nil"/>
            </w:tcBorders>
          </w:tcPr>
          <w:p w:rsidR="00E25CC6" w:rsidRPr="00AF7B50" w:rsidRDefault="00E25CC6" w:rsidP="00F01228">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Nov</w:t>
            </w:r>
            <w:r w:rsidRPr="00AF7B50">
              <w:rPr>
                <w:rFonts w:ascii="Calibri" w:hAnsi="Calibri" w:cs="Calibri"/>
                <w:sz w:val="19"/>
                <w:szCs w:val="22"/>
                <w:lang w:eastAsia="en-AU"/>
              </w:rPr>
              <w:noBreakHyphen/>
              <w:t>15</w:t>
            </w:r>
          </w:p>
        </w:tc>
        <w:tc>
          <w:tcPr>
            <w:tcW w:w="907" w:type="dxa"/>
            <w:tcBorders>
              <w:top w:val="nil"/>
              <w:left w:val="nil"/>
              <w:bottom w:val="nil"/>
              <w:right w:val="nil"/>
            </w:tcBorders>
          </w:tcPr>
          <w:p w:rsidR="00E25CC6" w:rsidRPr="00AF7B50" w:rsidRDefault="00E25CC6" w:rsidP="00E433C4">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Jun</w:t>
            </w:r>
            <w:r w:rsidRPr="00AF7B50">
              <w:rPr>
                <w:rFonts w:ascii="Calibri" w:hAnsi="Calibri" w:cs="Calibri"/>
                <w:sz w:val="19"/>
                <w:szCs w:val="22"/>
                <w:lang w:eastAsia="en-AU"/>
              </w:rPr>
              <w:noBreakHyphen/>
              <w:t>16</w:t>
            </w:r>
          </w:p>
        </w:tc>
        <w:tc>
          <w:tcPr>
            <w:tcW w:w="908" w:type="dxa"/>
            <w:tcBorders>
              <w:top w:val="nil"/>
              <w:left w:val="nil"/>
              <w:bottom w:val="nil"/>
              <w:right w:val="nil"/>
            </w:tcBorders>
          </w:tcPr>
          <w:p w:rsidR="00E25CC6" w:rsidRPr="00AF7B50" w:rsidRDefault="00E25CC6" w:rsidP="00E433C4">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Oct</w:t>
            </w:r>
            <w:r w:rsidRPr="00AF7B50">
              <w:rPr>
                <w:rFonts w:ascii="Calibri" w:hAnsi="Calibri" w:cs="Calibri"/>
                <w:sz w:val="19"/>
                <w:szCs w:val="22"/>
                <w:lang w:eastAsia="en-AU"/>
              </w:rPr>
              <w:noBreakHyphen/>
              <w:t>14</w:t>
            </w:r>
          </w:p>
        </w:tc>
      </w:tr>
      <w:tr w:rsidR="00E25CC6" w:rsidRPr="00AF7B50" w:rsidTr="00C336DE">
        <w:trPr>
          <w:cantSplit/>
        </w:trPr>
        <w:tc>
          <w:tcPr>
            <w:tcW w:w="7767" w:type="dxa"/>
            <w:gridSpan w:val="6"/>
            <w:tcBorders>
              <w:top w:val="nil"/>
              <w:left w:val="nil"/>
              <w:bottom w:val="single" w:sz="6" w:space="0" w:color="auto"/>
              <w:right w:val="nil"/>
            </w:tcBorders>
          </w:tcPr>
          <w:p w:rsidR="00E25CC6" w:rsidRPr="00AF7B50" w:rsidRDefault="00E25CC6" w:rsidP="00C336DE">
            <w:pPr>
              <w:pStyle w:val="OGNotes"/>
            </w:pPr>
            <w:r w:rsidRPr="00AF7B50">
              <w:t>The 2014</w:t>
            </w:r>
            <w:r w:rsidRPr="00AF7B50">
              <w:noBreakHyphen/>
              <w:t>15 actual was erroneously published as the 2014</w:t>
            </w:r>
            <w:r w:rsidRPr="00AF7B50">
              <w:noBreakHyphen/>
              <w:t>15 target in the Department of Health and Human Services</w:t>
            </w:r>
            <w:r>
              <w:t>’</w:t>
            </w:r>
            <w:r w:rsidRPr="00AF7B50">
              <w:t xml:space="preserve"> </w:t>
            </w:r>
            <w:r w:rsidRPr="00AF7B50">
              <w:rPr>
                <w:i w:val="0"/>
              </w:rPr>
              <w:t>2014</w:t>
            </w:r>
            <w:r w:rsidRPr="00AF7B50">
              <w:rPr>
                <w:i w:val="0"/>
              </w:rPr>
              <w:noBreakHyphen/>
              <w:t>15 Annual Report</w:t>
            </w:r>
            <w:r w:rsidRPr="00AF7B50">
              <w:t>.</w:t>
            </w: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autoSpaceDE w:val="0"/>
              <w:autoSpaceDN w:val="0"/>
              <w:adjustRightInd w:val="0"/>
              <w:spacing w:after="0"/>
              <w:ind w:left="227" w:hanging="227"/>
              <w:rPr>
                <w:rFonts w:ascii="Calibri" w:hAnsi="Calibri" w:cs="Calibri"/>
                <w:i/>
                <w:iCs/>
                <w:sz w:val="19"/>
                <w:szCs w:val="22"/>
                <w:lang w:eastAsia="en-AU"/>
              </w:rPr>
            </w:pPr>
            <w:r w:rsidRPr="00AF7B50">
              <w:rPr>
                <w:rFonts w:ascii="Calibri" w:hAnsi="Calibri" w:cs="Calibri"/>
                <w:i/>
                <w:iCs/>
                <w:sz w:val="19"/>
                <w:szCs w:val="22"/>
                <w:lang w:eastAsia="en-AU"/>
              </w:rPr>
              <w:t>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p>
        </w:tc>
        <w:tc>
          <w:tcPr>
            <w:tcW w:w="907" w:type="dxa"/>
            <w:tcBorders>
              <w:top w:val="nil"/>
              <w:left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p>
        </w:tc>
      </w:tr>
      <w:tr w:rsidR="00E25CC6" w:rsidRPr="00AF7B50" w:rsidTr="00C336DE">
        <w:trPr>
          <w:cantSplit/>
        </w:trPr>
        <w:tc>
          <w:tcPr>
            <w:tcW w:w="3146" w:type="dxa"/>
            <w:tcBorders>
              <w:top w:val="nil"/>
              <w:left w:val="nil"/>
              <w:bottom w:val="nil"/>
              <w:right w:val="nil"/>
            </w:tcBorders>
          </w:tcPr>
          <w:p w:rsidR="00E25CC6" w:rsidRPr="00AF7B50" w:rsidRDefault="00E25CC6" w:rsidP="00C336DE">
            <w:pPr>
              <w:pStyle w:val="OGTabText"/>
              <w:rPr>
                <w:lang w:eastAsia="en-AU"/>
              </w:rPr>
            </w:pPr>
            <w:r w:rsidRPr="00AF7B50">
              <w:rPr>
                <w:lang w:eastAsia="en-AU"/>
              </w:rPr>
              <w:t>Total output cost</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center"/>
              <w:rPr>
                <w:rFonts w:ascii="Calibri" w:hAnsi="Calibri" w:cs="Calibri"/>
                <w:sz w:val="19"/>
                <w:szCs w:val="22"/>
                <w:lang w:eastAsia="en-AU"/>
              </w:rPr>
            </w:pPr>
            <w:r w:rsidRPr="00AF7B50">
              <w:rPr>
                <w:rFonts w:ascii="Calibri"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108.8</w:t>
            </w:r>
          </w:p>
        </w:tc>
        <w:tc>
          <w:tcPr>
            <w:tcW w:w="992"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145.0</w:t>
            </w:r>
          </w:p>
        </w:tc>
        <w:tc>
          <w:tcPr>
            <w:tcW w:w="907"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76.4</w:t>
            </w:r>
          </w:p>
        </w:tc>
        <w:tc>
          <w:tcPr>
            <w:tcW w:w="908" w:type="dxa"/>
            <w:tcBorders>
              <w:top w:val="nil"/>
              <w:left w:val="nil"/>
              <w:bottom w:val="nil"/>
              <w:right w:val="nil"/>
            </w:tcBorders>
          </w:tcPr>
          <w:p w:rsidR="00E25CC6" w:rsidRPr="00AF7B50" w:rsidRDefault="00E25CC6" w:rsidP="00C336DE">
            <w:pPr>
              <w:autoSpaceDE w:val="0"/>
              <w:autoSpaceDN w:val="0"/>
              <w:adjustRightInd w:val="0"/>
              <w:spacing w:after="0"/>
              <w:jc w:val="right"/>
              <w:rPr>
                <w:rFonts w:ascii="Calibri" w:hAnsi="Calibri" w:cs="Calibri"/>
                <w:sz w:val="19"/>
                <w:szCs w:val="22"/>
                <w:lang w:eastAsia="en-AU"/>
              </w:rPr>
            </w:pPr>
            <w:r w:rsidRPr="00AF7B50">
              <w:rPr>
                <w:rFonts w:ascii="Calibri" w:hAnsi="Calibri" w:cs="Calibri"/>
                <w:sz w:val="19"/>
                <w:szCs w:val="22"/>
                <w:lang w:eastAsia="en-AU"/>
              </w:rPr>
              <w:t>38.2</w:t>
            </w:r>
          </w:p>
        </w:tc>
      </w:tr>
      <w:tr w:rsidR="00E25CC6" w:rsidRPr="00AF7B50" w:rsidTr="00C336DE">
        <w:trPr>
          <w:cantSplit/>
        </w:trPr>
        <w:tc>
          <w:tcPr>
            <w:tcW w:w="7767" w:type="dxa"/>
            <w:gridSpan w:val="6"/>
            <w:tcBorders>
              <w:top w:val="nil"/>
              <w:left w:val="nil"/>
              <w:bottom w:val="single" w:sz="12" w:space="0" w:color="auto"/>
              <w:right w:val="nil"/>
            </w:tcBorders>
          </w:tcPr>
          <w:p w:rsidR="00E25CC6" w:rsidRPr="00AF7B50" w:rsidRDefault="00E25CC6" w:rsidP="005C047D">
            <w:pPr>
              <w:pStyle w:val="OGNotes"/>
            </w:pPr>
            <w:r w:rsidRPr="00AF7B50">
              <w:t>The higher 2016</w:t>
            </w:r>
            <w:r w:rsidRPr="00AF7B50">
              <w:noBreakHyphen/>
              <w:t>17 target primarily reflects funding provided for government policy commitments.</w:t>
            </w:r>
          </w:p>
          <w:p w:rsidR="00E25CC6" w:rsidRPr="00AF7B50" w:rsidRDefault="00E25CC6" w:rsidP="00425C5A">
            <w:pPr>
              <w:pStyle w:val="OGNotes"/>
            </w:pPr>
            <w:r w:rsidRPr="00AF7B50">
              <w:t>The 2015</w:t>
            </w:r>
            <w:r w:rsidRPr="00AF7B50">
              <w:noBreakHyphen/>
              <w:t>16 expected outcome is higher than the 2015</w:t>
            </w:r>
            <w:r w:rsidRPr="00AF7B50">
              <w:noBreakHyphen/>
              <w:t xml:space="preserve">16 target primarily due to the payments in respect to Simonds Stadium (Kardinia Park) until the establishment of the Kardinia Park Trust. </w:t>
            </w:r>
          </w:p>
        </w:tc>
      </w:tr>
    </w:tbl>
    <w:p w:rsidR="00E25CC6" w:rsidRDefault="00E25CC6" w:rsidP="001666F0">
      <w:pPr>
        <w:pStyle w:val="Source"/>
      </w:pPr>
      <w:r w:rsidRPr="00AF7B50">
        <w:t>Source: Department of Health and Human Services</w:t>
      </w:r>
      <w:bookmarkEnd w:id="87"/>
      <w:r w:rsidRPr="00AF7B50">
        <w:t xml:space="preserve"> </w:t>
      </w:r>
      <w:r w:rsidRPr="00AF7B50">
        <w:fldChar w:fldCharType="begin"/>
      </w:r>
      <w:r w:rsidRPr="00AF7B50">
        <w:instrText xml:space="preserve"> XE "Department of Health and Human Services:Empowering Individuals and Communities" \r "DHHS_EmpIndiv" </w:instrText>
      </w:r>
      <w:r w:rsidRPr="00AF7B50">
        <w:fldChar w:fldCharType="end"/>
      </w:r>
      <w:r>
        <w:t xml:space="preserve"> </w:t>
      </w:r>
      <w:r w:rsidRPr="00AF7B50">
        <w:fldChar w:fldCharType="begin"/>
      </w:r>
      <w:r w:rsidRPr="00AF7B50">
        <w:instrText xml:space="preserve"> XE "</w:instrText>
      </w:r>
      <w:r>
        <w:instrText>Communities</w:instrText>
      </w:r>
      <w:r w:rsidRPr="00AF7B50">
        <w:instrText xml:space="preserve">:Empowering Individuals and Communities" \r "DHHS_EmpIndiv" </w:instrText>
      </w:r>
      <w:r w:rsidRPr="00AF7B50">
        <w:fldChar w:fldCharType="end"/>
      </w:r>
    </w:p>
    <w:p w:rsidR="00E25CC6" w:rsidRDefault="00E25CC6" w:rsidP="0078370D"/>
    <w:p w:rsidR="00E25CC6" w:rsidRPr="0078370D" w:rsidRDefault="00E25CC6" w:rsidP="0078370D"/>
    <w:p w:rsidR="00E25CC6" w:rsidRDefault="00E25CC6" w:rsidP="0078370D">
      <w:pPr>
        <w:rPr>
          <w:rFonts w:eastAsiaTheme="minorHAnsi"/>
        </w:rPr>
        <w:sectPr w:rsidR="00E25CC6" w:rsidSect="00E25CC6">
          <w:footerReference w:type="even" r:id="rId35"/>
          <w:footerReference w:type="default" r:id="rId36"/>
          <w:pgSz w:w="9979" w:h="14181" w:code="34"/>
          <w:pgMar w:top="1140" w:right="1140" w:bottom="1140" w:left="1140" w:header="720" w:footer="431" w:gutter="0"/>
          <w:cols w:space="708"/>
          <w:docGrid w:linePitch="360"/>
        </w:sectPr>
      </w:pPr>
    </w:p>
    <w:p w:rsidR="00E25CC6" w:rsidRDefault="00E25CC6" w:rsidP="00405185">
      <w:pPr>
        <w:pStyle w:val="Heading1"/>
      </w:pPr>
      <w:bookmarkStart w:id="88" w:name="_Toc449033157"/>
      <w:bookmarkStart w:id="89" w:name="_Toc449109442"/>
      <w:r>
        <w:t>Department of Justice and Regulation</w:t>
      </w:r>
      <w:bookmarkEnd w:id="88"/>
      <w:bookmarkEnd w:id="89"/>
    </w:p>
    <w:p w:rsidR="00E25CC6" w:rsidRDefault="00E25CC6" w:rsidP="00A10FFE">
      <w:pPr>
        <w:pStyle w:val="Heading2"/>
        <w:rPr>
          <w:rFonts w:eastAsiaTheme="minorHAnsi"/>
        </w:rPr>
      </w:pPr>
      <w:r>
        <w:rPr>
          <w:rFonts w:eastAsiaTheme="minorHAnsi"/>
        </w:rPr>
        <w:t>Ministerial portfolios</w:t>
      </w:r>
    </w:p>
    <w:p w:rsidR="00E25CC6" w:rsidRDefault="00E25CC6" w:rsidP="00A10FFE">
      <w:pPr>
        <w:rPr>
          <w:rFonts w:eastAsiaTheme="minorHAnsi"/>
        </w:rPr>
      </w:pPr>
      <w:r w:rsidRPr="00DD0FB1">
        <w:rPr>
          <w:rFonts w:eastAsiaTheme="minorHAnsi"/>
        </w:rPr>
        <w:t>The Department supports the ministe</w:t>
      </w:r>
      <w:r>
        <w:rPr>
          <w:rFonts w:eastAsiaTheme="minorHAnsi"/>
        </w:rPr>
        <w:t>rial portfolios of the Attorney-</w:t>
      </w:r>
      <w:r w:rsidRPr="00DD0FB1">
        <w:rPr>
          <w:rFonts w:eastAsiaTheme="minorHAnsi"/>
        </w:rPr>
        <w:t>General, Racing, Emergency Services, Consumer Affairs, Gaming and Liquor Regulation, Police and Corrections.</w:t>
      </w:r>
    </w:p>
    <w:p w:rsidR="00E25CC6" w:rsidRDefault="00E25CC6" w:rsidP="00A10FFE">
      <w:pPr>
        <w:pStyle w:val="Heading2"/>
        <w:rPr>
          <w:rFonts w:eastAsiaTheme="minorHAnsi"/>
        </w:rPr>
      </w:pPr>
      <w:r>
        <w:rPr>
          <w:rFonts w:eastAsiaTheme="minorHAnsi"/>
        </w:rPr>
        <w:t>Departmental mission statement</w:t>
      </w:r>
    </w:p>
    <w:p w:rsidR="00E25CC6" w:rsidRDefault="00E25CC6" w:rsidP="00A10FFE">
      <w:pPr>
        <w:rPr>
          <w:rFonts w:eastAsiaTheme="minorHAnsi"/>
        </w:rPr>
      </w:pPr>
      <w:r w:rsidRPr="00DD0FB1">
        <w:rPr>
          <w:rFonts w:eastAsiaTheme="minorHAnsi"/>
        </w:rPr>
        <w:t xml:space="preserve">The Department of Justice </w:t>
      </w:r>
      <w:r>
        <w:rPr>
          <w:rFonts w:eastAsiaTheme="minorHAnsi"/>
        </w:rPr>
        <w:t>and</w:t>
      </w:r>
      <w:r w:rsidRPr="00DD0FB1">
        <w:rPr>
          <w:rFonts w:eastAsiaTheme="minorHAnsi"/>
        </w:rPr>
        <w:t xml:space="preserve"> Regulation provides policy and organisational management focus for the vision of a safe, just, innovative and thriving Victoria, where the rule of law is upheld and rights and responsibilities are respected.</w:t>
      </w:r>
    </w:p>
    <w:p w:rsidR="00E25CC6" w:rsidRDefault="00E25CC6" w:rsidP="00A10FFE">
      <w:pPr>
        <w:pStyle w:val="Heading2"/>
        <w:rPr>
          <w:rFonts w:eastAsiaTheme="minorHAnsi"/>
        </w:rPr>
      </w:pPr>
      <w:r>
        <w:rPr>
          <w:rFonts w:eastAsiaTheme="minorHAnsi"/>
        </w:rPr>
        <w:t>Departmental objectives, indicators and outputs</w:t>
      </w:r>
    </w:p>
    <w:p w:rsidR="00E25CC6" w:rsidRDefault="00E25CC6" w:rsidP="00A10FFE">
      <w:pPr>
        <w:rPr>
          <w:rFonts w:eastAsiaTheme="minorHAnsi"/>
        </w:rPr>
      </w:pPr>
      <w:r w:rsidRPr="00DD0FB1">
        <w:rPr>
          <w:rFonts w:eastAsiaTheme="minorHAnsi"/>
        </w:rPr>
        <w:t xml:space="preserve">The Department of Justice </w:t>
      </w:r>
      <w:r>
        <w:rPr>
          <w:rFonts w:eastAsiaTheme="minorHAnsi"/>
        </w:rPr>
        <w:t>and</w:t>
      </w:r>
      <w:r w:rsidRPr="00DD0FB1">
        <w:rPr>
          <w:rFonts w:eastAsiaTheme="minorHAnsi"/>
        </w:rPr>
        <w:t xml:space="preserve"> Regulation</w:t>
      </w:r>
      <w:r>
        <w:rPr>
          <w:rFonts w:eastAsiaTheme="minorHAnsi"/>
        </w:rPr>
        <w:t>’</w:t>
      </w:r>
      <w:r w:rsidRPr="00DD0FB1">
        <w:rPr>
          <w:rFonts w:eastAsiaTheme="minorHAnsi"/>
        </w:rPr>
        <w:t xml:space="preserve">s objectives, indicators, and </w:t>
      </w:r>
      <w:r>
        <w:rPr>
          <w:rFonts w:eastAsiaTheme="minorHAnsi"/>
        </w:rPr>
        <w:t>linked outputs are listed below:</w:t>
      </w:r>
    </w:p>
    <w:tbl>
      <w:tblPr>
        <w:tblW w:w="5000" w:type="pct"/>
        <w:tblBorders>
          <w:bottom w:val="single" w:sz="12" w:space="0" w:color="auto"/>
          <w:insideH w:val="single" w:sz="6" w:space="0" w:color="auto"/>
        </w:tblBorders>
        <w:tblCellMar>
          <w:left w:w="43" w:type="dxa"/>
          <w:right w:w="43" w:type="dxa"/>
        </w:tblCellMar>
        <w:tblLook w:val="04A0" w:firstRow="1" w:lastRow="0" w:firstColumn="1" w:lastColumn="0" w:noHBand="0" w:noVBand="1"/>
      </w:tblPr>
      <w:tblGrid>
        <w:gridCol w:w="2453"/>
        <w:gridCol w:w="2975"/>
        <w:gridCol w:w="2357"/>
      </w:tblGrid>
      <w:tr w:rsidR="00E25CC6" w:rsidRPr="00CB1182" w:rsidTr="00BB54D2">
        <w:trPr>
          <w:cantSplit/>
          <w:tblHeader/>
        </w:trPr>
        <w:tc>
          <w:tcPr>
            <w:tcW w:w="1575" w:type="pct"/>
            <w:shd w:val="clear" w:color="auto" w:fill="000000"/>
          </w:tcPr>
          <w:p w:rsidR="00E25CC6" w:rsidRPr="00CB1182" w:rsidRDefault="00E25CC6" w:rsidP="00DD0FB1">
            <w:pPr>
              <w:pStyle w:val="Tabletextheading"/>
              <w:jc w:val="left"/>
            </w:pPr>
            <w:r w:rsidRPr="00CB1182">
              <w:t>Departmental objectives</w:t>
            </w:r>
          </w:p>
        </w:tc>
        <w:tc>
          <w:tcPr>
            <w:tcW w:w="1911" w:type="pct"/>
            <w:shd w:val="clear" w:color="auto" w:fill="000000"/>
          </w:tcPr>
          <w:p w:rsidR="00E25CC6" w:rsidRPr="00CB1182" w:rsidRDefault="00E25CC6" w:rsidP="00DD0FB1">
            <w:pPr>
              <w:pStyle w:val="Tabletextheading"/>
              <w:jc w:val="left"/>
            </w:pPr>
            <w:r w:rsidRPr="00CB1182">
              <w:t>Indicators</w:t>
            </w:r>
          </w:p>
        </w:tc>
        <w:tc>
          <w:tcPr>
            <w:tcW w:w="1514" w:type="pct"/>
            <w:shd w:val="clear" w:color="auto" w:fill="000000" w:themeFill="text1"/>
          </w:tcPr>
          <w:p w:rsidR="00E25CC6" w:rsidRPr="00CB1182" w:rsidRDefault="00E25CC6" w:rsidP="00E34CBA">
            <w:pPr>
              <w:pStyle w:val="Tabletextheading"/>
              <w:jc w:val="left"/>
            </w:pPr>
            <w:r w:rsidRPr="00CB1182">
              <w:t>Output</w:t>
            </w:r>
            <w:r>
              <w:t>s</w:t>
            </w:r>
          </w:p>
        </w:tc>
      </w:tr>
      <w:tr w:rsidR="00E25CC6" w:rsidRPr="00CB1182" w:rsidTr="00BB54D2">
        <w:trPr>
          <w:cantSplit/>
        </w:trPr>
        <w:tc>
          <w:tcPr>
            <w:tcW w:w="1575" w:type="pct"/>
            <w:tcBorders>
              <w:bottom w:val="single" w:sz="6" w:space="0" w:color="auto"/>
            </w:tcBorders>
            <w:shd w:val="clear" w:color="auto" w:fill="auto"/>
          </w:tcPr>
          <w:p w:rsidR="00E25CC6" w:rsidRPr="00CB1182" w:rsidRDefault="00E25CC6" w:rsidP="00DD0FB1">
            <w:pPr>
              <w:pStyle w:val="Tabletextcentred"/>
              <w:jc w:val="left"/>
              <w:rPr>
                <w:highlight w:val="yellow"/>
              </w:rPr>
            </w:pPr>
            <w:r w:rsidRPr="00CB1182">
              <w:t>Ensuring community safety through policing, law enforcement and prevention activities</w:t>
            </w:r>
          </w:p>
        </w:tc>
        <w:tc>
          <w:tcPr>
            <w:tcW w:w="1911" w:type="pct"/>
            <w:tcBorders>
              <w:bottom w:val="single" w:sz="6" w:space="0" w:color="auto"/>
            </w:tcBorders>
            <w:shd w:val="clear" w:color="auto" w:fill="auto"/>
          </w:tcPr>
          <w:p w:rsidR="00E25CC6" w:rsidRPr="00CB1182" w:rsidRDefault="00E25CC6" w:rsidP="00DD0FB1">
            <w:pPr>
              <w:pStyle w:val="Tabletextcentred"/>
              <w:jc w:val="left"/>
            </w:pPr>
            <w:r w:rsidRPr="00CB1182">
              <w:t>Community safety during the day and at night</w:t>
            </w:r>
          </w:p>
          <w:p w:rsidR="00E25CC6" w:rsidRPr="00CB1182" w:rsidRDefault="00E25CC6" w:rsidP="00DD0FB1">
            <w:pPr>
              <w:pStyle w:val="Tabletextcentred"/>
              <w:jc w:val="left"/>
            </w:pPr>
            <w:r w:rsidRPr="00CB1182">
              <w:t>Crime statistics</w:t>
            </w:r>
          </w:p>
          <w:p w:rsidR="00E25CC6" w:rsidRPr="00CB1182" w:rsidRDefault="00E25CC6" w:rsidP="00DD0FB1">
            <w:pPr>
              <w:pStyle w:val="Tabletextcentred"/>
              <w:jc w:val="left"/>
            </w:pPr>
            <w:r w:rsidRPr="00CB1182">
              <w:t>Road fatalities and injuries</w:t>
            </w:r>
          </w:p>
        </w:tc>
        <w:tc>
          <w:tcPr>
            <w:tcW w:w="1514" w:type="pct"/>
            <w:tcBorders>
              <w:bottom w:val="single" w:sz="6" w:space="0" w:color="auto"/>
            </w:tcBorders>
            <w:shd w:val="clear" w:color="auto" w:fill="auto"/>
          </w:tcPr>
          <w:p w:rsidR="00E25CC6" w:rsidRPr="00CB1182" w:rsidRDefault="00E25CC6" w:rsidP="00DD0FB1">
            <w:pPr>
              <w:pStyle w:val="Tabletextcentred"/>
              <w:jc w:val="left"/>
            </w:pPr>
            <w:r w:rsidRPr="00CB1182">
              <w:t>Policing Services and Crime Prevention</w:t>
            </w:r>
          </w:p>
          <w:p w:rsidR="00E25CC6" w:rsidRPr="00CB1182" w:rsidRDefault="00E25CC6" w:rsidP="00DD0FB1">
            <w:pPr>
              <w:pStyle w:val="Tabletextcentred"/>
              <w:jc w:val="left"/>
            </w:pPr>
          </w:p>
        </w:tc>
      </w:tr>
      <w:tr w:rsidR="00E25CC6" w:rsidRPr="00CB1182" w:rsidTr="00E074E1">
        <w:trPr>
          <w:cantSplit/>
        </w:trPr>
        <w:tc>
          <w:tcPr>
            <w:tcW w:w="1575" w:type="pct"/>
            <w:tcBorders>
              <w:bottom w:val="single" w:sz="6" w:space="0" w:color="auto"/>
            </w:tcBorders>
            <w:shd w:val="clear" w:color="auto" w:fill="auto"/>
          </w:tcPr>
          <w:p w:rsidR="00E25CC6" w:rsidRPr="00CB1182" w:rsidRDefault="00E25CC6" w:rsidP="00DD0FB1">
            <w:pPr>
              <w:pStyle w:val="Tabletextcentred"/>
              <w:jc w:val="left"/>
            </w:pPr>
            <w:r w:rsidRPr="00CB1182">
              <w:t>Effective management of prisoners and offenders and provision of opportunities for rehabilitation and reparation</w:t>
            </w:r>
          </w:p>
        </w:tc>
        <w:tc>
          <w:tcPr>
            <w:tcW w:w="1911" w:type="pct"/>
            <w:tcBorders>
              <w:bottom w:val="single" w:sz="6" w:space="0" w:color="auto"/>
            </w:tcBorders>
            <w:shd w:val="clear" w:color="auto" w:fill="auto"/>
          </w:tcPr>
          <w:p w:rsidR="00E25CC6" w:rsidRPr="00CB1182" w:rsidRDefault="00E25CC6" w:rsidP="00DD0FB1">
            <w:pPr>
              <w:pStyle w:val="Tabletextcentred"/>
              <w:jc w:val="left"/>
            </w:pPr>
            <w:r w:rsidRPr="00CB1182">
              <w:t xml:space="preserve">Escapes from corrective facilities </w:t>
            </w:r>
          </w:p>
          <w:p w:rsidR="00E25CC6" w:rsidRPr="00CB1182" w:rsidRDefault="00E25CC6" w:rsidP="00DD0FB1">
            <w:pPr>
              <w:pStyle w:val="Tabletextcentred"/>
              <w:jc w:val="left"/>
            </w:pPr>
            <w:r w:rsidRPr="00CB1182">
              <w:t>Percentage of community corrections orders completed</w:t>
            </w:r>
          </w:p>
          <w:p w:rsidR="00E25CC6" w:rsidRPr="00CB1182" w:rsidRDefault="00E25CC6" w:rsidP="00DD0FB1">
            <w:pPr>
              <w:pStyle w:val="Tabletextcentred"/>
              <w:jc w:val="left"/>
            </w:pPr>
            <w:r w:rsidRPr="00CB1182">
              <w:t>Rate of prisoner return to prison within two years</w:t>
            </w:r>
          </w:p>
          <w:p w:rsidR="00E25CC6" w:rsidRPr="00CB1182" w:rsidRDefault="00E25CC6" w:rsidP="00DD0FB1">
            <w:pPr>
              <w:pStyle w:val="Tabletextcentred"/>
              <w:jc w:val="left"/>
            </w:pPr>
            <w:r w:rsidRPr="00CB1182">
              <w:t>Rate of offender return to corrective services within two years</w:t>
            </w:r>
          </w:p>
        </w:tc>
        <w:tc>
          <w:tcPr>
            <w:tcW w:w="1514" w:type="pct"/>
            <w:tcBorders>
              <w:bottom w:val="single" w:sz="6" w:space="0" w:color="auto"/>
            </w:tcBorders>
            <w:shd w:val="clear" w:color="auto" w:fill="auto"/>
          </w:tcPr>
          <w:p w:rsidR="00E25CC6" w:rsidRPr="00CB1182" w:rsidRDefault="00E25CC6" w:rsidP="00DD0FB1">
            <w:pPr>
              <w:pStyle w:val="Tabletextcentred"/>
              <w:jc w:val="left"/>
            </w:pPr>
            <w:r w:rsidRPr="00CB1182">
              <w:t>Prisoner Supervision and Support</w:t>
            </w:r>
          </w:p>
          <w:p w:rsidR="00E25CC6" w:rsidRPr="00CB1182" w:rsidRDefault="00E25CC6" w:rsidP="00DD0FB1">
            <w:pPr>
              <w:pStyle w:val="Tabletextcentred"/>
              <w:jc w:val="left"/>
            </w:pPr>
            <w:r w:rsidRPr="00CB1182">
              <w:t>Community Based Offender Supervision</w:t>
            </w:r>
          </w:p>
        </w:tc>
      </w:tr>
      <w:tr w:rsidR="00E25CC6" w:rsidRPr="00CB1182" w:rsidTr="00E074E1">
        <w:trPr>
          <w:cantSplit/>
        </w:trPr>
        <w:tc>
          <w:tcPr>
            <w:tcW w:w="1575" w:type="pct"/>
            <w:tcBorders>
              <w:top w:val="single" w:sz="6" w:space="0" w:color="auto"/>
              <w:bottom w:val="single" w:sz="6" w:space="0" w:color="auto"/>
            </w:tcBorders>
            <w:shd w:val="clear" w:color="auto" w:fill="auto"/>
          </w:tcPr>
          <w:p w:rsidR="00E25CC6" w:rsidRPr="00CB1182" w:rsidRDefault="00E25CC6" w:rsidP="00DD0FB1">
            <w:pPr>
              <w:pStyle w:val="Tabletextcentred"/>
              <w:jc w:val="left"/>
            </w:pPr>
            <w:r w:rsidRPr="00CB1182">
              <w:t xml:space="preserve">A fair and accessible Victorian justice system that supports a just society based on the rule of law </w:t>
            </w:r>
          </w:p>
        </w:tc>
        <w:tc>
          <w:tcPr>
            <w:tcW w:w="1911" w:type="pct"/>
            <w:tcBorders>
              <w:top w:val="single" w:sz="6" w:space="0" w:color="auto"/>
              <w:bottom w:val="single" w:sz="6" w:space="0" w:color="auto"/>
            </w:tcBorders>
            <w:shd w:val="clear" w:color="auto" w:fill="auto"/>
          </w:tcPr>
          <w:p w:rsidR="00E25CC6" w:rsidRPr="00CB1182" w:rsidRDefault="00E25CC6" w:rsidP="00DD0FB1">
            <w:pPr>
              <w:pStyle w:val="Tabletextcentred"/>
              <w:jc w:val="left"/>
            </w:pPr>
            <w:r w:rsidRPr="00CB1182">
              <w:t>Prosecutions completed and returning guilty outcomes (percentage of total case finalisations)</w:t>
            </w:r>
          </w:p>
          <w:p w:rsidR="00E25CC6" w:rsidRPr="00CB1182" w:rsidRDefault="00E25CC6" w:rsidP="00DD0FB1">
            <w:pPr>
              <w:pStyle w:val="Tabletextcentred"/>
              <w:jc w:val="left"/>
            </w:pPr>
            <w:r w:rsidRPr="00CB1182">
              <w:t>Legal advice and assistance provided</w:t>
            </w:r>
          </w:p>
          <w:p w:rsidR="00E25CC6" w:rsidRPr="00CB1182" w:rsidRDefault="00E25CC6" w:rsidP="00DD0FB1">
            <w:pPr>
              <w:pStyle w:val="Tabletextcentred"/>
              <w:jc w:val="left"/>
            </w:pPr>
            <w:r w:rsidRPr="00CB1182">
              <w:t>Infringement notices processed</w:t>
            </w:r>
          </w:p>
          <w:p w:rsidR="00E25CC6" w:rsidRPr="00CB1182" w:rsidRDefault="00E25CC6" w:rsidP="00DD0FB1">
            <w:pPr>
              <w:pStyle w:val="Tabletextcentred"/>
              <w:jc w:val="left"/>
            </w:pPr>
            <w:r w:rsidRPr="00CB1182">
              <w:t>Clinical forensic medical services provided</w:t>
            </w:r>
          </w:p>
          <w:p w:rsidR="00E25CC6" w:rsidRPr="00CB1182" w:rsidRDefault="00E25CC6" w:rsidP="00DD0FB1">
            <w:pPr>
              <w:pStyle w:val="Tabletextcentred"/>
              <w:jc w:val="left"/>
            </w:pPr>
            <w:r w:rsidRPr="00CB1182">
              <w:t>Law reform projects completed</w:t>
            </w:r>
          </w:p>
          <w:p w:rsidR="00E25CC6" w:rsidRPr="00CB1182" w:rsidRDefault="00E25CC6" w:rsidP="00DD0FB1">
            <w:pPr>
              <w:pStyle w:val="Tabletextcentred"/>
              <w:jc w:val="left"/>
            </w:pPr>
            <w:r w:rsidRPr="00CB1182">
              <w:t>Number of Sentencing Advisory Council publications</w:t>
            </w:r>
          </w:p>
          <w:p w:rsidR="00E25CC6" w:rsidRPr="00CB1182" w:rsidRDefault="00E25CC6" w:rsidP="00DD0FB1">
            <w:pPr>
              <w:pStyle w:val="Tabletextcentred"/>
              <w:jc w:val="left"/>
            </w:pPr>
            <w:r w:rsidRPr="00CB1182">
              <w:t>Services provided to victims of crime against the person</w:t>
            </w:r>
          </w:p>
          <w:p w:rsidR="00E25CC6" w:rsidRPr="00CB1182" w:rsidRDefault="00E25CC6" w:rsidP="00DD0FB1">
            <w:pPr>
              <w:pStyle w:val="Tabletextcentred"/>
              <w:jc w:val="left"/>
            </w:pPr>
            <w:r w:rsidRPr="00CB1182">
              <w:t>Working with Children Checks processed (</w:t>
            </w:r>
            <w:r>
              <w:t>negative notices issued within three</w:t>
            </w:r>
            <w:r w:rsidRPr="00CB1182">
              <w:t xml:space="preserve"> days of receiving decision)</w:t>
            </w:r>
          </w:p>
        </w:tc>
        <w:tc>
          <w:tcPr>
            <w:tcW w:w="1514" w:type="pct"/>
            <w:tcBorders>
              <w:top w:val="single" w:sz="6" w:space="0" w:color="auto"/>
              <w:bottom w:val="single" w:sz="6" w:space="0" w:color="auto"/>
            </w:tcBorders>
            <w:shd w:val="clear" w:color="auto" w:fill="auto"/>
          </w:tcPr>
          <w:p w:rsidR="00E25CC6" w:rsidRPr="00CB1182" w:rsidRDefault="00E25CC6" w:rsidP="00DD0FB1">
            <w:pPr>
              <w:pStyle w:val="Tabletextcentred"/>
              <w:jc w:val="left"/>
            </w:pPr>
            <w:r w:rsidRPr="00CB1182">
              <w:t>Public Prosecutions and Legal Assistance</w:t>
            </w:r>
          </w:p>
          <w:p w:rsidR="00E25CC6" w:rsidRPr="00CB1182" w:rsidRDefault="00E25CC6" w:rsidP="00DD0FB1">
            <w:pPr>
              <w:pStyle w:val="Tabletextcentred"/>
              <w:jc w:val="left"/>
            </w:pPr>
            <w:r w:rsidRPr="00CB1182">
              <w:t>Infringements and Warrants</w:t>
            </w:r>
          </w:p>
          <w:p w:rsidR="00E25CC6" w:rsidRPr="00CB1182" w:rsidRDefault="00E25CC6" w:rsidP="00DD0FB1">
            <w:pPr>
              <w:pStyle w:val="Tabletextcentred"/>
              <w:jc w:val="left"/>
            </w:pPr>
            <w:r w:rsidRPr="00CB1182">
              <w:t>Criminal Law Support and Reform</w:t>
            </w:r>
          </w:p>
          <w:p w:rsidR="00E25CC6" w:rsidRPr="00CB1182" w:rsidRDefault="00E25CC6" w:rsidP="00DD0FB1">
            <w:pPr>
              <w:pStyle w:val="Tabletextcentred"/>
              <w:jc w:val="left"/>
            </w:pPr>
            <w:r w:rsidRPr="00CB1182">
              <w:t>Victims and Community Support Services</w:t>
            </w:r>
          </w:p>
        </w:tc>
      </w:tr>
      <w:tr w:rsidR="00E25CC6" w:rsidRPr="00CB1182" w:rsidTr="00E074E1">
        <w:trPr>
          <w:cantSplit/>
        </w:trPr>
        <w:tc>
          <w:tcPr>
            <w:tcW w:w="1575" w:type="pct"/>
            <w:tcBorders>
              <w:top w:val="single" w:sz="6" w:space="0" w:color="auto"/>
            </w:tcBorders>
            <w:shd w:val="clear" w:color="auto" w:fill="auto"/>
          </w:tcPr>
          <w:p w:rsidR="00E25CC6" w:rsidRPr="00CB1182" w:rsidRDefault="00E25CC6" w:rsidP="00DD0FB1">
            <w:pPr>
              <w:pStyle w:val="Tabletextcentred"/>
              <w:jc w:val="left"/>
            </w:pPr>
            <w:r w:rsidRPr="00CB1182">
              <w:t xml:space="preserve">A just and supportive society with increased confidence and equality in the Victorian community </w:t>
            </w:r>
          </w:p>
        </w:tc>
        <w:tc>
          <w:tcPr>
            <w:tcW w:w="1911" w:type="pct"/>
            <w:tcBorders>
              <w:top w:val="single" w:sz="6" w:space="0" w:color="auto"/>
            </w:tcBorders>
            <w:shd w:val="clear" w:color="auto" w:fill="auto"/>
          </w:tcPr>
          <w:p w:rsidR="00E25CC6" w:rsidRPr="00CB1182" w:rsidRDefault="00E25CC6" w:rsidP="00DD0FB1">
            <w:pPr>
              <w:pStyle w:val="Tabletextcentred"/>
              <w:jc w:val="left"/>
            </w:pPr>
            <w:r w:rsidRPr="00CB1182">
              <w:t>Complaint files received and handled by the Victorian Equal Opportunity and Human Rights Commission (VEOHRC)</w:t>
            </w:r>
          </w:p>
          <w:p w:rsidR="00E25CC6" w:rsidRPr="00CB1182" w:rsidRDefault="00E25CC6" w:rsidP="00DD0FB1">
            <w:pPr>
              <w:pStyle w:val="Tabletextcentred"/>
              <w:jc w:val="left"/>
            </w:pPr>
            <w:r w:rsidRPr="00CB1182">
              <w:t>People assisted through Public Advocate advice and education activities</w:t>
            </w:r>
          </w:p>
          <w:p w:rsidR="00E25CC6" w:rsidRPr="00CB1182" w:rsidRDefault="00E25CC6" w:rsidP="00DD0FB1">
            <w:pPr>
              <w:pStyle w:val="Tabletextcentred"/>
              <w:jc w:val="left"/>
            </w:pPr>
            <w:r w:rsidRPr="00CB1182">
              <w:t>Births, deaths and marriages registration transaction accuracy rate</w:t>
            </w:r>
          </w:p>
          <w:p w:rsidR="00E25CC6" w:rsidRPr="00CB1182" w:rsidRDefault="00E25CC6" w:rsidP="00DD0FB1">
            <w:pPr>
              <w:pStyle w:val="Tabletextcentred"/>
              <w:jc w:val="left"/>
            </w:pPr>
            <w:r w:rsidRPr="00CB1182">
              <w:t xml:space="preserve">Dispute resolution services provided in the Dispute Settlement Centre of Victoria (DSCV) </w:t>
            </w:r>
          </w:p>
        </w:tc>
        <w:tc>
          <w:tcPr>
            <w:tcW w:w="1514" w:type="pct"/>
            <w:tcBorders>
              <w:top w:val="single" w:sz="6" w:space="0" w:color="auto"/>
            </w:tcBorders>
            <w:shd w:val="clear" w:color="auto" w:fill="auto"/>
          </w:tcPr>
          <w:p w:rsidR="00E25CC6" w:rsidRPr="00CB1182" w:rsidRDefault="00E25CC6" w:rsidP="00DD0FB1">
            <w:pPr>
              <w:pStyle w:val="Tabletextcentred"/>
              <w:jc w:val="left"/>
            </w:pPr>
            <w:r w:rsidRPr="00CB1182">
              <w:t>Protection of</w:t>
            </w:r>
            <w:r>
              <w:t xml:space="preserve"> </w:t>
            </w:r>
            <w:r w:rsidRPr="00CB1182">
              <w:t>Personal Identity and Individual / Community rights</w:t>
            </w:r>
          </w:p>
          <w:p w:rsidR="00E25CC6" w:rsidRPr="00CB1182" w:rsidRDefault="00E25CC6" w:rsidP="00DD0FB1">
            <w:pPr>
              <w:pStyle w:val="Tabletextcentred"/>
              <w:jc w:val="left"/>
            </w:pPr>
            <w:r w:rsidRPr="00CB1182">
              <w:t>Dispute Resolution and Civil Justice Support Services</w:t>
            </w:r>
          </w:p>
        </w:tc>
      </w:tr>
      <w:tr w:rsidR="00E25CC6" w:rsidRPr="00CB1182" w:rsidTr="00BB54D2">
        <w:trPr>
          <w:cantSplit/>
        </w:trPr>
        <w:tc>
          <w:tcPr>
            <w:tcW w:w="1575" w:type="pct"/>
            <w:shd w:val="clear" w:color="auto" w:fill="auto"/>
          </w:tcPr>
          <w:p w:rsidR="00E25CC6" w:rsidRPr="00CB1182" w:rsidRDefault="00E25CC6" w:rsidP="00DD0FB1">
            <w:pPr>
              <w:pStyle w:val="Tabletextcentred"/>
              <w:jc w:val="left"/>
            </w:pPr>
            <w:r w:rsidRPr="00CB1182">
              <w:t>Reduce the impact of, and consequences from, natural disasters and other emergencies on people, infrastructure, the economy and the environment</w:t>
            </w:r>
          </w:p>
        </w:tc>
        <w:tc>
          <w:tcPr>
            <w:tcW w:w="1911" w:type="pct"/>
            <w:shd w:val="clear" w:color="auto" w:fill="auto"/>
          </w:tcPr>
          <w:p w:rsidR="00E25CC6" w:rsidRPr="00CB1182" w:rsidRDefault="00E25CC6" w:rsidP="00DD0FB1">
            <w:pPr>
              <w:pStyle w:val="Tabletextcentred"/>
              <w:jc w:val="left"/>
            </w:pPr>
            <w:r w:rsidRPr="00CB1182">
              <w:t>Property loss from structure fire (current year dollars per person)</w:t>
            </w:r>
          </w:p>
          <w:p w:rsidR="00E25CC6" w:rsidRPr="00CB1182" w:rsidRDefault="00E25CC6" w:rsidP="00DD0FB1">
            <w:pPr>
              <w:pStyle w:val="Tabletextcentred"/>
              <w:jc w:val="left"/>
            </w:pPr>
            <w:r w:rsidRPr="00CB1182">
              <w:t>Rate of deaths from emergency events (per million people)</w:t>
            </w:r>
          </w:p>
        </w:tc>
        <w:tc>
          <w:tcPr>
            <w:tcW w:w="1514" w:type="pct"/>
            <w:shd w:val="clear" w:color="auto" w:fill="auto"/>
          </w:tcPr>
          <w:p w:rsidR="00E25CC6" w:rsidRPr="00CB1182" w:rsidRDefault="00E25CC6" w:rsidP="00DD0FB1">
            <w:pPr>
              <w:pStyle w:val="Tabletextcentred"/>
              <w:jc w:val="left"/>
            </w:pPr>
            <w:r w:rsidRPr="00CB1182">
              <w:t>Emergency Management Capability</w:t>
            </w:r>
          </w:p>
        </w:tc>
      </w:tr>
      <w:tr w:rsidR="00E25CC6" w:rsidRPr="00CB1182" w:rsidTr="00BB54D2">
        <w:trPr>
          <w:cantSplit/>
        </w:trPr>
        <w:tc>
          <w:tcPr>
            <w:tcW w:w="1575" w:type="pct"/>
            <w:shd w:val="clear" w:color="auto" w:fill="auto"/>
          </w:tcPr>
          <w:p w:rsidR="00E25CC6" w:rsidRPr="00CB1182" w:rsidRDefault="00E25CC6" w:rsidP="00DD0FB1">
            <w:pPr>
              <w:pStyle w:val="Tabletextcentred"/>
              <w:jc w:val="left"/>
            </w:pPr>
            <w:r w:rsidRPr="00CB1182">
              <w:t>A fair market place for Victorian consumers and businesses with responsible and sustainable liquor, gambling and racing sectors</w:t>
            </w:r>
          </w:p>
        </w:tc>
        <w:tc>
          <w:tcPr>
            <w:tcW w:w="1911" w:type="pct"/>
            <w:shd w:val="clear" w:color="auto" w:fill="auto"/>
          </w:tcPr>
          <w:p w:rsidR="00E25CC6" w:rsidRPr="00CB1182" w:rsidRDefault="00E25CC6" w:rsidP="00DD0FB1">
            <w:pPr>
              <w:pStyle w:val="Tabletextcentred"/>
              <w:jc w:val="left"/>
              <w:rPr>
                <w:rFonts w:cs="Calibri"/>
                <w:sz w:val="20"/>
              </w:rPr>
            </w:pPr>
            <w:r w:rsidRPr="00CB1182">
              <w:rPr>
                <w:rFonts w:cs="Calibri"/>
                <w:sz w:val="20"/>
              </w:rPr>
              <w:t>Percentage of licensed venues with a rating that is greater than three stars</w:t>
            </w:r>
          </w:p>
          <w:p w:rsidR="00E25CC6" w:rsidRPr="00CB1182" w:rsidRDefault="00E25CC6" w:rsidP="00DD0FB1">
            <w:pPr>
              <w:pStyle w:val="Tabletextcentred"/>
              <w:jc w:val="left"/>
              <w:rPr>
                <w:rFonts w:cs="Calibri"/>
                <w:sz w:val="20"/>
              </w:rPr>
            </w:pPr>
            <w:r w:rsidRPr="00CB1182">
              <w:rPr>
                <w:rFonts w:cs="Calibri"/>
                <w:sz w:val="20"/>
              </w:rPr>
              <w:t>Responsive Gamblers Help services</w:t>
            </w:r>
          </w:p>
          <w:p w:rsidR="00E25CC6" w:rsidRPr="00CB1182" w:rsidRDefault="00E25CC6" w:rsidP="00DD0FB1">
            <w:pPr>
              <w:pStyle w:val="Tabletextcentred"/>
              <w:jc w:val="left"/>
              <w:rPr>
                <w:rFonts w:cs="Calibri"/>
                <w:sz w:val="20"/>
              </w:rPr>
            </w:pPr>
            <w:r w:rsidRPr="00CB1182">
              <w:rPr>
                <w:rFonts w:cs="Calibri"/>
                <w:sz w:val="20"/>
              </w:rPr>
              <w:t>Wagering turnover on Victorian racing as a proportion of the national market</w:t>
            </w:r>
          </w:p>
          <w:p w:rsidR="00E25CC6" w:rsidRPr="00CB1182" w:rsidRDefault="00E25CC6" w:rsidP="00DD0FB1">
            <w:pPr>
              <w:pStyle w:val="Tabletextcentred"/>
              <w:jc w:val="left"/>
              <w:rPr>
                <w:szCs w:val="20"/>
              </w:rPr>
            </w:pPr>
            <w:r w:rsidRPr="00CB1182">
              <w:rPr>
                <w:szCs w:val="20"/>
              </w:rPr>
              <w:t>Increased access by consumers, tenants and businesses to digital information</w:t>
            </w:r>
          </w:p>
        </w:tc>
        <w:tc>
          <w:tcPr>
            <w:tcW w:w="1514" w:type="pct"/>
            <w:shd w:val="clear" w:color="auto" w:fill="auto"/>
          </w:tcPr>
          <w:p w:rsidR="00E25CC6" w:rsidRPr="00CB1182" w:rsidRDefault="00E25CC6" w:rsidP="00DD0FB1">
            <w:pPr>
              <w:pStyle w:val="Tabletextcentred"/>
              <w:jc w:val="left"/>
            </w:pPr>
            <w:r w:rsidRPr="00CB1182">
              <w:t xml:space="preserve">Gambling, Liquor and Racing </w:t>
            </w:r>
          </w:p>
          <w:p w:rsidR="00E25CC6" w:rsidRPr="00CB1182" w:rsidRDefault="00E25CC6" w:rsidP="00DD0FB1">
            <w:pPr>
              <w:pStyle w:val="Tabletextcentred"/>
              <w:jc w:val="left"/>
            </w:pPr>
            <w:r w:rsidRPr="00CB1182">
              <w:t>Regulation of the Victorian Consumer Marketplace</w:t>
            </w:r>
          </w:p>
        </w:tc>
      </w:tr>
    </w:tbl>
    <w:p w:rsidR="00E25CC6" w:rsidRDefault="00E25CC6" w:rsidP="004D6F15">
      <w:pPr>
        <w:pStyle w:val="Source"/>
        <w:rPr>
          <w:rFonts w:eastAsiaTheme="minorHAnsi"/>
        </w:rPr>
      </w:pPr>
      <w:r>
        <w:rPr>
          <w:rFonts w:eastAsiaTheme="minorHAnsi"/>
        </w:rPr>
        <w:t>Source: Department of Justice and Regulation</w:t>
      </w:r>
    </w:p>
    <w:p w:rsidR="00E25CC6" w:rsidRDefault="00E25CC6" w:rsidP="004D6F15">
      <w:pPr>
        <w:pStyle w:val="Notes"/>
        <w:rPr>
          <w:rFonts w:eastAsiaTheme="minorHAnsi"/>
        </w:rPr>
      </w:pPr>
      <w:r w:rsidRPr="004D6F15">
        <w:rPr>
          <w:rFonts w:eastAsiaTheme="minorHAnsi"/>
        </w:rPr>
        <w:t>Note:</w:t>
      </w:r>
      <w:r>
        <w:rPr>
          <w:rFonts w:eastAsiaTheme="minorHAnsi"/>
        </w:rPr>
        <w:t xml:space="preserve"> </w:t>
      </w:r>
      <w:r>
        <w:rPr>
          <w:rFonts w:eastAsiaTheme="minorHAnsi"/>
        </w:rPr>
        <w:tab/>
      </w:r>
      <w:r w:rsidRPr="004D6F15">
        <w:rPr>
          <w:rFonts w:eastAsiaTheme="minorHAnsi"/>
        </w:rPr>
        <w:t xml:space="preserve">The objectives and objective indicators for the Department of Justice </w:t>
      </w:r>
      <w:r>
        <w:rPr>
          <w:rFonts w:eastAsiaTheme="minorHAnsi"/>
        </w:rPr>
        <w:t>and</w:t>
      </w:r>
      <w:r w:rsidRPr="004D6F15">
        <w:rPr>
          <w:rFonts w:eastAsiaTheme="minorHAnsi"/>
        </w:rPr>
        <w:t xml:space="preserve"> Regulation have been reviewed and updated. </w:t>
      </w: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A10FFE">
      <w:pPr>
        <w:pStyle w:val="Heading2"/>
        <w:rPr>
          <w:rFonts w:eastAsiaTheme="minorHAnsi"/>
        </w:rPr>
      </w:pPr>
      <w:r>
        <w:rPr>
          <w:rFonts w:eastAsiaTheme="minorHAnsi"/>
        </w:rPr>
        <w:t>Changes to the output structure</w:t>
      </w:r>
    </w:p>
    <w:p w:rsidR="00E25CC6" w:rsidRDefault="00E25CC6" w:rsidP="004D6F15">
      <w:pPr>
        <w:rPr>
          <w:rFonts w:eastAsiaTheme="minorHAnsi"/>
        </w:rPr>
      </w:pPr>
      <w:r w:rsidRPr="004D6F15">
        <w:rPr>
          <w:rFonts w:eastAsiaTheme="minorHAnsi"/>
        </w:rPr>
        <w:t>The Department has made changes to its output structure for 2016</w:t>
      </w:r>
      <w:r>
        <w:rPr>
          <w:rFonts w:eastAsiaTheme="minorHAnsi"/>
        </w:rPr>
        <w:noBreakHyphen/>
      </w:r>
      <w:r w:rsidRPr="004D6F15">
        <w:rPr>
          <w:rFonts w:eastAsiaTheme="minorHAnsi"/>
        </w:rPr>
        <w:t>17 as shown in the table below:</w:t>
      </w:r>
    </w:p>
    <w:tbl>
      <w:tblPr>
        <w:tblW w:w="5000" w:type="pct"/>
        <w:tblBorders>
          <w:bottom w:val="single" w:sz="12" w:space="0" w:color="auto"/>
        </w:tblBorders>
        <w:tblCellMar>
          <w:left w:w="43" w:type="dxa"/>
          <w:right w:w="43" w:type="dxa"/>
        </w:tblCellMar>
        <w:tblLook w:val="04A0" w:firstRow="1" w:lastRow="0" w:firstColumn="1" w:lastColumn="0" w:noHBand="0" w:noVBand="1"/>
      </w:tblPr>
      <w:tblGrid>
        <w:gridCol w:w="2593"/>
        <w:gridCol w:w="2596"/>
        <w:gridCol w:w="2596"/>
      </w:tblGrid>
      <w:tr w:rsidR="00E25CC6" w:rsidRPr="00CB1182" w:rsidTr="004D6F15">
        <w:trPr>
          <w:cantSplit/>
          <w:tblHeader/>
        </w:trPr>
        <w:tc>
          <w:tcPr>
            <w:tcW w:w="1666" w:type="pct"/>
            <w:shd w:val="clear" w:color="auto" w:fill="000000"/>
          </w:tcPr>
          <w:p w:rsidR="00E25CC6" w:rsidRPr="00CB1182" w:rsidRDefault="00E25CC6" w:rsidP="004D6F15">
            <w:pPr>
              <w:pStyle w:val="Tabletextheading"/>
              <w:jc w:val="left"/>
            </w:pPr>
            <w:r w:rsidRPr="00CB1182">
              <w:t>2015</w:t>
            </w:r>
            <w:r>
              <w:noBreakHyphen/>
            </w:r>
            <w:r w:rsidRPr="00CB1182">
              <w:t>16 outputs</w:t>
            </w:r>
          </w:p>
        </w:tc>
        <w:tc>
          <w:tcPr>
            <w:tcW w:w="1667" w:type="pct"/>
            <w:shd w:val="clear" w:color="auto" w:fill="000000"/>
          </w:tcPr>
          <w:p w:rsidR="00E25CC6" w:rsidRPr="00CB1182" w:rsidRDefault="00E25CC6" w:rsidP="004D6F15">
            <w:pPr>
              <w:pStyle w:val="Tabletextheading"/>
              <w:jc w:val="left"/>
            </w:pPr>
            <w:r w:rsidRPr="00CB1182">
              <w:t>Reason</w:t>
            </w:r>
          </w:p>
        </w:tc>
        <w:tc>
          <w:tcPr>
            <w:tcW w:w="1667" w:type="pct"/>
            <w:shd w:val="clear" w:color="auto" w:fill="000000"/>
          </w:tcPr>
          <w:p w:rsidR="00E25CC6" w:rsidRPr="00CB1182" w:rsidRDefault="00E25CC6" w:rsidP="004D6F15">
            <w:pPr>
              <w:pStyle w:val="Tabletextheading"/>
              <w:jc w:val="left"/>
            </w:pPr>
            <w:r w:rsidRPr="00CB1182">
              <w:t>2016</w:t>
            </w:r>
            <w:r>
              <w:noBreakHyphen/>
            </w:r>
            <w:r w:rsidRPr="00CB1182">
              <w:t>17 outputs</w:t>
            </w:r>
          </w:p>
        </w:tc>
      </w:tr>
      <w:tr w:rsidR="00E25CC6" w:rsidRPr="00CB1182" w:rsidTr="004D6F15">
        <w:trPr>
          <w:cantSplit/>
        </w:trPr>
        <w:tc>
          <w:tcPr>
            <w:tcW w:w="1666" w:type="pct"/>
            <w:tcBorders>
              <w:bottom w:val="single" w:sz="6" w:space="0" w:color="auto"/>
            </w:tcBorders>
            <w:shd w:val="clear" w:color="auto" w:fill="auto"/>
          </w:tcPr>
          <w:p w:rsidR="00E25CC6" w:rsidRPr="00CB1182" w:rsidRDefault="00E25CC6" w:rsidP="004D6F15">
            <w:pPr>
              <w:pStyle w:val="Tabletextcentred"/>
              <w:jc w:val="left"/>
            </w:pPr>
            <w:r w:rsidRPr="00CB1182">
              <w:t>Policing Services</w:t>
            </w:r>
          </w:p>
        </w:tc>
        <w:tc>
          <w:tcPr>
            <w:tcW w:w="1667" w:type="pct"/>
            <w:tcBorders>
              <w:bottom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This output has been renamed to reflect the inclusion of communi</w:t>
            </w:r>
            <w:r>
              <w:rPr>
                <w:szCs w:val="20"/>
              </w:rPr>
              <w:t>ty crime prevention initiatives</w:t>
            </w:r>
          </w:p>
        </w:tc>
        <w:tc>
          <w:tcPr>
            <w:tcW w:w="1667" w:type="pct"/>
            <w:tcBorders>
              <w:bottom w:val="single" w:sz="6" w:space="0" w:color="auto"/>
            </w:tcBorders>
            <w:shd w:val="clear" w:color="auto" w:fill="auto"/>
          </w:tcPr>
          <w:p w:rsidR="00E25CC6" w:rsidRPr="00CB1182" w:rsidRDefault="00E25CC6" w:rsidP="004D6F15">
            <w:pPr>
              <w:pStyle w:val="Tabletextcentred"/>
              <w:jc w:val="left"/>
            </w:pPr>
            <w:r w:rsidRPr="00CB1182">
              <w:t>Policing Services and Crime Prevention</w:t>
            </w:r>
          </w:p>
        </w:tc>
      </w:tr>
      <w:tr w:rsidR="00E25CC6" w:rsidRPr="00CB1182" w:rsidTr="008370E1">
        <w:trPr>
          <w:cantSplit/>
        </w:trPr>
        <w:tc>
          <w:tcPr>
            <w:tcW w:w="1666"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Enhancing Community Safety</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This output has been discontinued and consolidated into a new output to better re</w:t>
            </w:r>
            <w:r>
              <w:rPr>
                <w:szCs w:val="20"/>
              </w:rPr>
              <w:t>flect the provision of services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rPr>
                <w:szCs w:val="20"/>
              </w:rPr>
              <w:t>Victims and Community Support Services</w:t>
            </w:r>
          </w:p>
        </w:tc>
      </w:tr>
      <w:tr w:rsidR="00E25CC6" w:rsidRPr="00CB1182" w:rsidTr="008370E1">
        <w:trPr>
          <w:cantSplit/>
        </w:trPr>
        <w:tc>
          <w:tcPr>
            <w:tcW w:w="1666"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Infringements and Orders Management</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This output has been renamed to better re</w:t>
            </w:r>
            <w:r>
              <w:rPr>
                <w:szCs w:val="20"/>
              </w:rPr>
              <w:t>flect the provision of services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rPr>
                <w:szCs w:val="20"/>
              </w:rPr>
              <w:t>Infringements and Warrants</w:t>
            </w:r>
          </w:p>
        </w:tc>
      </w:tr>
      <w:tr w:rsidR="00E25CC6" w:rsidRPr="00CB1182" w:rsidTr="008370E1">
        <w:trPr>
          <w:cantSplit/>
        </w:trPr>
        <w:tc>
          <w:tcPr>
            <w:tcW w:w="1666"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Access to Justice and Support Services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This output</w:t>
            </w:r>
            <w:r>
              <w:rPr>
                <w:szCs w:val="20"/>
              </w:rPr>
              <w:t xml:space="preserve"> </w:t>
            </w:r>
            <w:r w:rsidRPr="00CB1182">
              <w:rPr>
                <w:szCs w:val="20"/>
              </w:rPr>
              <w:t>has been discontinued and disaggregated into new outputs to better re</w:t>
            </w:r>
            <w:r>
              <w:rPr>
                <w:szCs w:val="20"/>
              </w:rPr>
              <w:t>flect the provision of services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Public Prosecutions and Legal Assistance</w:t>
            </w:r>
          </w:p>
          <w:p w:rsidR="00E25CC6" w:rsidRPr="00CB1182" w:rsidRDefault="00E25CC6" w:rsidP="004D6F15">
            <w:pPr>
              <w:pStyle w:val="Tabletextcentred"/>
              <w:jc w:val="left"/>
              <w:rPr>
                <w:szCs w:val="20"/>
              </w:rPr>
            </w:pPr>
            <w:r w:rsidRPr="00CB1182">
              <w:rPr>
                <w:szCs w:val="20"/>
              </w:rPr>
              <w:t>Victims and Community Support Services</w:t>
            </w:r>
          </w:p>
          <w:p w:rsidR="00E25CC6" w:rsidRPr="00CB1182" w:rsidRDefault="00E25CC6" w:rsidP="004D6F15">
            <w:pPr>
              <w:pStyle w:val="Tabletextcentred"/>
              <w:jc w:val="left"/>
              <w:rPr>
                <w:szCs w:val="20"/>
              </w:rPr>
            </w:pPr>
            <w:r w:rsidRPr="00CB1182">
              <w:rPr>
                <w:szCs w:val="20"/>
              </w:rPr>
              <w:t>Criminal Law Support and Reform</w:t>
            </w:r>
          </w:p>
          <w:p w:rsidR="00E25CC6" w:rsidRPr="00CB1182" w:rsidRDefault="00E25CC6" w:rsidP="004D6F15">
            <w:pPr>
              <w:pStyle w:val="Tabletextcentred"/>
              <w:jc w:val="left"/>
              <w:rPr>
                <w:szCs w:val="20"/>
              </w:rPr>
            </w:pPr>
            <w:r w:rsidRPr="00CB1182">
              <w:rPr>
                <w:szCs w:val="20"/>
              </w:rPr>
              <w:t>Protection of Personal Identity and Individual / Community Rights</w:t>
            </w:r>
          </w:p>
          <w:p w:rsidR="00E25CC6" w:rsidRPr="00CB1182" w:rsidRDefault="00E25CC6" w:rsidP="004D6F15">
            <w:pPr>
              <w:pStyle w:val="Tabletextcentred"/>
              <w:jc w:val="left"/>
            </w:pPr>
            <w:r w:rsidRPr="00CB1182">
              <w:rPr>
                <w:szCs w:val="20"/>
              </w:rPr>
              <w:t>Dispute Resolution and Civil Justice Support Services</w:t>
            </w:r>
          </w:p>
        </w:tc>
      </w:tr>
      <w:tr w:rsidR="00E25CC6" w:rsidRPr="00CB1182" w:rsidTr="004D6F15">
        <w:trPr>
          <w:cantSplit/>
        </w:trPr>
        <w:tc>
          <w:tcPr>
            <w:tcW w:w="1666"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Public Prosecutions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rPr>
                <w:szCs w:val="20"/>
              </w:rPr>
              <w:t>This output has been discontinued and consolidated into a new output to better re</w:t>
            </w:r>
            <w:r>
              <w:rPr>
                <w:szCs w:val="20"/>
              </w:rPr>
              <w:t>flect the provision of services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Public Prosecutions and Legal Assistance</w:t>
            </w:r>
          </w:p>
        </w:tc>
      </w:tr>
      <w:tr w:rsidR="00E25CC6" w:rsidRPr="00CB1182" w:rsidTr="004D6F15">
        <w:trPr>
          <w:cantSplit/>
        </w:trPr>
        <w:tc>
          <w:tcPr>
            <w:tcW w:w="1666"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Protecting Community Rights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This output has been discontinued and consolidated into a new output to better re</w:t>
            </w:r>
            <w:r>
              <w:rPr>
                <w:szCs w:val="20"/>
              </w:rPr>
              <w:t>flect the provision of services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Protection of Personal Identity and Individual / Community Rights</w:t>
            </w:r>
          </w:p>
        </w:tc>
      </w:tr>
      <w:tr w:rsidR="00E25CC6" w:rsidRPr="00CB1182" w:rsidTr="004D6F15">
        <w:trPr>
          <w:cantSplit/>
        </w:trPr>
        <w:tc>
          <w:tcPr>
            <w:tcW w:w="1666"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t>Gambling and Liquor Regulation and Racing Industry Development</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 xml:space="preserve">This output has been renamed to better reflect </w:t>
            </w:r>
            <w:r>
              <w:rPr>
                <w:szCs w:val="20"/>
              </w:rPr>
              <w:t>the provision of services</w:t>
            </w:r>
          </w:p>
        </w:tc>
        <w:tc>
          <w:tcPr>
            <w:tcW w:w="1667" w:type="pct"/>
            <w:tcBorders>
              <w:top w:val="single" w:sz="6" w:space="0" w:color="auto"/>
              <w:bottom w:val="single" w:sz="6" w:space="0" w:color="auto"/>
            </w:tcBorders>
            <w:shd w:val="clear" w:color="auto" w:fill="auto"/>
          </w:tcPr>
          <w:p w:rsidR="00E25CC6" w:rsidRPr="00CB1182" w:rsidRDefault="00E25CC6" w:rsidP="004D6F15">
            <w:pPr>
              <w:pStyle w:val="Tabletextcentred"/>
              <w:jc w:val="left"/>
            </w:pPr>
            <w:r w:rsidRPr="00CB1182">
              <w:rPr>
                <w:szCs w:val="20"/>
              </w:rPr>
              <w:t xml:space="preserve">Gambling, Liquor and Racing </w:t>
            </w:r>
          </w:p>
        </w:tc>
      </w:tr>
      <w:tr w:rsidR="00E25CC6" w:rsidRPr="00CB1182" w:rsidTr="004D6F15">
        <w:trPr>
          <w:cantSplit/>
        </w:trPr>
        <w:tc>
          <w:tcPr>
            <w:tcW w:w="1666" w:type="pct"/>
            <w:tcBorders>
              <w:top w:val="single" w:sz="6" w:space="0" w:color="auto"/>
            </w:tcBorders>
            <w:shd w:val="clear" w:color="auto" w:fill="auto"/>
          </w:tcPr>
          <w:p w:rsidR="00E25CC6" w:rsidRPr="00CB1182" w:rsidRDefault="00E25CC6" w:rsidP="004D6F15">
            <w:pPr>
              <w:pStyle w:val="Tabletextcentred"/>
              <w:jc w:val="left"/>
            </w:pPr>
            <w:r w:rsidRPr="00CB1182">
              <w:t>Promoting and Protecting Consumer Interests</w:t>
            </w:r>
          </w:p>
        </w:tc>
        <w:tc>
          <w:tcPr>
            <w:tcW w:w="1667" w:type="pct"/>
            <w:tcBorders>
              <w:top w:val="single" w:sz="6" w:space="0" w:color="auto"/>
            </w:tcBorders>
            <w:shd w:val="clear" w:color="auto" w:fill="auto"/>
          </w:tcPr>
          <w:p w:rsidR="00E25CC6" w:rsidRPr="00CB1182" w:rsidRDefault="00E25CC6" w:rsidP="004D6F15">
            <w:pPr>
              <w:pStyle w:val="Tabletextcentred"/>
              <w:jc w:val="left"/>
              <w:rPr>
                <w:szCs w:val="20"/>
              </w:rPr>
            </w:pPr>
            <w:r w:rsidRPr="00CB1182">
              <w:rPr>
                <w:szCs w:val="20"/>
              </w:rPr>
              <w:t xml:space="preserve">This output has been renamed to better reflect </w:t>
            </w:r>
            <w:r>
              <w:rPr>
                <w:szCs w:val="20"/>
              </w:rPr>
              <w:t>the provision of services</w:t>
            </w:r>
          </w:p>
        </w:tc>
        <w:tc>
          <w:tcPr>
            <w:tcW w:w="1667" w:type="pct"/>
            <w:tcBorders>
              <w:top w:val="single" w:sz="6" w:space="0" w:color="auto"/>
            </w:tcBorders>
            <w:shd w:val="clear" w:color="auto" w:fill="auto"/>
          </w:tcPr>
          <w:p w:rsidR="00E25CC6" w:rsidRPr="00CB1182" w:rsidRDefault="00E25CC6" w:rsidP="004D6F15">
            <w:pPr>
              <w:pStyle w:val="Tabletextcentred"/>
              <w:jc w:val="left"/>
            </w:pPr>
            <w:r w:rsidRPr="00CB1182">
              <w:t>Regulation of the Victorian Consumer Marketplace</w:t>
            </w:r>
          </w:p>
        </w:tc>
      </w:tr>
    </w:tbl>
    <w:p w:rsidR="00E25CC6" w:rsidRDefault="00E25CC6" w:rsidP="00590EF9">
      <w:pPr>
        <w:pStyle w:val="Source"/>
        <w:rPr>
          <w:rFonts w:eastAsiaTheme="minorHAnsi"/>
        </w:rPr>
      </w:pPr>
      <w:r>
        <w:rPr>
          <w:rFonts w:eastAsiaTheme="minorHAnsi"/>
        </w:rPr>
        <w:t>Source: Department of Justice and Regulation</w:t>
      </w:r>
    </w:p>
    <w:p w:rsidR="00E25CC6" w:rsidRDefault="00E25CC6">
      <w:pPr>
        <w:spacing w:after="0"/>
        <w:rPr>
          <w:rFonts w:eastAsiaTheme="minorHAnsi"/>
        </w:rPr>
      </w:pPr>
      <w:r>
        <w:rPr>
          <w:rFonts w:eastAsiaTheme="minorHAnsi"/>
        </w:rPr>
        <w:br w:type="page"/>
      </w:r>
    </w:p>
    <w:p w:rsidR="00E25CC6" w:rsidRDefault="00E25CC6" w:rsidP="00A10FFE">
      <w:pPr>
        <w:rPr>
          <w:rFonts w:eastAsiaTheme="minorHAnsi"/>
        </w:rPr>
      </w:pPr>
      <w:r w:rsidRPr="00590EF9">
        <w:rPr>
          <w:rFonts w:eastAsiaTheme="minorHAnsi"/>
        </w:rPr>
        <w:t>The following table summarises the Department</w:t>
      </w:r>
      <w:r>
        <w:rPr>
          <w:rFonts w:eastAsiaTheme="minorHAnsi"/>
        </w:rPr>
        <w:t>’</w:t>
      </w:r>
      <w:r w:rsidRPr="00590EF9">
        <w:rPr>
          <w:rFonts w:eastAsiaTheme="minorHAnsi"/>
        </w:rPr>
        <w:t>s total output cost.</w:t>
      </w:r>
    </w:p>
    <w:p w:rsidR="00E25CC6" w:rsidRDefault="00E25CC6" w:rsidP="00A10FFE">
      <w:pPr>
        <w:pStyle w:val="Tableheading"/>
        <w:rPr>
          <w:rFonts w:eastAsiaTheme="minorHAnsi"/>
        </w:rPr>
      </w:pPr>
      <w:r>
        <w:rPr>
          <w:rFonts w:eastAsiaTheme="minorHAnsi"/>
        </w:rPr>
        <w:t>Table 2.14:</w:t>
      </w:r>
      <w:r>
        <w:rPr>
          <w:rFonts w:eastAsiaTheme="minorHAnsi"/>
        </w:rPr>
        <w:tab/>
        <w:t>Output summary</w:t>
      </w:r>
    </w:p>
    <w:tbl>
      <w:tblPr>
        <w:tblW w:w="7765" w:type="dxa"/>
        <w:tblInd w:w="43" w:type="dxa"/>
        <w:tblLayout w:type="fixed"/>
        <w:tblCellMar>
          <w:left w:w="43" w:type="dxa"/>
          <w:right w:w="43" w:type="dxa"/>
        </w:tblCellMar>
        <w:tblLook w:val="0000" w:firstRow="0" w:lastRow="0" w:firstColumn="0" w:lastColumn="0" w:noHBand="0" w:noVBand="0"/>
      </w:tblPr>
      <w:tblGrid>
        <w:gridCol w:w="4365"/>
        <w:gridCol w:w="850"/>
        <w:gridCol w:w="850"/>
        <w:gridCol w:w="850"/>
        <w:gridCol w:w="850"/>
      </w:tblGrid>
      <w:tr w:rsidR="00E25CC6" w:rsidRPr="00A57A8A" w:rsidTr="00A57A8A">
        <w:trPr>
          <w:cantSplit/>
          <w:tblHeader/>
        </w:trPr>
        <w:tc>
          <w:tcPr>
            <w:tcW w:w="4365" w:type="dxa"/>
            <w:tcBorders>
              <w:bottom w:val="nil"/>
              <w:right w:val="nil"/>
            </w:tcBorders>
            <w:shd w:val="clear" w:color="auto" w:fill="000000"/>
            <w:vAlign w:val="bottom"/>
          </w:tcPr>
          <w:p w:rsidR="00E25CC6" w:rsidRPr="00A57A8A" w:rsidRDefault="00E25CC6" w:rsidP="00A57A8A">
            <w:pPr>
              <w:pStyle w:val="Tabletext"/>
              <w:rPr>
                <w:color w:val="FFFFFF"/>
                <w:lang w:eastAsia="en-AU"/>
              </w:rPr>
            </w:pPr>
            <w:r>
              <w:rPr>
                <w:color w:val="FFFFFF"/>
                <w:lang w:eastAsia="en-AU"/>
              </w:rPr>
              <w:t xml:space="preserve"> </w:t>
            </w:r>
          </w:p>
        </w:tc>
        <w:tc>
          <w:tcPr>
            <w:tcW w:w="850" w:type="dxa"/>
            <w:tcBorders>
              <w:left w:val="nil"/>
              <w:bottom w:val="nil"/>
              <w:right w:val="nil"/>
            </w:tcBorders>
            <w:shd w:val="clear" w:color="auto" w:fill="000000"/>
            <w:vAlign w:val="bottom"/>
          </w:tcPr>
          <w:p w:rsidR="00E25CC6" w:rsidRPr="00A57A8A" w:rsidRDefault="00E25CC6" w:rsidP="00A57A8A">
            <w:pPr>
              <w:pStyle w:val="Tabletextheading"/>
              <w:rPr>
                <w:color w:val="FFFFFF"/>
                <w:sz w:val="19"/>
                <w:lang w:eastAsia="en-AU"/>
              </w:rPr>
            </w:pPr>
            <w:r w:rsidRPr="00A57A8A">
              <w:rPr>
                <w:color w:val="FFFFFF"/>
                <w:sz w:val="19"/>
                <w:lang w:eastAsia="en-AU"/>
              </w:rPr>
              <w:t>2015</w:t>
            </w:r>
            <w:r>
              <w:rPr>
                <w:color w:val="FFFFFF"/>
                <w:sz w:val="19"/>
                <w:lang w:eastAsia="en-AU"/>
              </w:rPr>
              <w:noBreakHyphen/>
            </w:r>
            <w:r w:rsidRPr="00A57A8A">
              <w:rPr>
                <w:color w:val="FFFFFF"/>
                <w:sz w:val="19"/>
                <w:lang w:eastAsia="en-AU"/>
              </w:rPr>
              <w:t>16</w:t>
            </w:r>
          </w:p>
        </w:tc>
        <w:tc>
          <w:tcPr>
            <w:tcW w:w="850" w:type="dxa"/>
            <w:tcBorders>
              <w:left w:val="nil"/>
              <w:bottom w:val="nil"/>
              <w:right w:val="nil"/>
            </w:tcBorders>
            <w:shd w:val="clear" w:color="auto" w:fill="000000"/>
            <w:vAlign w:val="bottom"/>
          </w:tcPr>
          <w:p w:rsidR="00E25CC6" w:rsidRPr="00A57A8A" w:rsidRDefault="00E25CC6" w:rsidP="00A57A8A">
            <w:pPr>
              <w:pStyle w:val="Tabletextheading"/>
              <w:rPr>
                <w:color w:val="FFFFFF"/>
                <w:sz w:val="19"/>
                <w:lang w:eastAsia="en-AU"/>
              </w:rPr>
            </w:pPr>
            <w:r w:rsidRPr="00A57A8A">
              <w:rPr>
                <w:color w:val="FFFFFF"/>
                <w:sz w:val="19"/>
                <w:lang w:eastAsia="en-AU"/>
              </w:rPr>
              <w:t>2015</w:t>
            </w:r>
            <w:r>
              <w:rPr>
                <w:color w:val="FFFFFF"/>
                <w:sz w:val="19"/>
                <w:lang w:eastAsia="en-AU"/>
              </w:rPr>
              <w:noBreakHyphen/>
            </w:r>
            <w:r w:rsidRPr="00A57A8A">
              <w:rPr>
                <w:color w:val="FFFFFF"/>
                <w:sz w:val="19"/>
                <w:lang w:eastAsia="en-AU"/>
              </w:rPr>
              <w:t>16</w:t>
            </w:r>
          </w:p>
        </w:tc>
        <w:tc>
          <w:tcPr>
            <w:tcW w:w="850" w:type="dxa"/>
            <w:tcBorders>
              <w:left w:val="nil"/>
              <w:bottom w:val="nil"/>
              <w:right w:val="nil"/>
            </w:tcBorders>
            <w:shd w:val="clear" w:color="auto" w:fill="000000"/>
            <w:vAlign w:val="bottom"/>
          </w:tcPr>
          <w:p w:rsidR="00E25CC6" w:rsidRPr="00A57A8A" w:rsidRDefault="00E25CC6" w:rsidP="00A57A8A">
            <w:pPr>
              <w:pStyle w:val="Tabletextheading"/>
              <w:rPr>
                <w:color w:val="FFFFFF"/>
                <w:sz w:val="19"/>
                <w:lang w:eastAsia="en-AU"/>
              </w:rPr>
            </w:pPr>
            <w:r w:rsidRPr="00A57A8A">
              <w:rPr>
                <w:color w:val="FFFFFF"/>
                <w:sz w:val="19"/>
                <w:lang w:eastAsia="en-AU"/>
              </w:rPr>
              <w:t>2016</w:t>
            </w:r>
            <w:r>
              <w:rPr>
                <w:color w:val="FFFFFF"/>
                <w:sz w:val="19"/>
                <w:lang w:eastAsia="en-AU"/>
              </w:rPr>
              <w:noBreakHyphen/>
            </w:r>
            <w:r w:rsidRPr="00A57A8A">
              <w:rPr>
                <w:color w:val="FFFFFF"/>
                <w:sz w:val="19"/>
                <w:lang w:eastAsia="en-AU"/>
              </w:rPr>
              <w:t>17</w:t>
            </w:r>
          </w:p>
        </w:tc>
        <w:tc>
          <w:tcPr>
            <w:tcW w:w="850" w:type="dxa"/>
            <w:tcBorders>
              <w:left w:val="nil"/>
              <w:bottom w:val="nil"/>
            </w:tcBorders>
            <w:shd w:val="clear" w:color="auto" w:fill="000000"/>
            <w:vAlign w:val="bottom"/>
          </w:tcPr>
          <w:p w:rsidR="00E25CC6" w:rsidRPr="00A57A8A" w:rsidRDefault="00E25CC6" w:rsidP="00A57A8A">
            <w:pPr>
              <w:pStyle w:val="Tabletextheading"/>
              <w:rPr>
                <w:color w:val="FFFFFF"/>
                <w:sz w:val="19"/>
                <w:vertAlign w:val="superscript"/>
                <w:lang w:eastAsia="en-AU"/>
              </w:rPr>
            </w:pPr>
            <w:r w:rsidRPr="00A57A8A">
              <w:rPr>
                <w:color w:val="FFFFFF"/>
                <w:sz w:val="19"/>
                <w:lang w:eastAsia="en-AU"/>
              </w:rPr>
              <w:t>Variation</w:t>
            </w:r>
          </w:p>
        </w:tc>
      </w:tr>
      <w:tr w:rsidR="00E25CC6" w:rsidRPr="00A57A8A" w:rsidTr="00A57A8A">
        <w:trPr>
          <w:cantSplit/>
          <w:tblHeader/>
        </w:trPr>
        <w:tc>
          <w:tcPr>
            <w:tcW w:w="4365" w:type="dxa"/>
            <w:tcBorders>
              <w:top w:val="nil"/>
              <w:bottom w:val="single" w:sz="6" w:space="0" w:color="auto"/>
              <w:right w:val="nil"/>
            </w:tcBorders>
            <w:shd w:val="clear" w:color="auto" w:fill="000000"/>
            <w:vAlign w:val="bottom"/>
          </w:tcPr>
          <w:p w:rsidR="00E25CC6" w:rsidRPr="00A57A8A" w:rsidRDefault="00E25CC6" w:rsidP="00A57A8A">
            <w:pPr>
              <w:pStyle w:val="Tabletext"/>
              <w:rPr>
                <w:color w:val="FFFFFF"/>
                <w:lang w:eastAsia="en-AU"/>
              </w:rPr>
            </w:pPr>
            <w:r>
              <w:rPr>
                <w:color w:val="FFFFFF"/>
                <w:lang w:eastAsia="en-AU"/>
              </w:rPr>
              <w:t xml:space="preserve"> </w:t>
            </w:r>
          </w:p>
        </w:tc>
        <w:tc>
          <w:tcPr>
            <w:tcW w:w="850" w:type="dxa"/>
            <w:tcBorders>
              <w:top w:val="nil"/>
              <w:left w:val="nil"/>
              <w:bottom w:val="single" w:sz="6" w:space="0" w:color="auto"/>
              <w:right w:val="nil"/>
            </w:tcBorders>
            <w:shd w:val="clear" w:color="auto" w:fill="000000"/>
            <w:vAlign w:val="bottom"/>
          </w:tcPr>
          <w:p w:rsidR="00E25CC6" w:rsidRPr="00A57A8A" w:rsidRDefault="00E25CC6" w:rsidP="00A57A8A">
            <w:pPr>
              <w:pStyle w:val="Tabletextheading"/>
              <w:rPr>
                <w:color w:val="FFFFFF"/>
                <w:sz w:val="19"/>
                <w:lang w:eastAsia="en-AU"/>
              </w:rPr>
            </w:pPr>
            <w:r w:rsidRPr="00A57A8A">
              <w:rPr>
                <w:color w:val="FFFFFF"/>
                <w:sz w:val="19"/>
                <w:lang w:eastAsia="en-AU"/>
              </w:rPr>
              <w:t>budget</w:t>
            </w:r>
          </w:p>
        </w:tc>
        <w:tc>
          <w:tcPr>
            <w:tcW w:w="850" w:type="dxa"/>
            <w:tcBorders>
              <w:top w:val="nil"/>
              <w:left w:val="nil"/>
              <w:bottom w:val="single" w:sz="6" w:space="0" w:color="auto"/>
              <w:right w:val="nil"/>
            </w:tcBorders>
            <w:shd w:val="clear" w:color="auto" w:fill="000000"/>
            <w:vAlign w:val="bottom"/>
          </w:tcPr>
          <w:p w:rsidR="00E25CC6" w:rsidRPr="00A57A8A" w:rsidRDefault="00E25CC6" w:rsidP="00A57A8A">
            <w:pPr>
              <w:pStyle w:val="Tabletextheading"/>
              <w:rPr>
                <w:color w:val="FFFFFF"/>
                <w:sz w:val="19"/>
                <w:vertAlign w:val="superscript"/>
                <w:lang w:eastAsia="en-AU"/>
              </w:rPr>
            </w:pPr>
            <w:r w:rsidRPr="00A57A8A">
              <w:rPr>
                <w:color w:val="FFFFFF"/>
                <w:sz w:val="19"/>
                <w:lang w:eastAsia="en-AU"/>
              </w:rPr>
              <w:t>revised</w:t>
            </w:r>
            <w:r>
              <w:rPr>
                <w:color w:val="FFFFFF"/>
                <w:sz w:val="19"/>
                <w:lang w:eastAsia="en-AU"/>
              </w:rPr>
              <w:t xml:space="preserve"> </w:t>
            </w:r>
            <w:r w:rsidRPr="00A57A8A">
              <w:rPr>
                <w:color w:val="FFFFFF"/>
                <w:sz w:val="19"/>
                <w:vertAlign w:val="superscript"/>
                <w:lang w:eastAsia="en-AU"/>
              </w:rPr>
              <w:t>(a)</w:t>
            </w:r>
          </w:p>
        </w:tc>
        <w:tc>
          <w:tcPr>
            <w:tcW w:w="850" w:type="dxa"/>
            <w:tcBorders>
              <w:top w:val="nil"/>
              <w:left w:val="nil"/>
              <w:bottom w:val="single" w:sz="6" w:space="0" w:color="auto"/>
              <w:right w:val="nil"/>
            </w:tcBorders>
            <w:shd w:val="clear" w:color="auto" w:fill="000000"/>
            <w:vAlign w:val="bottom"/>
          </w:tcPr>
          <w:p w:rsidR="00E25CC6" w:rsidRPr="00A57A8A" w:rsidRDefault="00E25CC6" w:rsidP="00A57A8A">
            <w:pPr>
              <w:pStyle w:val="Tabletextheading"/>
              <w:rPr>
                <w:color w:val="FFFFFF"/>
                <w:sz w:val="19"/>
                <w:lang w:eastAsia="en-AU"/>
              </w:rPr>
            </w:pPr>
            <w:r w:rsidRPr="00A57A8A">
              <w:rPr>
                <w:color w:val="FFFFFF"/>
                <w:sz w:val="19"/>
                <w:lang w:eastAsia="en-AU"/>
              </w:rPr>
              <w:t>budget</w:t>
            </w:r>
            <w:r>
              <w:rPr>
                <w:color w:val="FFFFFF"/>
                <w:sz w:val="19"/>
                <w:lang w:eastAsia="en-AU"/>
              </w:rPr>
              <w:t xml:space="preserve"> </w:t>
            </w:r>
            <w:r w:rsidRPr="00A57A8A">
              <w:rPr>
                <w:color w:val="FFFFFF"/>
                <w:sz w:val="19"/>
                <w:vertAlign w:val="superscript"/>
                <w:lang w:eastAsia="en-AU"/>
              </w:rPr>
              <w:t>(a)</w:t>
            </w:r>
          </w:p>
        </w:tc>
        <w:tc>
          <w:tcPr>
            <w:tcW w:w="850" w:type="dxa"/>
            <w:tcBorders>
              <w:top w:val="nil"/>
              <w:left w:val="nil"/>
              <w:bottom w:val="single" w:sz="6" w:space="0" w:color="auto"/>
            </w:tcBorders>
            <w:shd w:val="clear" w:color="auto" w:fill="000000"/>
            <w:vAlign w:val="bottom"/>
          </w:tcPr>
          <w:p w:rsidR="00E25CC6" w:rsidRPr="00A57A8A" w:rsidRDefault="00E25CC6" w:rsidP="00A57A8A">
            <w:pPr>
              <w:pStyle w:val="Tabletextheading"/>
              <w:rPr>
                <w:color w:val="FFFFFF"/>
                <w:sz w:val="19"/>
                <w:lang w:eastAsia="en-AU"/>
              </w:rPr>
            </w:pPr>
            <w:r w:rsidRPr="00A57A8A">
              <w:rPr>
                <w:color w:val="FFFFFF"/>
                <w:sz w:val="19"/>
                <w:lang w:eastAsia="en-AU"/>
              </w:rPr>
              <w:t>%</w:t>
            </w:r>
          </w:p>
        </w:tc>
      </w:tr>
      <w:tr w:rsidR="00E25CC6" w:rsidRPr="00A57A8A" w:rsidTr="00A57A8A">
        <w:trPr>
          <w:cantSplit/>
        </w:trPr>
        <w:tc>
          <w:tcPr>
            <w:tcW w:w="4365" w:type="dxa"/>
            <w:tcBorders>
              <w:top w:val="single" w:sz="6" w:space="0" w:color="auto"/>
              <w:left w:val="nil"/>
              <w:right w:val="nil"/>
            </w:tcBorders>
            <w:shd w:val="clear" w:color="auto" w:fill="FFFFFF"/>
          </w:tcPr>
          <w:p w:rsidR="00E25CC6" w:rsidRPr="00A57A8A" w:rsidRDefault="00E25CC6" w:rsidP="00A57A8A">
            <w:pPr>
              <w:pStyle w:val="Tabletext"/>
              <w:ind w:left="227" w:hanging="227"/>
              <w:rPr>
                <w:b/>
              </w:rPr>
            </w:pPr>
            <w:r w:rsidRPr="00A57A8A">
              <w:rPr>
                <w:b/>
              </w:rPr>
              <w:t>Policing and Crime Prevention</w:t>
            </w:r>
          </w:p>
        </w:tc>
        <w:tc>
          <w:tcPr>
            <w:tcW w:w="850" w:type="dxa"/>
            <w:tcBorders>
              <w:top w:val="single" w:sz="6" w:space="0" w:color="auto"/>
              <w:left w:val="nil"/>
              <w:right w:val="nil"/>
            </w:tcBorders>
            <w:shd w:val="clear" w:color="auto" w:fill="FFFFFF"/>
          </w:tcPr>
          <w:p w:rsidR="00E25CC6" w:rsidRPr="00A57A8A" w:rsidRDefault="00E25CC6" w:rsidP="00A57A8A">
            <w:pPr>
              <w:pStyle w:val="TableofFigures"/>
              <w:rPr>
                <w:sz w:val="19"/>
              </w:rPr>
            </w:pPr>
          </w:p>
        </w:tc>
        <w:tc>
          <w:tcPr>
            <w:tcW w:w="850" w:type="dxa"/>
            <w:tcBorders>
              <w:top w:val="single" w:sz="6" w:space="0" w:color="auto"/>
              <w:left w:val="nil"/>
              <w:right w:val="nil"/>
            </w:tcBorders>
            <w:shd w:val="clear" w:color="auto" w:fill="FFFFFF"/>
          </w:tcPr>
          <w:p w:rsidR="00E25CC6" w:rsidRPr="00A57A8A" w:rsidRDefault="00E25CC6" w:rsidP="00A57A8A">
            <w:pPr>
              <w:pStyle w:val="TableofFigures"/>
              <w:rPr>
                <w:sz w:val="19"/>
              </w:rPr>
            </w:pPr>
          </w:p>
        </w:tc>
        <w:tc>
          <w:tcPr>
            <w:tcW w:w="850" w:type="dxa"/>
            <w:tcBorders>
              <w:top w:val="single" w:sz="6" w:space="0" w:color="auto"/>
              <w:left w:val="nil"/>
              <w:right w:val="nil"/>
            </w:tcBorders>
            <w:shd w:val="clear" w:color="auto" w:fill="FFFFFF"/>
          </w:tcPr>
          <w:p w:rsidR="00E25CC6" w:rsidRPr="00A57A8A" w:rsidRDefault="00E25CC6" w:rsidP="00A57A8A">
            <w:pPr>
              <w:pStyle w:val="TableofFigures"/>
              <w:rPr>
                <w:sz w:val="19"/>
              </w:rPr>
            </w:pPr>
          </w:p>
        </w:tc>
        <w:tc>
          <w:tcPr>
            <w:tcW w:w="850" w:type="dxa"/>
            <w:tcBorders>
              <w:top w:val="single" w:sz="6" w:space="0" w:color="auto"/>
              <w:left w:val="nil"/>
              <w:right w:val="nil"/>
            </w:tcBorders>
            <w:shd w:val="clear" w:color="auto" w:fill="FFFFFF"/>
          </w:tcPr>
          <w:p w:rsidR="00E25CC6" w:rsidRPr="00A57A8A" w:rsidRDefault="00E25CC6" w:rsidP="00A57A8A">
            <w:pPr>
              <w:pStyle w:val="TableofFigures"/>
              <w:rPr>
                <w:sz w:val="19"/>
              </w:rPr>
            </w:pPr>
          </w:p>
        </w:tc>
      </w:tr>
      <w:tr w:rsidR="00E25CC6" w:rsidRPr="00A57A8A" w:rsidTr="00A57A8A">
        <w:trPr>
          <w:cantSplit/>
        </w:trPr>
        <w:tc>
          <w:tcPr>
            <w:tcW w:w="4365" w:type="dxa"/>
            <w:tcBorders>
              <w:top w:val="nil"/>
              <w:left w:val="nil"/>
              <w:right w:val="nil"/>
            </w:tcBorders>
            <w:shd w:val="clear" w:color="auto" w:fill="FFFFFF"/>
          </w:tcPr>
          <w:p w:rsidR="00E25CC6" w:rsidRPr="00A57A8A" w:rsidRDefault="00E25CC6" w:rsidP="00A57A8A">
            <w:pPr>
              <w:pStyle w:val="Tabletext"/>
              <w:ind w:left="227" w:hanging="227"/>
              <w:rPr>
                <w:vertAlign w:val="superscript"/>
              </w:rPr>
            </w:pPr>
            <w:r w:rsidRPr="00A57A8A">
              <w:t xml:space="preserve">Policing Services and Crime Prevention </w:t>
            </w:r>
            <w:r w:rsidRPr="00A57A8A">
              <w:rPr>
                <w:vertAlign w:val="superscript"/>
              </w:rPr>
              <w:t>(b)</w:t>
            </w:r>
          </w:p>
        </w:tc>
        <w:tc>
          <w:tcPr>
            <w:tcW w:w="850" w:type="dxa"/>
            <w:tcBorders>
              <w:top w:val="nil"/>
              <w:left w:val="nil"/>
              <w:right w:val="nil"/>
            </w:tcBorders>
            <w:shd w:val="clear" w:color="auto" w:fill="FFFFFF"/>
          </w:tcPr>
          <w:p w:rsidR="00E25CC6" w:rsidRPr="00A57A8A" w:rsidRDefault="00E25CC6" w:rsidP="00A57A8A">
            <w:pPr>
              <w:spacing w:after="0"/>
              <w:jc w:val="right"/>
              <w:rPr>
                <w:rFonts w:ascii="Calibri" w:hAnsi="Calibri" w:cstheme="minorHAnsi"/>
                <w:sz w:val="19"/>
              </w:rPr>
            </w:pPr>
            <w:r>
              <w:rPr>
                <w:rFonts w:ascii="Calibri" w:hAnsi="Calibri" w:cstheme="minorHAnsi"/>
                <w:sz w:val="19"/>
              </w:rPr>
              <w:t>2 523.5</w:t>
            </w:r>
          </w:p>
        </w:tc>
        <w:tc>
          <w:tcPr>
            <w:tcW w:w="850" w:type="dxa"/>
            <w:tcBorders>
              <w:top w:val="nil"/>
              <w:left w:val="nil"/>
              <w:right w:val="nil"/>
            </w:tcBorders>
            <w:shd w:val="clear" w:color="auto" w:fill="FFFFFF"/>
          </w:tcPr>
          <w:p w:rsidR="00E25CC6" w:rsidRPr="00A57A8A" w:rsidRDefault="00E25CC6" w:rsidP="00A57A8A">
            <w:pPr>
              <w:pStyle w:val="TableofFigures"/>
              <w:rPr>
                <w:sz w:val="19"/>
              </w:rPr>
            </w:pPr>
            <w:r>
              <w:rPr>
                <w:sz w:val="19"/>
              </w:rPr>
              <w:t>2 601.9</w:t>
            </w:r>
          </w:p>
        </w:tc>
        <w:tc>
          <w:tcPr>
            <w:tcW w:w="850" w:type="dxa"/>
            <w:tcBorders>
              <w:top w:val="nil"/>
              <w:left w:val="nil"/>
              <w:right w:val="nil"/>
            </w:tcBorders>
            <w:shd w:val="clear" w:color="auto" w:fill="FFFFFF"/>
          </w:tcPr>
          <w:p w:rsidR="00E25CC6" w:rsidRPr="00A57A8A" w:rsidRDefault="00E25CC6" w:rsidP="00A57A8A">
            <w:pPr>
              <w:pStyle w:val="TableofFigures"/>
              <w:rPr>
                <w:sz w:val="19"/>
              </w:rPr>
            </w:pPr>
            <w:r>
              <w:rPr>
                <w:sz w:val="19"/>
              </w:rPr>
              <w:t>2 728.8</w:t>
            </w:r>
          </w:p>
        </w:tc>
        <w:tc>
          <w:tcPr>
            <w:tcW w:w="850" w:type="dxa"/>
            <w:tcBorders>
              <w:top w:val="nil"/>
              <w:left w:val="nil"/>
              <w:right w:val="nil"/>
            </w:tcBorders>
            <w:shd w:val="clear" w:color="auto" w:fill="FFFFFF"/>
          </w:tcPr>
          <w:p w:rsidR="00E25CC6" w:rsidRPr="00A57A8A" w:rsidRDefault="00E25CC6" w:rsidP="00A57A8A">
            <w:pPr>
              <w:pStyle w:val="TableofFigures"/>
              <w:rPr>
                <w:sz w:val="19"/>
              </w:rPr>
            </w:pPr>
            <w:r w:rsidRPr="00A57A8A">
              <w:rPr>
                <w:sz w:val="19"/>
              </w:rPr>
              <w:t>8.1</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b/>
              </w:rPr>
            </w:pPr>
            <w:r w:rsidRPr="00410A55">
              <w:rPr>
                <w:b/>
              </w:rPr>
              <w:t>Enforcing and Managing Correctional Orders</w:t>
            </w:r>
          </w:p>
        </w:tc>
        <w:tc>
          <w:tcPr>
            <w:tcW w:w="850" w:type="dxa"/>
            <w:tcBorders>
              <w:top w:val="nil"/>
              <w:left w:val="nil"/>
              <w:right w:val="nil"/>
            </w:tcBorders>
            <w:shd w:val="clear" w:color="auto" w:fill="FFFFFF"/>
          </w:tcPr>
          <w:p w:rsidR="00E25CC6" w:rsidRPr="00410A55" w:rsidRDefault="00E25CC6" w:rsidP="00A57A8A">
            <w:pPr>
              <w:pStyle w:val="TableofFigures"/>
              <w:rPr>
                <w:rFonts w:cstheme="minorHAnsi"/>
                <w:sz w:val="19"/>
              </w:rPr>
            </w:pPr>
          </w:p>
        </w:tc>
        <w:tc>
          <w:tcPr>
            <w:tcW w:w="850" w:type="dxa"/>
            <w:tcBorders>
              <w:top w:val="nil"/>
              <w:left w:val="nil"/>
              <w:right w:val="nil"/>
            </w:tcBorders>
            <w:shd w:val="clear" w:color="auto" w:fill="FFFFFF"/>
          </w:tcPr>
          <w:p w:rsidR="00E25CC6" w:rsidRPr="00410A55" w:rsidRDefault="00E25CC6" w:rsidP="00A57A8A">
            <w:pPr>
              <w:pStyle w:val="TableofFigures"/>
              <w:rPr>
                <w:sz w:val="19"/>
              </w:rPr>
            </w:pPr>
          </w:p>
        </w:tc>
        <w:tc>
          <w:tcPr>
            <w:tcW w:w="850" w:type="dxa"/>
            <w:tcBorders>
              <w:top w:val="nil"/>
              <w:left w:val="nil"/>
              <w:right w:val="nil"/>
            </w:tcBorders>
            <w:shd w:val="clear" w:color="auto" w:fill="FFFFFF"/>
          </w:tcPr>
          <w:p w:rsidR="00E25CC6" w:rsidRPr="00410A55" w:rsidRDefault="00E25CC6" w:rsidP="00A57A8A">
            <w:pPr>
              <w:pStyle w:val="TableofFigures"/>
              <w:rPr>
                <w:sz w:val="19"/>
              </w:rPr>
            </w:pPr>
          </w:p>
        </w:tc>
        <w:tc>
          <w:tcPr>
            <w:tcW w:w="850" w:type="dxa"/>
            <w:tcBorders>
              <w:top w:val="nil"/>
              <w:left w:val="nil"/>
              <w:right w:val="nil"/>
            </w:tcBorders>
            <w:shd w:val="clear" w:color="auto" w:fill="FFFFFF"/>
          </w:tcPr>
          <w:p w:rsidR="00E25CC6" w:rsidRPr="00410A55" w:rsidRDefault="00E25CC6" w:rsidP="00A57A8A">
            <w:pPr>
              <w:pStyle w:val="TableofFigures"/>
              <w:rPr>
                <w:sz w:val="19"/>
              </w:rPr>
            </w:pP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vertAlign w:val="superscript"/>
              </w:rPr>
            </w:pPr>
            <w:r w:rsidRPr="00410A55">
              <w:t xml:space="preserve">Community Based Offender Supervision </w:t>
            </w:r>
            <w:r w:rsidRPr="00410A55">
              <w:rPr>
                <w:vertAlign w:val="superscript"/>
              </w:rPr>
              <w:t>(c)</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165.7</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164.2</w:t>
            </w:r>
          </w:p>
        </w:tc>
        <w:tc>
          <w:tcPr>
            <w:tcW w:w="850" w:type="dxa"/>
            <w:tcBorders>
              <w:top w:val="nil"/>
              <w:left w:val="nil"/>
              <w:right w:val="nil"/>
            </w:tcBorders>
            <w:shd w:val="clear" w:color="auto" w:fill="FFFFFF"/>
          </w:tcPr>
          <w:p w:rsidR="00E25CC6" w:rsidRPr="00385BFE" w:rsidRDefault="00E25CC6" w:rsidP="00A57A8A">
            <w:pPr>
              <w:pStyle w:val="TableofFigures"/>
              <w:rPr>
                <w:strike/>
                <w:sz w:val="19"/>
              </w:rPr>
            </w:pPr>
            <w:r w:rsidRPr="00385BFE">
              <w:rPr>
                <w:sz w:val="19"/>
              </w:rPr>
              <w:t>202.4</w:t>
            </w:r>
          </w:p>
        </w:tc>
        <w:tc>
          <w:tcPr>
            <w:tcW w:w="850" w:type="dxa"/>
            <w:tcBorders>
              <w:top w:val="nil"/>
              <w:left w:val="nil"/>
              <w:right w:val="nil"/>
            </w:tcBorders>
            <w:shd w:val="clear" w:color="auto" w:fill="FFFFFF"/>
          </w:tcPr>
          <w:p w:rsidR="00E25CC6" w:rsidRPr="00385BFE" w:rsidRDefault="00E25CC6" w:rsidP="000A572E">
            <w:pPr>
              <w:pStyle w:val="TableofFigures"/>
              <w:rPr>
                <w:sz w:val="19"/>
              </w:rPr>
            </w:pPr>
            <w:r w:rsidRPr="00385BFE">
              <w:rPr>
                <w:sz w:val="19"/>
              </w:rPr>
              <w:t>22.</w:t>
            </w:r>
            <w:r w:rsidRPr="00596DDE">
              <w:rPr>
                <w:sz w:val="19"/>
              </w:rPr>
              <w:t>1</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pPr>
            <w:r w:rsidRPr="00410A55">
              <w:t>Prisoner Supervision and Support</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1 056.0</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1 019.6</w:t>
            </w:r>
          </w:p>
        </w:tc>
        <w:tc>
          <w:tcPr>
            <w:tcW w:w="850" w:type="dxa"/>
            <w:tcBorders>
              <w:top w:val="nil"/>
              <w:left w:val="nil"/>
              <w:right w:val="nil"/>
            </w:tcBorders>
            <w:shd w:val="clear" w:color="auto" w:fill="FFFFFF"/>
          </w:tcPr>
          <w:p w:rsidR="00E25CC6" w:rsidRPr="00385BFE" w:rsidRDefault="00E25CC6" w:rsidP="00A57A8A">
            <w:pPr>
              <w:pStyle w:val="TableofFigures"/>
              <w:rPr>
                <w:strike/>
                <w:sz w:val="19"/>
              </w:rPr>
            </w:pPr>
            <w:r w:rsidRPr="00385BFE">
              <w:rPr>
                <w:sz w:val="19"/>
              </w:rPr>
              <w:t>1102.2</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4.4</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b/>
              </w:rPr>
            </w:pPr>
            <w:r w:rsidRPr="00410A55">
              <w:rPr>
                <w:b/>
              </w:rPr>
              <w:t>Criminal Justice Services</w:t>
            </w:r>
          </w:p>
        </w:tc>
        <w:tc>
          <w:tcPr>
            <w:tcW w:w="850" w:type="dxa"/>
            <w:tcBorders>
              <w:top w:val="nil"/>
              <w:left w:val="nil"/>
              <w:right w:val="nil"/>
            </w:tcBorders>
            <w:shd w:val="clear" w:color="auto" w:fill="FFFFFF"/>
          </w:tcPr>
          <w:p w:rsidR="00E25CC6" w:rsidRPr="00410A55" w:rsidRDefault="00E25CC6" w:rsidP="00A57A8A">
            <w:pPr>
              <w:pStyle w:val="TableofFigures"/>
              <w:rPr>
                <w:rFonts w:cstheme="minorHAnsi"/>
                <w:sz w:val="19"/>
              </w:rPr>
            </w:pPr>
          </w:p>
        </w:tc>
        <w:tc>
          <w:tcPr>
            <w:tcW w:w="850" w:type="dxa"/>
            <w:tcBorders>
              <w:top w:val="nil"/>
              <w:left w:val="nil"/>
              <w:right w:val="nil"/>
            </w:tcBorders>
            <w:shd w:val="clear" w:color="auto" w:fill="FFFFFF"/>
          </w:tcPr>
          <w:p w:rsidR="00E25CC6" w:rsidRPr="00410A55"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vertAlign w:val="superscript"/>
              </w:rPr>
            </w:pPr>
            <w:r w:rsidRPr="00410A55">
              <w:t xml:space="preserve">Public Prosecutions and Legal Assistance </w:t>
            </w:r>
            <w:r w:rsidRPr="00410A55">
              <w:rPr>
                <w:vertAlign w:val="superscript"/>
              </w:rPr>
              <w:t>(d)</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208.2</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215.8</w:t>
            </w:r>
          </w:p>
        </w:tc>
        <w:tc>
          <w:tcPr>
            <w:tcW w:w="850" w:type="dxa"/>
            <w:tcBorders>
              <w:top w:val="nil"/>
              <w:left w:val="nil"/>
              <w:right w:val="nil"/>
            </w:tcBorders>
            <w:shd w:val="clear" w:color="auto" w:fill="FFFFFF"/>
          </w:tcPr>
          <w:p w:rsidR="00E25CC6" w:rsidRPr="00385BFE" w:rsidRDefault="00E25CC6" w:rsidP="00A57A8A">
            <w:pPr>
              <w:pStyle w:val="TableofFigures"/>
              <w:rPr>
                <w:strike/>
                <w:sz w:val="19"/>
              </w:rPr>
            </w:pPr>
            <w:r w:rsidRPr="00385BFE">
              <w:rPr>
                <w:sz w:val="19"/>
              </w:rPr>
              <w:t>224.6</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7.9</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pPr>
            <w:r w:rsidRPr="00410A55">
              <w:t>Infringements and Warrants</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229.2</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207.6</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234.4</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2.3</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F0266E">
            <w:pPr>
              <w:pStyle w:val="Tabletext"/>
              <w:ind w:left="227" w:hanging="227"/>
            </w:pPr>
            <w:r w:rsidRPr="00410A55">
              <w:t xml:space="preserve">Criminal Law Support </w:t>
            </w:r>
            <w:r w:rsidRPr="00A93E8B">
              <w:t xml:space="preserve">and Reform </w:t>
            </w:r>
            <w:r w:rsidRPr="00A93E8B">
              <w:rPr>
                <w:vertAlign w:val="superscript"/>
              </w:rPr>
              <w:t>(e)</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14.5</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13.5</w:t>
            </w:r>
          </w:p>
        </w:tc>
        <w:tc>
          <w:tcPr>
            <w:tcW w:w="850" w:type="dxa"/>
            <w:tcBorders>
              <w:top w:val="nil"/>
              <w:left w:val="nil"/>
              <w:right w:val="nil"/>
            </w:tcBorders>
            <w:shd w:val="clear" w:color="auto" w:fill="FFFFFF"/>
          </w:tcPr>
          <w:p w:rsidR="00E25CC6" w:rsidRPr="00385BFE" w:rsidRDefault="00E25CC6" w:rsidP="00A57A8A">
            <w:pPr>
              <w:pStyle w:val="TableofFigures"/>
              <w:rPr>
                <w:strike/>
                <w:sz w:val="19"/>
              </w:rPr>
            </w:pPr>
            <w:r w:rsidRPr="00385BFE">
              <w:rPr>
                <w:sz w:val="19"/>
              </w:rPr>
              <w:t>16.8</w:t>
            </w:r>
          </w:p>
        </w:tc>
        <w:tc>
          <w:tcPr>
            <w:tcW w:w="850" w:type="dxa"/>
            <w:tcBorders>
              <w:top w:val="nil"/>
              <w:left w:val="nil"/>
              <w:right w:val="nil"/>
            </w:tcBorders>
            <w:shd w:val="clear" w:color="auto" w:fill="FFFFFF"/>
          </w:tcPr>
          <w:p w:rsidR="00E25CC6" w:rsidRPr="00385BFE" w:rsidRDefault="00E25CC6" w:rsidP="00303BCC">
            <w:pPr>
              <w:pStyle w:val="TableofFigures"/>
              <w:rPr>
                <w:sz w:val="19"/>
              </w:rPr>
            </w:pPr>
            <w:r w:rsidRPr="00385BFE">
              <w:rPr>
                <w:sz w:val="19"/>
              </w:rPr>
              <w:t>15.7</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vertAlign w:val="superscript"/>
              </w:rPr>
            </w:pPr>
            <w:r w:rsidRPr="00410A55">
              <w:t xml:space="preserve">Victims and Community Support Services </w:t>
            </w:r>
            <w:r w:rsidRPr="00410A55">
              <w:rPr>
                <w:vertAlign w:val="superscript"/>
              </w:rPr>
              <w:t xml:space="preserve">(f) </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84.0</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89.3</w:t>
            </w:r>
          </w:p>
        </w:tc>
        <w:tc>
          <w:tcPr>
            <w:tcW w:w="850" w:type="dxa"/>
            <w:tcBorders>
              <w:top w:val="nil"/>
              <w:left w:val="nil"/>
              <w:right w:val="nil"/>
            </w:tcBorders>
            <w:shd w:val="clear" w:color="auto" w:fill="FFFFFF"/>
          </w:tcPr>
          <w:p w:rsidR="00E25CC6" w:rsidRPr="00385BFE" w:rsidRDefault="00E25CC6" w:rsidP="00A57A8A">
            <w:pPr>
              <w:pStyle w:val="TableofFigures"/>
              <w:rPr>
                <w:strike/>
                <w:sz w:val="19"/>
              </w:rPr>
            </w:pPr>
            <w:r w:rsidRPr="00385BFE">
              <w:rPr>
                <w:sz w:val="19"/>
              </w:rPr>
              <w:t>100.8</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20.1</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b/>
              </w:rPr>
            </w:pPr>
            <w:r w:rsidRPr="00410A55">
              <w:rPr>
                <w:b/>
              </w:rPr>
              <w:t>Civil Justice Services</w:t>
            </w:r>
          </w:p>
        </w:tc>
        <w:tc>
          <w:tcPr>
            <w:tcW w:w="850" w:type="dxa"/>
            <w:tcBorders>
              <w:top w:val="nil"/>
              <w:left w:val="nil"/>
              <w:right w:val="nil"/>
            </w:tcBorders>
            <w:shd w:val="clear" w:color="auto" w:fill="FFFFFF"/>
          </w:tcPr>
          <w:p w:rsidR="00E25CC6" w:rsidRPr="00410A55" w:rsidRDefault="00E25CC6" w:rsidP="00A57A8A">
            <w:pPr>
              <w:pStyle w:val="TableofFigures"/>
              <w:rPr>
                <w:rFonts w:cstheme="minorHAnsi"/>
                <w:sz w:val="19"/>
              </w:rPr>
            </w:pPr>
          </w:p>
        </w:tc>
        <w:tc>
          <w:tcPr>
            <w:tcW w:w="850" w:type="dxa"/>
            <w:tcBorders>
              <w:top w:val="nil"/>
              <w:left w:val="nil"/>
              <w:right w:val="nil"/>
            </w:tcBorders>
            <w:shd w:val="clear" w:color="auto" w:fill="FFFFFF"/>
          </w:tcPr>
          <w:p w:rsidR="00E25CC6" w:rsidRPr="00410A55"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F0266E">
            <w:pPr>
              <w:pStyle w:val="Tabletext"/>
              <w:ind w:left="227" w:hanging="227"/>
              <w:rPr>
                <w:vertAlign w:val="superscript"/>
              </w:rPr>
            </w:pPr>
            <w:r w:rsidRPr="00410A55">
              <w:t xml:space="preserve">Protection of Personal Identity and Individual/ Community Rights </w:t>
            </w:r>
            <w:r w:rsidRPr="00410A55">
              <w:rPr>
                <w:vertAlign w:val="superscript"/>
              </w:rPr>
              <w:t>(g)</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44.3</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51.8</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48.4</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9.4</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pPr>
            <w:r w:rsidRPr="00410A55">
              <w:t>Dispute Resolution and Civil Justice Support Services</w:t>
            </w:r>
            <w:r w:rsidRPr="00A46482">
              <w:rPr>
                <w:vertAlign w:val="superscript"/>
              </w:rPr>
              <w:t>(h)</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45.0</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46.1</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43.8</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(2.7)</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b/>
              </w:rPr>
            </w:pPr>
            <w:r w:rsidRPr="00410A55">
              <w:rPr>
                <w:b/>
              </w:rPr>
              <w:t>Emergency Management</w:t>
            </w:r>
          </w:p>
        </w:tc>
        <w:tc>
          <w:tcPr>
            <w:tcW w:w="850" w:type="dxa"/>
            <w:tcBorders>
              <w:top w:val="nil"/>
              <w:left w:val="nil"/>
              <w:right w:val="nil"/>
            </w:tcBorders>
            <w:shd w:val="clear" w:color="auto" w:fill="FFFFFF"/>
          </w:tcPr>
          <w:p w:rsidR="00E25CC6" w:rsidRPr="00410A55" w:rsidRDefault="00E25CC6" w:rsidP="00A57A8A">
            <w:pPr>
              <w:pStyle w:val="TableofFigures"/>
              <w:rPr>
                <w:rFonts w:cstheme="minorHAnsi"/>
                <w:sz w:val="19"/>
              </w:rPr>
            </w:pPr>
          </w:p>
        </w:tc>
        <w:tc>
          <w:tcPr>
            <w:tcW w:w="850" w:type="dxa"/>
            <w:tcBorders>
              <w:top w:val="nil"/>
              <w:left w:val="nil"/>
              <w:right w:val="nil"/>
            </w:tcBorders>
            <w:shd w:val="clear" w:color="auto" w:fill="FFFFFF"/>
          </w:tcPr>
          <w:p w:rsidR="00E25CC6" w:rsidRPr="00410A55"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F0266E">
            <w:pPr>
              <w:pStyle w:val="Tabletext"/>
              <w:ind w:left="227" w:hanging="227"/>
              <w:rPr>
                <w:vertAlign w:val="superscript"/>
              </w:rPr>
            </w:pPr>
            <w:r w:rsidRPr="00410A55">
              <w:t xml:space="preserve">Emergency Management Capability </w:t>
            </w:r>
            <w:r w:rsidRPr="00410A55">
              <w:rPr>
                <w:vertAlign w:val="superscript"/>
              </w:rPr>
              <w:t>(</w:t>
            </w:r>
            <w:r>
              <w:rPr>
                <w:vertAlign w:val="superscript"/>
              </w:rPr>
              <w:t>i</w:t>
            </w:r>
            <w:r w:rsidRPr="00410A55">
              <w:rPr>
                <w:vertAlign w:val="superscript"/>
              </w:rPr>
              <w:t>)</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955.4</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1 059.3</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1 095.0</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14.6</w:t>
            </w: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81490D">
            <w:pPr>
              <w:pStyle w:val="Tabletext"/>
              <w:keepNext/>
              <w:ind w:left="230" w:hanging="230"/>
            </w:pPr>
            <w:r w:rsidRPr="00410A55">
              <w:rPr>
                <w:b/>
              </w:rPr>
              <w:t>Industry Regulation and Support</w:t>
            </w:r>
          </w:p>
        </w:tc>
        <w:tc>
          <w:tcPr>
            <w:tcW w:w="850" w:type="dxa"/>
            <w:tcBorders>
              <w:top w:val="nil"/>
              <w:left w:val="nil"/>
              <w:right w:val="nil"/>
            </w:tcBorders>
            <w:shd w:val="clear" w:color="auto" w:fill="FFFFFF"/>
          </w:tcPr>
          <w:p w:rsidR="00E25CC6" w:rsidRPr="00410A55" w:rsidRDefault="00E25CC6" w:rsidP="00A57A8A">
            <w:pPr>
              <w:pStyle w:val="TableofFigures"/>
              <w:rPr>
                <w:rFonts w:cstheme="minorHAnsi"/>
                <w:sz w:val="19"/>
              </w:rPr>
            </w:pPr>
          </w:p>
        </w:tc>
        <w:tc>
          <w:tcPr>
            <w:tcW w:w="850" w:type="dxa"/>
            <w:tcBorders>
              <w:top w:val="nil"/>
              <w:left w:val="nil"/>
              <w:right w:val="nil"/>
            </w:tcBorders>
            <w:shd w:val="clear" w:color="auto" w:fill="FFFFFF"/>
          </w:tcPr>
          <w:p w:rsidR="00E25CC6" w:rsidRPr="00410A55"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c>
          <w:tcPr>
            <w:tcW w:w="850" w:type="dxa"/>
            <w:tcBorders>
              <w:top w:val="nil"/>
              <w:left w:val="nil"/>
              <w:right w:val="nil"/>
            </w:tcBorders>
            <w:shd w:val="clear" w:color="auto" w:fill="FFFFFF"/>
          </w:tcPr>
          <w:p w:rsidR="00E25CC6" w:rsidRPr="00385BFE" w:rsidRDefault="00E25CC6" w:rsidP="00A57A8A">
            <w:pPr>
              <w:pStyle w:val="TableofFigures"/>
              <w:rPr>
                <w:sz w:val="19"/>
              </w:rPr>
            </w:pPr>
          </w:p>
        </w:tc>
      </w:tr>
      <w:tr w:rsidR="00E25CC6" w:rsidRPr="00410A55" w:rsidTr="00A57A8A">
        <w:trPr>
          <w:cantSplit/>
        </w:trPr>
        <w:tc>
          <w:tcPr>
            <w:tcW w:w="4365" w:type="dxa"/>
            <w:tcBorders>
              <w:top w:val="nil"/>
              <w:left w:val="nil"/>
              <w:right w:val="nil"/>
            </w:tcBorders>
            <w:shd w:val="clear" w:color="auto" w:fill="FFFFFF"/>
          </w:tcPr>
          <w:p w:rsidR="00E25CC6" w:rsidRPr="00410A55" w:rsidRDefault="00E25CC6" w:rsidP="00A57A8A">
            <w:pPr>
              <w:pStyle w:val="Tabletext"/>
              <w:ind w:left="227" w:hanging="227"/>
              <w:rPr>
                <w:vertAlign w:val="superscript"/>
              </w:rPr>
            </w:pPr>
            <w:r w:rsidRPr="00410A55">
              <w:t xml:space="preserve">Gambling, Liquor and Racing </w:t>
            </w:r>
            <w:r>
              <w:rPr>
                <w:vertAlign w:val="superscript"/>
              </w:rPr>
              <w:t>(j</w:t>
            </w:r>
            <w:r w:rsidRPr="00410A55">
              <w:rPr>
                <w:vertAlign w:val="superscript"/>
              </w:rPr>
              <w:t>)</w:t>
            </w:r>
          </w:p>
        </w:tc>
        <w:tc>
          <w:tcPr>
            <w:tcW w:w="850" w:type="dxa"/>
            <w:tcBorders>
              <w:top w:val="nil"/>
              <w:left w:val="nil"/>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127.5</w:t>
            </w:r>
          </w:p>
        </w:tc>
        <w:tc>
          <w:tcPr>
            <w:tcW w:w="850" w:type="dxa"/>
            <w:tcBorders>
              <w:top w:val="nil"/>
              <w:left w:val="nil"/>
              <w:right w:val="nil"/>
            </w:tcBorders>
            <w:shd w:val="clear" w:color="auto" w:fill="FFFFFF"/>
          </w:tcPr>
          <w:p w:rsidR="00E25CC6" w:rsidRPr="00410A55" w:rsidRDefault="00E25CC6" w:rsidP="00A57A8A">
            <w:pPr>
              <w:pStyle w:val="TableofFigures"/>
              <w:rPr>
                <w:sz w:val="19"/>
              </w:rPr>
            </w:pPr>
            <w:r w:rsidRPr="00410A55">
              <w:rPr>
                <w:sz w:val="19"/>
              </w:rPr>
              <w:t>120.2</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119.4</w:t>
            </w:r>
          </w:p>
        </w:tc>
        <w:tc>
          <w:tcPr>
            <w:tcW w:w="850" w:type="dxa"/>
            <w:tcBorders>
              <w:top w:val="nil"/>
              <w:left w:val="nil"/>
              <w:right w:val="nil"/>
            </w:tcBorders>
            <w:shd w:val="clear" w:color="auto" w:fill="FFFFFF"/>
          </w:tcPr>
          <w:p w:rsidR="00E25CC6" w:rsidRPr="00385BFE" w:rsidRDefault="00E25CC6" w:rsidP="00A57A8A">
            <w:pPr>
              <w:pStyle w:val="TableofFigures"/>
              <w:rPr>
                <w:sz w:val="19"/>
              </w:rPr>
            </w:pPr>
            <w:r w:rsidRPr="00385BFE">
              <w:rPr>
                <w:sz w:val="19"/>
              </w:rPr>
              <w:t>(6.3)</w:t>
            </w:r>
          </w:p>
        </w:tc>
      </w:tr>
      <w:tr w:rsidR="00E25CC6" w:rsidRPr="00410A55" w:rsidTr="00A57A8A">
        <w:trPr>
          <w:cantSplit/>
        </w:trPr>
        <w:tc>
          <w:tcPr>
            <w:tcW w:w="4365" w:type="dxa"/>
            <w:tcBorders>
              <w:top w:val="nil"/>
              <w:left w:val="nil"/>
              <w:bottom w:val="single" w:sz="6" w:space="0" w:color="auto"/>
              <w:right w:val="nil"/>
            </w:tcBorders>
            <w:shd w:val="clear" w:color="auto" w:fill="FFFFFF"/>
          </w:tcPr>
          <w:p w:rsidR="00E25CC6" w:rsidRPr="00410A55" w:rsidRDefault="00E25CC6" w:rsidP="00A57A8A">
            <w:pPr>
              <w:pStyle w:val="Tabletext"/>
              <w:ind w:left="227" w:hanging="227"/>
            </w:pPr>
            <w:r w:rsidRPr="00410A55">
              <w:t>Regulation of the Victorian Consumer Marketplace</w:t>
            </w:r>
          </w:p>
        </w:tc>
        <w:tc>
          <w:tcPr>
            <w:tcW w:w="850" w:type="dxa"/>
            <w:tcBorders>
              <w:top w:val="nil"/>
              <w:left w:val="nil"/>
              <w:bottom w:val="single" w:sz="6" w:space="0" w:color="auto"/>
              <w:right w:val="nil"/>
            </w:tcBorders>
            <w:shd w:val="clear" w:color="auto" w:fill="FFFFFF"/>
          </w:tcPr>
          <w:p w:rsidR="00E25CC6" w:rsidRPr="00410A55" w:rsidRDefault="00E25CC6" w:rsidP="00A57A8A">
            <w:pPr>
              <w:spacing w:after="0"/>
              <w:jc w:val="right"/>
              <w:rPr>
                <w:rFonts w:ascii="Calibri" w:hAnsi="Calibri" w:cstheme="minorHAnsi"/>
                <w:sz w:val="19"/>
              </w:rPr>
            </w:pPr>
            <w:r w:rsidRPr="00410A55">
              <w:rPr>
                <w:rFonts w:ascii="Calibri" w:hAnsi="Calibri" w:cstheme="minorHAnsi"/>
                <w:sz w:val="19"/>
              </w:rPr>
              <w:t>125.0</w:t>
            </w:r>
          </w:p>
        </w:tc>
        <w:tc>
          <w:tcPr>
            <w:tcW w:w="850" w:type="dxa"/>
            <w:tcBorders>
              <w:top w:val="nil"/>
              <w:left w:val="nil"/>
              <w:bottom w:val="single" w:sz="6" w:space="0" w:color="auto"/>
              <w:right w:val="nil"/>
            </w:tcBorders>
            <w:shd w:val="clear" w:color="auto" w:fill="FFFFFF"/>
          </w:tcPr>
          <w:p w:rsidR="00E25CC6" w:rsidRPr="00410A55" w:rsidRDefault="00E25CC6" w:rsidP="00A57A8A">
            <w:pPr>
              <w:pStyle w:val="TableofFigures"/>
              <w:rPr>
                <w:sz w:val="19"/>
              </w:rPr>
            </w:pPr>
            <w:r w:rsidRPr="00410A55">
              <w:rPr>
                <w:sz w:val="19"/>
              </w:rPr>
              <w:t>122.3</w:t>
            </w:r>
          </w:p>
        </w:tc>
        <w:tc>
          <w:tcPr>
            <w:tcW w:w="850" w:type="dxa"/>
            <w:tcBorders>
              <w:top w:val="nil"/>
              <w:left w:val="nil"/>
              <w:bottom w:val="single" w:sz="6" w:space="0" w:color="auto"/>
              <w:right w:val="nil"/>
            </w:tcBorders>
            <w:shd w:val="clear" w:color="auto" w:fill="FFFFFF"/>
          </w:tcPr>
          <w:p w:rsidR="00E25CC6" w:rsidRPr="00385BFE" w:rsidRDefault="00E25CC6" w:rsidP="00A57A8A">
            <w:pPr>
              <w:pStyle w:val="TableofFigures"/>
              <w:rPr>
                <w:sz w:val="19"/>
              </w:rPr>
            </w:pPr>
            <w:r w:rsidRPr="00385BFE">
              <w:rPr>
                <w:sz w:val="19"/>
              </w:rPr>
              <w:t>126.3</w:t>
            </w:r>
          </w:p>
        </w:tc>
        <w:tc>
          <w:tcPr>
            <w:tcW w:w="850" w:type="dxa"/>
            <w:tcBorders>
              <w:top w:val="nil"/>
              <w:left w:val="nil"/>
              <w:bottom w:val="single" w:sz="6" w:space="0" w:color="auto"/>
              <w:right w:val="nil"/>
            </w:tcBorders>
            <w:shd w:val="clear" w:color="auto" w:fill="FFFFFF"/>
          </w:tcPr>
          <w:p w:rsidR="00E25CC6" w:rsidRPr="00385BFE" w:rsidRDefault="00E25CC6" w:rsidP="00A57A8A">
            <w:pPr>
              <w:pStyle w:val="TableofFigures"/>
              <w:rPr>
                <w:sz w:val="19"/>
              </w:rPr>
            </w:pPr>
            <w:r w:rsidRPr="00385BFE">
              <w:rPr>
                <w:sz w:val="19"/>
              </w:rPr>
              <w:t>1.1</w:t>
            </w:r>
          </w:p>
        </w:tc>
      </w:tr>
      <w:tr w:rsidR="00E25CC6" w:rsidRPr="00410A55" w:rsidTr="00A57A8A">
        <w:trPr>
          <w:cantSplit/>
        </w:trPr>
        <w:tc>
          <w:tcPr>
            <w:tcW w:w="4365" w:type="dxa"/>
            <w:tcBorders>
              <w:top w:val="single" w:sz="6" w:space="0" w:color="auto"/>
              <w:left w:val="nil"/>
              <w:bottom w:val="single" w:sz="12" w:space="0" w:color="auto"/>
              <w:right w:val="nil"/>
            </w:tcBorders>
            <w:shd w:val="clear" w:color="auto" w:fill="FFFFFF"/>
          </w:tcPr>
          <w:p w:rsidR="00E25CC6" w:rsidRPr="00410A55" w:rsidRDefault="00E25CC6" w:rsidP="00A57A8A">
            <w:pPr>
              <w:pStyle w:val="Tabletext"/>
              <w:ind w:left="227" w:hanging="227"/>
              <w:rPr>
                <w:b/>
                <w:bCs/>
                <w:lang w:eastAsia="en-AU"/>
              </w:rPr>
            </w:pPr>
            <w:r w:rsidRPr="00410A55">
              <w:rPr>
                <w:b/>
                <w:bCs/>
                <w:lang w:eastAsia="en-AU"/>
              </w:rPr>
              <w:t>Total</w:t>
            </w:r>
          </w:p>
        </w:tc>
        <w:tc>
          <w:tcPr>
            <w:tcW w:w="850" w:type="dxa"/>
            <w:tcBorders>
              <w:top w:val="single" w:sz="6" w:space="0" w:color="auto"/>
              <w:left w:val="nil"/>
              <w:bottom w:val="single" w:sz="12" w:space="0" w:color="auto"/>
              <w:right w:val="nil"/>
            </w:tcBorders>
            <w:shd w:val="clear" w:color="auto" w:fill="FFFFFF"/>
          </w:tcPr>
          <w:p w:rsidR="00E25CC6" w:rsidRPr="00410A55" w:rsidRDefault="00E25CC6" w:rsidP="00A57A8A">
            <w:pPr>
              <w:spacing w:after="0"/>
              <w:jc w:val="right"/>
              <w:rPr>
                <w:rFonts w:ascii="Calibri" w:hAnsi="Calibri" w:cstheme="minorHAnsi"/>
                <w:b/>
                <w:bCs/>
                <w:sz w:val="19"/>
              </w:rPr>
            </w:pPr>
            <w:r w:rsidRPr="00410A55">
              <w:rPr>
                <w:rFonts w:ascii="Calibri" w:hAnsi="Calibri" w:cstheme="minorHAnsi"/>
                <w:b/>
                <w:bCs/>
                <w:sz w:val="19"/>
              </w:rPr>
              <w:t>5 578.2</w:t>
            </w:r>
          </w:p>
        </w:tc>
        <w:tc>
          <w:tcPr>
            <w:tcW w:w="850" w:type="dxa"/>
            <w:tcBorders>
              <w:top w:val="single" w:sz="6" w:space="0" w:color="auto"/>
              <w:left w:val="nil"/>
              <w:bottom w:val="single" w:sz="12" w:space="0" w:color="auto"/>
              <w:right w:val="nil"/>
            </w:tcBorders>
            <w:shd w:val="clear" w:color="auto" w:fill="FFFFFF"/>
          </w:tcPr>
          <w:p w:rsidR="00E25CC6" w:rsidRPr="00410A55" w:rsidRDefault="00E25CC6" w:rsidP="00A57A8A">
            <w:pPr>
              <w:pStyle w:val="TableofFigures"/>
              <w:rPr>
                <w:b/>
                <w:bCs/>
                <w:sz w:val="19"/>
                <w:szCs w:val="22"/>
                <w:lang w:eastAsia="en-AU"/>
              </w:rPr>
            </w:pPr>
            <w:r w:rsidRPr="00410A55">
              <w:rPr>
                <w:b/>
                <w:bCs/>
                <w:sz w:val="19"/>
                <w:szCs w:val="22"/>
                <w:lang w:eastAsia="en-AU"/>
              </w:rPr>
              <w:t>5 711.6</w:t>
            </w:r>
          </w:p>
        </w:tc>
        <w:tc>
          <w:tcPr>
            <w:tcW w:w="850" w:type="dxa"/>
            <w:tcBorders>
              <w:top w:val="single" w:sz="6" w:space="0" w:color="auto"/>
              <w:left w:val="nil"/>
              <w:bottom w:val="single" w:sz="12" w:space="0" w:color="auto"/>
              <w:right w:val="nil"/>
            </w:tcBorders>
            <w:shd w:val="clear" w:color="auto" w:fill="FFFFFF"/>
          </w:tcPr>
          <w:p w:rsidR="00E25CC6" w:rsidRPr="00385BFE" w:rsidRDefault="00E25CC6" w:rsidP="00410A55">
            <w:pPr>
              <w:pStyle w:val="TableofFigures"/>
              <w:rPr>
                <w:b/>
                <w:bCs/>
                <w:sz w:val="19"/>
                <w:szCs w:val="22"/>
                <w:lang w:eastAsia="en-AU"/>
              </w:rPr>
            </w:pPr>
            <w:r w:rsidRPr="00385BFE">
              <w:rPr>
                <w:b/>
                <w:bCs/>
                <w:sz w:val="19"/>
                <w:szCs w:val="22"/>
                <w:lang w:eastAsia="en-AU"/>
              </w:rPr>
              <w:t>6 043.0</w:t>
            </w:r>
          </w:p>
        </w:tc>
        <w:tc>
          <w:tcPr>
            <w:tcW w:w="850" w:type="dxa"/>
            <w:tcBorders>
              <w:top w:val="single" w:sz="6" w:space="0" w:color="auto"/>
              <w:left w:val="nil"/>
              <w:bottom w:val="single" w:sz="12" w:space="0" w:color="auto"/>
              <w:right w:val="nil"/>
            </w:tcBorders>
            <w:shd w:val="clear" w:color="auto" w:fill="FFFFFF"/>
          </w:tcPr>
          <w:p w:rsidR="00E25CC6" w:rsidRPr="00385BFE" w:rsidRDefault="00E25CC6" w:rsidP="00410A55">
            <w:pPr>
              <w:pStyle w:val="TableofFigures"/>
              <w:rPr>
                <w:b/>
                <w:bCs/>
                <w:sz w:val="19"/>
                <w:szCs w:val="22"/>
                <w:lang w:eastAsia="en-AU"/>
              </w:rPr>
            </w:pPr>
            <w:r w:rsidRPr="00385BFE">
              <w:rPr>
                <w:b/>
                <w:bCs/>
                <w:sz w:val="19"/>
                <w:szCs w:val="22"/>
                <w:lang w:eastAsia="en-AU"/>
              </w:rPr>
              <w:t xml:space="preserve">8.3 </w:t>
            </w:r>
          </w:p>
        </w:tc>
      </w:tr>
    </w:tbl>
    <w:p w:rsidR="00E25CC6" w:rsidRDefault="00E25CC6" w:rsidP="000F7FF7">
      <w:pPr>
        <w:pStyle w:val="Source"/>
        <w:rPr>
          <w:rFonts w:eastAsiaTheme="minorHAnsi"/>
        </w:rPr>
      </w:pPr>
      <w:r>
        <w:rPr>
          <w:rFonts w:eastAsiaTheme="minorHAnsi"/>
        </w:rPr>
        <w:t xml:space="preserve">Source: </w:t>
      </w:r>
      <w:r w:rsidRPr="001434B3">
        <w:rPr>
          <w:rFonts w:eastAsiaTheme="minorHAnsi"/>
        </w:rPr>
        <w:t>Department of Justice and Regulation</w:t>
      </w:r>
      <w:r>
        <w:rPr>
          <w:rFonts w:eastAsiaTheme="minorHAnsi"/>
        </w:rPr>
        <w:t xml:space="preserve"> </w:t>
      </w:r>
      <w:r>
        <w:rPr>
          <w:rFonts w:eastAsiaTheme="minorHAnsi"/>
        </w:rPr>
        <w:fldChar w:fldCharType="begin"/>
      </w:r>
      <w:r>
        <w:instrText xml:space="preserve"> XE "</w:instrText>
      </w:r>
      <w:r w:rsidRPr="007C3B90">
        <w:instrText>Department of Justice and Regulation:Output summary</w:instrText>
      </w:r>
      <w:r>
        <w:instrText xml:space="preserve">" </w:instrText>
      </w:r>
      <w:r>
        <w:rPr>
          <w:rFonts w:eastAsiaTheme="minorHAnsi"/>
        </w:rPr>
        <w:fldChar w:fldCharType="end"/>
      </w:r>
    </w:p>
    <w:p w:rsidR="00E25CC6" w:rsidRPr="00A57A8A" w:rsidRDefault="00E25CC6" w:rsidP="00A57A8A">
      <w:pPr>
        <w:pStyle w:val="Notes"/>
        <w:rPr>
          <w:rFonts w:eastAsiaTheme="minorHAnsi"/>
        </w:rPr>
      </w:pPr>
      <w:r w:rsidRPr="00A57A8A">
        <w:rPr>
          <w:rFonts w:eastAsiaTheme="minorHAnsi"/>
        </w:rPr>
        <w:t>Note</w:t>
      </w:r>
      <w:r>
        <w:rPr>
          <w:rFonts w:eastAsiaTheme="minorHAnsi"/>
        </w:rPr>
        <w:t>s</w:t>
      </w:r>
      <w:r w:rsidRPr="00A57A8A">
        <w:rPr>
          <w:rFonts w:eastAsiaTheme="minorHAnsi"/>
        </w:rPr>
        <w:t>:</w:t>
      </w:r>
    </w:p>
    <w:p w:rsidR="00E25CC6" w:rsidRPr="00A57A8A" w:rsidRDefault="00E25CC6" w:rsidP="00A57A8A">
      <w:pPr>
        <w:pStyle w:val="Notes"/>
        <w:rPr>
          <w:rFonts w:eastAsiaTheme="minorHAnsi"/>
        </w:rPr>
      </w:pPr>
      <w:r w:rsidRPr="00A57A8A">
        <w:rPr>
          <w:rFonts w:eastAsiaTheme="minorHAnsi"/>
        </w:rPr>
        <w:t>(a)</w:t>
      </w:r>
      <w:r w:rsidRPr="00A57A8A">
        <w:rPr>
          <w:rFonts w:eastAsiaTheme="minorHAnsi"/>
        </w:rPr>
        <w:tab/>
        <w:t>New output costs for 2016</w:t>
      </w:r>
      <w:r>
        <w:rPr>
          <w:rFonts w:eastAsiaTheme="minorHAnsi"/>
        </w:rPr>
        <w:noBreakHyphen/>
      </w:r>
      <w:r w:rsidRPr="00A57A8A">
        <w:rPr>
          <w:rFonts w:eastAsiaTheme="minorHAnsi"/>
        </w:rPr>
        <w:t>17 Policing Services and Crime Prevention, Public Prosecutions and Legal Assistance, Criminal Law Support and Reform, Victims and Community Support Services, Protection of Personal Identity and Individual / Community Rights, and Dispute Resolution and Civil Justice S</w:t>
      </w:r>
      <w:r>
        <w:rPr>
          <w:rFonts w:eastAsiaTheme="minorHAnsi"/>
        </w:rPr>
        <w:t>upport Services outputs reflect</w:t>
      </w:r>
      <w:r w:rsidRPr="00A57A8A">
        <w:rPr>
          <w:rFonts w:eastAsiaTheme="minorHAnsi"/>
        </w:rPr>
        <w:t xml:space="preserve"> a revised output structure introduced to improve departmental reporting and alignment between outputs and objectives. </w:t>
      </w:r>
      <w:r>
        <w:rPr>
          <w:rFonts w:eastAsiaTheme="minorHAnsi"/>
        </w:rPr>
        <w:t xml:space="preserve">The </w:t>
      </w:r>
      <w:r w:rsidRPr="00A57A8A">
        <w:rPr>
          <w:rFonts w:eastAsiaTheme="minorHAnsi"/>
        </w:rPr>
        <w:t>2015</w:t>
      </w:r>
      <w:r>
        <w:rPr>
          <w:rFonts w:eastAsiaTheme="minorHAnsi"/>
        </w:rPr>
        <w:noBreakHyphen/>
      </w:r>
      <w:r w:rsidRPr="00A57A8A">
        <w:rPr>
          <w:rFonts w:eastAsiaTheme="minorHAnsi"/>
        </w:rPr>
        <w:t xml:space="preserve">16 </w:t>
      </w:r>
      <w:r>
        <w:rPr>
          <w:rFonts w:eastAsiaTheme="minorHAnsi"/>
        </w:rPr>
        <w:t>b</w:t>
      </w:r>
      <w:r w:rsidRPr="00A57A8A">
        <w:rPr>
          <w:rFonts w:eastAsiaTheme="minorHAnsi"/>
        </w:rPr>
        <w:t>udget and 2015</w:t>
      </w:r>
      <w:r>
        <w:rPr>
          <w:rFonts w:eastAsiaTheme="minorHAnsi"/>
        </w:rPr>
        <w:noBreakHyphen/>
      </w:r>
      <w:r w:rsidRPr="00A57A8A">
        <w:rPr>
          <w:rFonts w:eastAsiaTheme="minorHAnsi"/>
        </w:rPr>
        <w:t>16 revised budget have been estimated based on a re</w:t>
      </w:r>
      <w:r>
        <w:rPr>
          <w:rFonts w:eastAsiaTheme="minorHAnsi"/>
        </w:rPr>
        <w:noBreakHyphen/>
      </w:r>
      <w:r w:rsidRPr="00A57A8A">
        <w:rPr>
          <w:rFonts w:eastAsiaTheme="minorHAnsi"/>
        </w:rPr>
        <w:t>mapping of historical output costs.</w:t>
      </w:r>
    </w:p>
    <w:p w:rsidR="00E25CC6" w:rsidRPr="00385BFE" w:rsidRDefault="00E25CC6" w:rsidP="00A57A8A">
      <w:pPr>
        <w:pStyle w:val="Notes"/>
        <w:rPr>
          <w:rFonts w:eastAsiaTheme="minorHAnsi"/>
        </w:rPr>
      </w:pPr>
      <w:r w:rsidRPr="00A57A8A">
        <w:rPr>
          <w:rFonts w:eastAsiaTheme="minorHAnsi"/>
        </w:rPr>
        <w:t>(b)</w:t>
      </w:r>
      <w:r w:rsidRPr="00A57A8A">
        <w:rPr>
          <w:rFonts w:eastAsiaTheme="minorHAnsi"/>
        </w:rPr>
        <w:tab/>
        <w:t>The higher 2016</w:t>
      </w:r>
      <w:r>
        <w:rPr>
          <w:rFonts w:eastAsiaTheme="minorHAnsi"/>
        </w:rPr>
        <w:noBreakHyphen/>
      </w:r>
      <w:r w:rsidRPr="00A57A8A">
        <w:rPr>
          <w:rFonts w:eastAsiaTheme="minorHAnsi"/>
        </w:rPr>
        <w:t xml:space="preserve">17 </w:t>
      </w:r>
      <w:r>
        <w:rPr>
          <w:rFonts w:eastAsiaTheme="minorHAnsi"/>
        </w:rPr>
        <w:t>target</w:t>
      </w:r>
      <w:r w:rsidRPr="00A57A8A">
        <w:rPr>
          <w:rFonts w:eastAsiaTheme="minorHAnsi"/>
        </w:rPr>
        <w:t xml:space="preserve"> is due to the incremental </w:t>
      </w:r>
      <w:r w:rsidRPr="00385BFE">
        <w:rPr>
          <w:rFonts w:eastAsiaTheme="minorHAnsi"/>
        </w:rPr>
        <w:t xml:space="preserve">indexation for frontline policing services, custody officers to manage prisoners in police cells and additional funding provided as part of the </w:t>
      </w:r>
      <w:r w:rsidRPr="00385BFE">
        <w:rPr>
          <w:rFonts w:eastAsiaTheme="minorHAnsi"/>
          <w:i w:val="0"/>
        </w:rPr>
        <w:t>2016</w:t>
      </w:r>
      <w:r w:rsidRPr="00385BFE">
        <w:rPr>
          <w:rFonts w:eastAsiaTheme="minorHAnsi"/>
          <w:i w:val="0"/>
        </w:rPr>
        <w:noBreakHyphen/>
        <w:t>17 Budget</w:t>
      </w:r>
      <w:r w:rsidRPr="00385BFE">
        <w:rPr>
          <w:rFonts w:eastAsiaTheme="minorHAnsi"/>
        </w:rPr>
        <w:t>, including</w:t>
      </w:r>
      <w:r>
        <w:rPr>
          <w:rFonts w:eastAsiaTheme="minorHAnsi"/>
        </w:rPr>
        <w:t xml:space="preserve"> funding</w:t>
      </w:r>
      <w:r w:rsidRPr="00385BFE">
        <w:rPr>
          <w:rFonts w:eastAsiaTheme="minorHAnsi"/>
        </w:rPr>
        <w:t xml:space="preserve"> for Public Safety </w:t>
      </w:r>
      <w:r>
        <w:rPr>
          <w:rFonts w:eastAsiaTheme="minorHAnsi"/>
        </w:rPr>
        <w:t xml:space="preserve">– Police </w:t>
      </w:r>
      <w:r w:rsidRPr="00385BFE">
        <w:rPr>
          <w:rFonts w:eastAsiaTheme="minorHAnsi"/>
        </w:rPr>
        <w:t>Response and</w:t>
      </w:r>
      <w:r>
        <w:rPr>
          <w:rFonts w:eastAsiaTheme="minorHAnsi"/>
        </w:rPr>
        <w:t xml:space="preserve"> S</w:t>
      </w:r>
      <w:r w:rsidRPr="00385BFE">
        <w:rPr>
          <w:rFonts w:eastAsiaTheme="minorHAnsi"/>
        </w:rPr>
        <w:t>trengthening Victoria Police</w:t>
      </w:r>
      <w:r>
        <w:rPr>
          <w:rFonts w:eastAsiaTheme="minorHAnsi"/>
        </w:rPr>
        <w:t>’</w:t>
      </w:r>
      <w:r w:rsidRPr="00385BFE">
        <w:rPr>
          <w:rFonts w:eastAsiaTheme="minorHAnsi"/>
        </w:rPr>
        <w:t>s</w:t>
      </w:r>
      <w:r>
        <w:rPr>
          <w:rFonts w:eastAsiaTheme="minorHAnsi"/>
        </w:rPr>
        <w:t xml:space="preserve"> Counter Terrorism Capacity and C</w:t>
      </w:r>
      <w:r w:rsidRPr="00385BFE">
        <w:rPr>
          <w:rFonts w:eastAsiaTheme="minorHAnsi"/>
        </w:rPr>
        <w:t>apability.</w:t>
      </w:r>
    </w:p>
    <w:p w:rsidR="00E25CC6" w:rsidRPr="00385BFE" w:rsidRDefault="00E25CC6" w:rsidP="00A57A8A">
      <w:pPr>
        <w:pStyle w:val="Notes"/>
        <w:rPr>
          <w:rFonts w:eastAsiaTheme="minorHAnsi"/>
        </w:rPr>
      </w:pPr>
      <w:r w:rsidRPr="00385BFE">
        <w:rPr>
          <w:rFonts w:eastAsiaTheme="minorHAnsi"/>
        </w:rPr>
        <w:t>(c)</w:t>
      </w:r>
      <w:r w:rsidRPr="00385BFE">
        <w:rPr>
          <w:rFonts w:eastAsiaTheme="minorHAnsi"/>
        </w:rPr>
        <w:tab/>
        <w:t>The higher 2016</w:t>
      </w:r>
      <w:r w:rsidRPr="00385BFE">
        <w:rPr>
          <w:rFonts w:eastAsiaTheme="minorHAnsi"/>
        </w:rPr>
        <w:noBreakHyphen/>
        <w:t xml:space="preserve">17 target </w:t>
      </w:r>
      <w:r>
        <w:rPr>
          <w:rFonts w:eastAsiaTheme="minorHAnsi"/>
        </w:rPr>
        <w:t xml:space="preserve">largely </w:t>
      </w:r>
      <w:r w:rsidRPr="00385BFE">
        <w:rPr>
          <w:rFonts w:eastAsiaTheme="minorHAnsi"/>
        </w:rPr>
        <w:t xml:space="preserve">reflects new funding for the Community Corrections – Contributing to a safer community </w:t>
      </w:r>
      <w:r>
        <w:rPr>
          <w:rFonts w:eastAsiaTheme="minorHAnsi"/>
        </w:rPr>
        <w:t xml:space="preserve">and Management of Serious Sex Offenders initiatives </w:t>
      </w:r>
      <w:r w:rsidRPr="00385BFE">
        <w:rPr>
          <w:rFonts w:eastAsiaTheme="minorHAnsi"/>
        </w:rPr>
        <w:t xml:space="preserve">announced in the </w:t>
      </w:r>
      <w:r w:rsidRPr="00385BFE">
        <w:rPr>
          <w:rFonts w:eastAsiaTheme="minorHAnsi"/>
          <w:i w:val="0"/>
        </w:rPr>
        <w:t>2016</w:t>
      </w:r>
      <w:r w:rsidRPr="00385BFE">
        <w:rPr>
          <w:rFonts w:eastAsiaTheme="minorHAnsi"/>
          <w:i w:val="0"/>
        </w:rPr>
        <w:noBreakHyphen/>
        <w:t>17 Budget</w:t>
      </w:r>
      <w:r w:rsidRPr="00385BFE">
        <w:rPr>
          <w:rFonts w:eastAsiaTheme="minorHAnsi"/>
        </w:rPr>
        <w:t>.</w:t>
      </w:r>
    </w:p>
    <w:p w:rsidR="00E25CC6" w:rsidRPr="00385BFE" w:rsidRDefault="00E25CC6" w:rsidP="00A57A8A">
      <w:pPr>
        <w:pStyle w:val="Notes"/>
        <w:rPr>
          <w:rFonts w:eastAsiaTheme="minorHAnsi"/>
        </w:rPr>
      </w:pPr>
      <w:r w:rsidRPr="00385BFE">
        <w:rPr>
          <w:rFonts w:eastAsiaTheme="minorHAnsi"/>
        </w:rPr>
        <w:t>(d)</w:t>
      </w:r>
      <w:r w:rsidRPr="00385BFE">
        <w:rPr>
          <w:rFonts w:eastAsiaTheme="minorHAnsi"/>
        </w:rPr>
        <w:tab/>
        <w:t>The higher 2016</w:t>
      </w:r>
      <w:r w:rsidRPr="00385BFE">
        <w:rPr>
          <w:rFonts w:eastAsiaTheme="minorHAnsi"/>
        </w:rPr>
        <w:noBreakHyphen/>
        <w:t xml:space="preserve">17 target reflects the increased funding under the National Partnership (NP) on Legal Assistance Services announced in the </w:t>
      </w:r>
      <w:r w:rsidRPr="00D17255">
        <w:rPr>
          <w:rFonts w:eastAsiaTheme="minorHAnsi"/>
          <w:i w:val="0"/>
        </w:rPr>
        <w:t>2015</w:t>
      </w:r>
      <w:r w:rsidRPr="00D17255">
        <w:rPr>
          <w:rFonts w:eastAsiaTheme="minorHAnsi"/>
          <w:i w:val="0"/>
        </w:rPr>
        <w:noBreakHyphen/>
        <w:t>16 Commonwealth Budget</w:t>
      </w:r>
      <w:r w:rsidRPr="00385BFE">
        <w:rPr>
          <w:rFonts w:eastAsiaTheme="minorHAnsi"/>
        </w:rPr>
        <w:t xml:space="preserve"> mainly for Community Legal Centres and incremental increases in prior year budget initiatives including Ending Violence Against Women and Children and Assessment and Referral Court (ARC).</w:t>
      </w:r>
    </w:p>
    <w:p w:rsidR="00E25CC6" w:rsidRPr="00385BFE" w:rsidRDefault="00E25CC6" w:rsidP="00F0266E">
      <w:pPr>
        <w:pStyle w:val="Notes"/>
        <w:rPr>
          <w:rFonts w:eastAsiaTheme="minorHAnsi"/>
        </w:rPr>
      </w:pPr>
      <w:r w:rsidRPr="00385BFE">
        <w:rPr>
          <w:rFonts w:eastAsiaTheme="minorHAnsi"/>
        </w:rPr>
        <w:t>(e)</w:t>
      </w:r>
      <w:r w:rsidRPr="00385BFE">
        <w:rPr>
          <w:rFonts w:eastAsiaTheme="minorHAnsi"/>
        </w:rPr>
        <w:tab/>
      </w:r>
      <w:r w:rsidRPr="00385BFE">
        <w:rPr>
          <w:rFonts w:eastAsiaTheme="minorEastAsia"/>
        </w:rPr>
        <w:t>The higher 2016</w:t>
      </w:r>
      <w:r w:rsidRPr="00385BFE">
        <w:rPr>
          <w:rFonts w:eastAsiaTheme="minorEastAsia"/>
        </w:rPr>
        <w:noBreakHyphen/>
        <w:t xml:space="preserve">17 target is due to Family </w:t>
      </w:r>
      <w:r>
        <w:rPr>
          <w:rFonts w:eastAsiaTheme="minorEastAsia"/>
        </w:rPr>
        <w:t>v</w:t>
      </w:r>
      <w:r w:rsidRPr="00385BFE">
        <w:rPr>
          <w:rFonts w:eastAsiaTheme="minorEastAsia"/>
        </w:rPr>
        <w:t>iolence</w:t>
      </w:r>
      <w:r>
        <w:rPr>
          <w:rFonts w:eastAsiaTheme="minorEastAsia"/>
        </w:rPr>
        <w:t xml:space="preserve"> l</w:t>
      </w:r>
      <w:r w:rsidRPr="00385BFE">
        <w:rPr>
          <w:rFonts w:eastAsiaTheme="minorEastAsia"/>
        </w:rPr>
        <w:t xml:space="preserve">egal </w:t>
      </w:r>
      <w:r>
        <w:rPr>
          <w:rFonts w:eastAsiaTheme="minorEastAsia"/>
        </w:rPr>
        <w:t>a</w:t>
      </w:r>
      <w:r w:rsidRPr="00385BFE">
        <w:rPr>
          <w:rFonts w:eastAsiaTheme="minorEastAsia"/>
        </w:rPr>
        <w:t xml:space="preserve">ssistance funding announced in the </w:t>
      </w:r>
      <w:r w:rsidRPr="00385BFE">
        <w:rPr>
          <w:rFonts w:eastAsiaTheme="minorEastAsia"/>
          <w:i w:val="0"/>
        </w:rPr>
        <w:t>2016</w:t>
      </w:r>
      <w:r w:rsidRPr="00385BFE">
        <w:rPr>
          <w:rFonts w:eastAsiaTheme="minorEastAsia"/>
          <w:i w:val="0"/>
        </w:rPr>
        <w:noBreakHyphen/>
        <w:t>17 Budget</w:t>
      </w:r>
      <w:r w:rsidRPr="00385BFE">
        <w:rPr>
          <w:rFonts w:eastAsiaTheme="minorEastAsia"/>
        </w:rPr>
        <w:t xml:space="preserve">. </w:t>
      </w:r>
    </w:p>
    <w:p w:rsidR="00E25CC6" w:rsidRPr="00385BFE" w:rsidRDefault="00E25CC6" w:rsidP="00F0266E">
      <w:pPr>
        <w:pStyle w:val="Notes"/>
        <w:rPr>
          <w:rFonts w:eastAsiaTheme="minorHAnsi"/>
        </w:rPr>
      </w:pPr>
      <w:r w:rsidRPr="00385BFE">
        <w:rPr>
          <w:rFonts w:eastAsiaTheme="minorHAnsi"/>
        </w:rPr>
        <w:t>(f)</w:t>
      </w:r>
      <w:r w:rsidRPr="00385BFE">
        <w:rPr>
          <w:rFonts w:eastAsiaTheme="minorHAnsi"/>
        </w:rPr>
        <w:tab/>
      </w:r>
      <w:r w:rsidRPr="00385BFE">
        <w:rPr>
          <w:rFonts w:eastAsiaTheme="minorEastAsia"/>
        </w:rPr>
        <w:t>The higher 2016</w:t>
      </w:r>
      <w:r w:rsidRPr="00385BFE">
        <w:rPr>
          <w:rFonts w:eastAsiaTheme="minorEastAsia"/>
        </w:rPr>
        <w:noBreakHyphen/>
        <w:t>17 target is due to new funding for the Koori</w:t>
      </w:r>
      <w:r w:rsidRPr="00596DDE">
        <w:rPr>
          <w:rFonts w:eastAsiaTheme="minorEastAsia"/>
        </w:rPr>
        <w:t>e</w:t>
      </w:r>
      <w:r w:rsidRPr="00385BFE">
        <w:rPr>
          <w:rFonts w:eastAsiaTheme="minorEastAsia"/>
        </w:rPr>
        <w:t xml:space="preserve"> women</w:t>
      </w:r>
      <w:r>
        <w:rPr>
          <w:rFonts w:eastAsiaTheme="minorEastAsia"/>
        </w:rPr>
        <w:t>’</w:t>
      </w:r>
      <w:r w:rsidRPr="00385BFE">
        <w:rPr>
          <w:rFonts w:eastAsiaTheme="minorEastAsia"/>
        </w:rPr>
        <w:t>s diversion program</w:t>
      </w:r>
      <w:r>
        <w:rPr>
          <w:rFonts w:eastAsiaTheme="minorEastAsia"/>
        </w:rPr>
        <w:t>s</w:t>
      </w:r>
      <w:r w:rsidRPr="00385BFE">
        <w:rPr>
          <w:rFonts w:eastAsiaTheme="minorEastAsia"/>
        </w:rPr>
        <w:t xml:space="preserve"> and Enhancing awareness and early intervention</w:t>
      </w:r>
      <w:r>
        <w:rPr>
          <w:rFonts w:eastAsiaTheme="minorEastAsia"/>
        </w:rPr>
        <w:t>.</w:t>
      </w:r>
      <w:r w:rsidRPr="00385BFE">
        <w:rPr>
          <w:rFonts w:eastAsiaTheme="minorEastAsia"/>
        </w:rPr>
        <w:t xml:space="preserve"> In addition, reprioritisation of funding from the Infringements and Warrants output to meet increased demand for Working with Children Checks, increased costs within the Victorian Institute of Forensic Medicine funded from external fees and charges and an increase in Capital Asset Charge associated with the State Coronial Services Centre redevelopment </w:t>
      </w:r>
      <w:r>
        <w:rPr>
          <w:rFonts w:eastAsiaTheme="minorEastAsia"/>
        </w:rPr>
        <w:t>also contribute</w:t>
      </w:r>
      <w:r w:rsidRPr="00385BFE">
        <w:rPr>
          <w:rFonts w:eastAsiaTheme="minorEastAsia"/>
        </w:rPr>
        <w:t xml:space="preserve"> to the increase in the 2016</w:t>
      </w:r>
      <w:r w:rsidRPr="00385BFE">
        <w:rPr>
          <w:rFonts w:eastAsiaTheme="minorEastAsia"/>
        </w:rPr>
        <w:noBreakHyphen/>
        <w:t>17 target.</w:t>
      </w:r>
    </w:p>
    <w:p w:rsidR="00E25CC6" w:rsidRDefault="00E25CC6" w:rsidP="00A57A8A">
      <w:pPr>
        <w:pStyle w:val="Notes"/>
        <w:rPr>
          <w:rFonts w:eastAsiaTheme="minorHAnsi"/>
        </w:rPr>
      </w:pPr>
      <w:r w:rsidRPr="00410A55">
        <w:rPr>
          <w:rFonts w:eastAsiaTheme="minorHAnsi"/>
        </w:rPr>
        <w:t>(g)</w:t>
      </w:r>
      <w:r w:rsidRPr="00410A55">
        <w:rPr>
          <w:rFonts w:eastAsiaTheme="minorHAnsi"/>
        </w:rPr>
        <w:tab/>
        <w:t>The higher 2016</w:t>
      </w:r>
      <w:r w:rsidRPr="00410A55">
        <w:rPr>
          <w:rFonts w:eastAsiaTheme="minorHAnsi"/>
        </w:rPr>
        <w:noBreakHyphen/>
        <w:t xml:space="preserve">17 target reflects funds transferred from other outputs for support payments made under the </w:t>
      </w:r>
      <w:r w:rsidRPr="00410A55">
        <w:rPr>
          <w:rFonts w:eastAsiaTheme="minorHAnsi"/>
          <w:i w:val="0"/>
        </w:rPr>
        <w:t>Wrongs Act 1958</w:t>
      </w:r>
      <w:r w:rsidRPr="00410A55">
        <w:rPr>
          <w:rFonts w:eastAsiaTheme="minorHAnsi"/>
        </w:rPr>
        <w:t>, funding for reorganisation costs within the Victorian Equal Opportunity and Human Rights Commission and additional funding to meet increased demand within the Registry of Births, Deaths and Marriages.</w:t>
      </w:r>
    </w:p>
    <w:p w:rsidR="00E25CC6" w:rsidRPr="00DD63BE" w:rsidRDefault="00E25CC6" w:rsidP="00BB6900">
      <w:pPr>
        <w:pStyle w:val="Notes"/>
        <w:rPr>
          <w:rFonts w:eastAsiaTheme="minorHAnsi"/>
        </w:rPr>
      </w:pPr>
      <w:r>
        <w:rPr>
          <w:rFonts w:eastAsiaTheme="minorHAnsi"/>
        </w:rPr>
        <w:t>(h)</w:t>
      </w:r>
      <w:r>
        <w:rPr>
          <w:rFonts w:eastAsiaTheme="minorHAnsi"/>
        </w:rPr>
        <w:tab/>
      </w:r>
      <w:r w:rsidRPr="00A46482">
        <w:rPr>
          <w:rFonts w:eastAsiaTheme="minorHAnsi"/>
        </w:rPr>
        <w:t>The lower 2016</w:t>
      </w:r>
      <w:r>
        <w:rPr>
          <w:rFonts w:eastAsiaTheme="minorHAnsi"/>
        </w:rPr>
        <w:noBreakHyphen/>
      </w:r>
      <w:r w:rsidRPr="00A46482">
        <w:rPr>
          <w:rFonts w:eastAsiaTheme="minorHAnsi"/>
        </w:rPr>
        <w:t xml:space="preserve">17 target is due to efficiencies and savings achieved in </w:t>
      </w:r>
      <w:r w:rsidRPr="00DD63BE">
        <w:rPr>
          <w:rFonts w:eastAsiaTheme="minorHAnsi"/>
        </w:rPr>
        <w:t>corporate non service delivery areas.</w:t>
      </w:r>
    </w:p>
    <w:p w:rsidR="00E25CC6" w:rsidRPr="00410A55" w:rsidRDefault="00E25CC6" w:rsidP="00A57A8A">
      <w:pPr>
        <w:pStyle w:val="Notes"/>
        <w:rPr>
          <w:rFonts w:eastAsiaTheme="minorHAnsi"/>
        </w:rPr>
      </w:pPr>
      <w:r w:rsidRPr="00DD63BE">
        <w:rPr>
          <w:rFonts w:eastAsiaTheme="minorHAnsi"/>
        </w:rPr>
        <w:t>(i)</w:t>
      </w:r>
      <w:r w:rsidRPr="00DD63BE">
        <w:rPr>
          <w:rFonts w:eastAsiaTheme="minorHAnsi"/>
        </w:rPr>
        <w:tab/>
        <w:t>The higher 2016</w:t>
      </w:r>
      <w:r w:rsidRPr="00DD63BE">
        <w:rPr>
          <w:rFonts w:eastAsiaTheme="minorHAnsi"/>
        </w:rPr>
        <w:noBreakHyphen/>
        <w:t xml:space="preserve">17 target reflects new funding announced in the </w:t>
      </w:r>
      <w:r w:rsidRPr="00DD63BE">
        <w:rPr>
          <w:rFonts w:eastAsiaTheme="minorHAnsi"/>
          <w:i w:val="0"/>
        </w:rPr>
        <w:t>2016</w:t>
      </w:r>
      <w:r w:rsidRPr="00DD63BE">
        <w:rPr>
          <w:rFonts w:eastAsiaTheme="minorHAnsi"/>
          <w:i w:val="0"/>
        </w:rPr>
        <w:noBreakHyphen/>
        <w:t xml:space="preserve">17 Budget </w:t>
      </w:r>
      <w:r w:rsidRPr="00DD63BE">
        <w:rPr>
          <w:rFonts w:eastAsiaTheme="minorHAnsi"/>
        </w:rPr>
        <w:t>including Emergency Services Telecommunications Authority (ESTA) – growth funding</w:t>
      </w:r>
      <w:r>
        <w:rPr>
          <w:rFonts w:eastAsiaTheme="minorHAnsi"/>
        </w:rPr>
        <w:t>,</w:t>
      </w:r>
      <w:r w:rsidRPr="00DD63BE">
        <w:rPr>
          <w:rFonts w:eastAsiaTheme="minorHAnsi"/>
        </w:rPr>
        <w:t xml:space="preserve"> and Fiskville and Regional Victorian</w:t>
      </w:r>
      <w:r w:rsidRPr="00410A55">
        <w:rPr>
          <w:rFonts w:eastAsiaTheme="minorHAnsi"/>
        </w:rPr>
        <w:t xml:space="preserve"> Emergency Management Training Centres Remediation</w:t>
      </w:r>
      <w:r>
        <w:rPr>
          <w:rFonts w:eastAsiaTheme="minorHAnsi"/>
        </w:rPr>
        <w:t>, and incremental funding for additional firefighters.</w:t>
      </w:r>
    </w:p>
    <w:p w:rsidR="00E25CC6" w:rsidRDefault="00E25CC6" w:rsidP="00A57A8A">
      <w:pPr>
        <w:pStyle w:val="Notes"/>
        <w:rPr>
          <w:rFonts w:eastAsiaTheme="minorHAnsi"/>
        </w:rPr>
      </w:pPr>
      <w:r w:rsidRPr="00410A55">
        <w:rPr>
          <w:rFonts w:eastAsiaTheme="minorHAnsi"/>
        </w:rPr>
        <w:t>(</w:t>
      </w:r>
      <w:r>
        <w:rPr>
          <w:rFonts w:eastAsiaTheme="minorHAnsi"/>
        </w:rPr>
        <w:t>j</w:t>
      </w:r>
      <w:r w:rsidRPr="00410A55">
        <w:rPr>
          <w:rFonts w:eastAsiaTheme="minorHAnsi"/>
        </w:rPr>
        <w:t>)</w:t>
      </w:r>
      <w:r w:rsidRPr="00410A55">
        <w:rPr>
          <w:rFonts w:eastAsiaTheme="minorHAnsi"/>
        </w:rPr>
        <w:tab/>
        <w:t>The lower 2016</w:t>
      </w:r>
      <w:r w:rsidRPr="00410A55">
        <w:rPr>
          <w:rFonts w:eastAsiaTheme="minorHAnsi"/>
        </w:rPr>
        <w:noBreakHyphen/>
        <w:t>17 target reflects a rephasing of funds to align with the expected timing of racing grants.</w:t>
      </w:r>
    </w:p>
    <w:p w:rsidR="00E25CC6" w:rsidRDefault="00E25CC6" w:rsidP="00A57A8A">
      <w:pPr>
        <w:pStyle w:val="Notes"/>
        <w:rPr>
          <w:rFonts w:eastAsiaTheme="minorHAnsi"/>
        </w:rPr>
      </w:pPr>
    </w:p>
    <w:p w:rsidR="00E25CC6" w:rsidRDefault="00E25CC6" w:rsidP="00A10FFE">
      <w:pPr>
        <w:pStyle w:val="Heading2"/>
        <w:rPr>
          <w:rFonts w:eastAsiaTheme="minorHAnsi"/>
        </w:rPr>
      </w:pPr>
      <w:r>
        <w:rPr>
          <w:rFonts w:eastAsiaTheme="minorHAnsi"/>
        </w:rPr>
        <w:t>Amounts available</w:t>
      </w:r>
    </w:p>
    <w:p w:rsidR="00E25CC6" w:rsidRDefault="00E25CC6" w:rsidP="00E6733E">
      <w:pPr>
        <w:rPr>
          <w:rFonts w:eastAsiaTheme="minorHAnsi"/>
        </w:rPr>
      </w:pPr>
      <w:r>
        <w:rPr>
          <w:rFonts w:eastAsiaTheme="minorHAnsi"/>
        </w:rPr>
        <w:t>The following tables detail the amounts available to the Department from Parliamentary authority and income generated through transactions.</w:t>
      </w:r>
    </w:p>
    <w:p w:rsidR="00E25CC6" w:rsidRDefault="00E25CC6" w:rsidP="00E6733E">
      <w:pPr>
        <w:rPr>
          <w:rFonts w:eastAsiaTheme="minorHAnsi"/>
        </w:rPr>
      </w:pPr>
      <w:r>
        <w:rPr>
          <w:rFonts w:eastAsiaTheme="minorHAnsi"/>
        </w:rPr>
        <w:t>Table 2.15 outlines the Department’s income from transactions and 2.16 summarises the sources of Parliamentary authority available to the Department to fund the provision of outputs, additions to the net asset base and payments made on behalf of the State.</w:t>
      </w:r>
    </w:p>
    <w:p w:rsidR="00E25CC6" w:rsidRPr="00E6733E" w:rsidRDefault="00E25CC6" w:rsidP="00233597">
      <w:pPr>
        <w:pStyle w:val="Source"/>
        <w:rPr>
          <w:rFonts w:eastAsiaTheme="minorHAnsi"/>
        </w:rPr>
      </w:pPr>
    </w:p>
    <w:p w:rsidR="00E25CC6" w:rsidRDefault="00E25CC6" w:rsidP="00A10FFE">
      <w:pPr>
        <w:pStyle w:val="Tableheading"/>
        <w:rPr>
          <w:rFonts w:eastAsiaTheme="minorHAnsi"/>
        </w:rPr>
      </w:pPr>
      <w:r>
        <w:rPr>
          <w:rFonts w:eastAsiaTheme="minorHAnsi"/>
        </w:rPr>
        <w:t>Table 2.15:</w:t>
      </w:r>
      <w:r>
        <w:rPr>
          <w:rFonts w:eastAsiaTheme="minorHAnsi"/>
        </w:rPr>
        <w:tab/>
        <w:t>Income from transactions</w:t>
      </w:r>
    </w:p>
    <w:p w:rsidR="00E25CC6" w:rsidRPr="00DD729A" w:rsidRDefault="00E25CC6" w:rsidP="00DD729A">
      <w:pPr>
        <w:pStyle w:val="million"/>
        <w:rPr>
          <w:rFonts w:eastAsiaTheme="minorHAnsi"/>
          <w:b/>
          <w:bCs/>
          <w:sz w:val="22"/>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DD729A" w:rsidTr="00DD729A">
        <w:tc>
          <w:tcPr>
            <w:tcW w:w="4365" w:type="dxa"/>
            <w:tcBorders>
              <w:top w:val="nil"/>
              <w:left w:val="nil"/>
              <w:bottom w:val="nil"/>
              <w:right w:val="nil"/>
            </w:tcBorders>
            <w:shd w:val="solid" w:color="000000" w:fill="auto"/>
          </w:tcPr>
          <w:p w:rsidR="00E25CC6" w:rsidRPr="00DD729A" w:rsidRDefault="00E25CC6" w:rsidP="00DD729A">
            <w:pPr>
              <w:pStyle w:val="Tableheading"/>
              <w:spacing w:before="0" w:after="0"/>
              <w:rPr>
                <w:rFonts w:eastAsiaTheme="minorEastAsia" w:cs="Calibri"/>
                <w:i/>
                <w:iCs/>
                <w:color w:val="FFFFFF"/>
                <w:sz w:val="19"/>
                <w:szCs w:val="19"/>
                <w:lang w:eastAsia="en-AU"/>
              </w:rPr>
            </w:pPr>
            <w:r w:rsidRPr="00DD729A">
              <w:rPr>
                <w:rFonts w:eastAsiaTheme="minorEastAsia"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2016-17</w:t>
            </w:r>
          </w:p>
        </w:tc>
      </w:tr>
      <w:tr w:rsidR="00E25CC6" w:rsidRPr="00DD729A" w:rsidTr="00DD729A">
        <w:tc>
          <w:tcPr>
            <w:tcW w:w="4365" w:type="dxa"/>
            <w:tcBorders>
              <w:top w:val="nil"/>
              <w:left w:val="nil"/>
              <w:right w:val="nil"/>
            </w:tcBorders>
            <w:shd w:val="solid" w:color="000000" w:fill="auto"/>
          </w:tcPr>
          <w:p w:rsidR="00E25CC6" w:rsidRPr="00DD729A" w:rsidRDefault="00E25CC6" w:rsidP="00DD729A">
            <w:pPr>
              <w:autoSpaceDE w:val="0"/>
              <w:autoSpaceDN w:val="0"/>
              <w:adjustRightInd w:val="0"/>
              <w:spacing w:after="0"/>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vertAlign w:val="superscript"/>
                <w:lang w:eastAsia="en-AU"/>
              </w:rPr>
            </w:pPr>
            <w:r w:rsidRPr="00DD729A">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color w:val="FFFFFF"/>
                <w:sz w:val="19"/>
                <w:szCs w:val="19"/>
                <w:lang w:eastAsia="en-AU"/>
              </w:rPr>
            </w:pPr>
            <w:r w:rsidRPr="00DD729A">
              <w:rPr>
                <w:rFonts w:ascii="Calibri" w:eastAsiaTheme="minorEastAsia" w:hAnsi="Calibri" w:cs="Calibri"/>
                <w:i/>
                <w:iCs/>
                <w:color w:val="FFFFFF"/>
                <w:sz w:val="19"/>
                <w:szCs w:val="19"/>
                <w:lang w:eastAsia="en-AU"/>
              </w:rPr>
              <w:t>budget</w:t>
            </w:r>
          </w:p>
        </w:tc>
      </w:tr>
      <w:tr w:rsidR="00E25CC6" w:rsidRPr="00DD729A" w:rsidTr="00DD729A">
        <w:tc>
          <w:tcPr>
            <w:tcW w:w="4365" w:type="dxa"/>
            <w:tcBorders>
              <w:top w:val="nil"/>
              <w:left w:val="nil"/>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5 130.0</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5 428.2</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5 536.1</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5 874.6</w:t>
            </w:r>
          </w:p>
        </w:tc>
      </w:tr>
      <w:tr w:rsidR="00E25CC6" w:rsidRPr="00DD729A" w:rsidTr="00DD729A">
        <w:tc>
          <w:tcPr>
            <w:tcW w:w="4365" w:type="dxa"/>
            <w:tcBorders>
              <w:top w:val="nil"/>
              <w:left w:val="nil"/>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49.2</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1.4</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2.7</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1.4</w:t>
            </w:r>
          </w:p>
        </w:tc>
      </w:tr>
      <w:tr w:rsidR="00E25CC6" w:rsidRPr="00DD729A" w:rsidTr="00DD729A">
        <w:tc>
          <w:tcPr>
            <w:tcW w:w="4365" w:type="dxa"/>
            <w:tcBorders>
              <w:top w:val="nil"/>
              <w:left w:val="nil"/>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Interest</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62.2</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71.8</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52.7</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60.3</w:t>
            </w:r>
          </w:p>
        </w:tc>
      </w:tr>
      <w:tr w:rsidR="00E25CC6" w:rsidRPr="00DD729A" w:rsidTr="00DD729A">
        <w:tc>
          <w:tcPr>
            <w:tcW w:w="4365" w:type="dxa"/>
            <w:tcBorders>
              <w:top w:val="nil"/>
              <w:left w:val="nil"/>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18.8</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17.5</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19.3</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20.2</w:t>
            </w:r>
          </w:p>
        </w:tc>
      </w:tr>
      <w:tr w:rsidR="00E25CC6" w:rsidRPr="00DD729A" w:rsidTr="00DD729A">
        <w:tc>
          <w:tcPr>
            <w:tcW w:w="4365" w:type="dxa"/>
            <w:tcBorders>
              <w:top w:val="nil"/>
              <w:left w:val="nil"/>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Grants</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58.3</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54.9</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55.4</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71.4</w:t>
            </w:r>
          </w:p>
        </w:tc>
      </w:tr>
      <w:tr w:rsidR="00E25CC6" w:rsidRPr="00DD729A" w:rsidTr="00DD729A">
        <w:tc>
          <w:tcPr>
            <w:tcW w:w="4365" w:type="dxa"/>
            <w:tcBorders>
              <w:top w:val="nil"/>
              <w:left w:val="nil"/>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Fair value of assets and services received free of charge or for nominal consideration</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8.7</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w:t>
            </w:r>
          </w:p>
        </w:tc>
      </w:tr>
      <w:tr w:rsidR="00E25CC6" w:rsidRPr="00DD729A" w:rsidTr="00DD729A">
        <w:tc>
          <w:tcPr>
            <w:tcW w:w="4365" w:type="dxa"/>
            <w:tcBorders>
              <w:top w:val="nil"/>
              <w:left w:val="nil"/>
              <w:bottom w:val="single" w:sz="6" w:space="0" w:color="auto"/>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Other income</w:t>
            </w:r>
          </w:p>
        </w:tc>
        <w:tc>
          <w:tcPr>
            <w:tcW w:w="850" w:type="dxa"/>
            <w:tcBorders>
              <w:top w:val="nil"/>
              <w:left w:val="nil"/>
              <w:bottom w:val="single" w:sz="6"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37.3</w:t>
            </w:r>
          </w:p>
        </w:tc>
        <w:tc>
          <w:tcPr>
            <w:tcW w:w="850" w:type="dxa"/>
            <w:tcBorders>
              <w:top w:val="nil"/>
              <w:left w:val="nil"/>
              <w:bottom w:val="single" w:sz="6"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22.6</w:t>
            </w:r>
          </w:p>
        </w:tc>
        <w:tc>
          <w:tcPr>
            <w:tcW w:w="850" w:type="dxa"/>
            <w:tcBorders>
              <w:top w:val="nil"/>
              <w:left w:val="nil"/>
              <w:bottom w:val="single" w:sz="6"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33.6</w:t>
            </w:r>
          </w:p>
        </w:tc>
        <w:tc>
          <w:tcPr>
            <w:tcW w:w="850" w:type="dxa"/>
            <w:tcBorders>
              <w:top w:val="nil"/>
              <w:left w:val="nil"/>
              <w:bottom w:val="single" w:sz="6"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color w:val="000000"/>
                <w:sz w:val="19"/>
                <w:szCs w:val="19"/>
                <w:lang w:eastAsia="en-AU"/>
              </w:rPr>
            </w:pPr>
            <w:r w:rsidRPr="00DD729A">
              <w:rPr>
                <w:rFonts w:ascii="Calibri" w:eastAsiaTheme="minorEastAsia" w:hAnsi="Calibri" w:cs="Calibri"/>
                <w:color w:val="000000"/>
                <w:sz w:val="19"/>
                <w:szCs w:val="19"/>
                <w:lang w:eastAsia="en-AU"/>
              </w:rPr>
              <w:t xml:space="preserve"> 25.2</w:t>
            </w:r>
          </w:p>
        </w:tc>
      </w:tr>
      <w:tr w:rsidR="00E25CC6" w:rsidRPr="00DD729A" w:rsidTr="00DD729A">
        <w:tc>
          <w:tcPr>
            <w:tcW w:w="4365" w:type="dxa"/>
            <w:tcBorders>
              <w:top w:val="single" w:sz="6" w:space="0" w:color="auto"/>
              <w:left w:val="nil"/>
              <w:bottom w:val="single" w:sz="12" w:space="0" w:color="auto"/>
              <w:right w:val="nil"/>
            </w:tcBorders>
            <w:shd w:val="clear" w:color="auto"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D729A">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b/>
                <w:bCs/>
                <w:color w:val="000000"/>
                <w:sz w:val="19"/>
                <w:szCs w:val="19"/>
                <w:lang w:eastAsia="en-AU"/>
              </w:rPr>
            </w:pPr>
            <w:r w:rsidRPr="00DD729A">
              <w:rPr>
                <w:rFonts w:ascii="Calibri" w:eastAsiaTheme="minorEastAsia" w:hAnsi="Calibri" w:cs="Calibri"/>
                <w:b/>
                <w:bCs/>
                <w:color w:val="000000"/>
                <w:sz w:val="19"/>
                <w:szCs w:val="19"/>
                <w:lang w:eastAsia="en-AU"/>
              </w:rPr>
              <w:t>5 364.5</w:t>
            </w:r>
          </w:p>
        </w:tc>
        <w:tc>
          <w:tcPr>
            <w:tcW w:w="850" w:type="dxa"/>
            <w:tcBorders>
              <w:top w:val="single" w:sz="6" w:space="0" w:color="auto"/>
              <w:left w:val="nil"/>
              <w:bottom w:val="single" w:sz="12"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b/>
                <w:bCs/>
                <w:color w:val="000000"/>
                <w:sz w:val="19"/>
                <w:szCs w:val="19"/>
                <w:lang w:eastAsia="en-AU"/>
              </w:rPr>
            </w:pPr>
            <w:r w:rsidRPr="00DD729A">
              <w:rPr>
                <w:rFonts w:ascii="Calibri" w:eastAsiaTheme="minorEastAsia" w:hAnsi="Calibri" w:cs="Calibri"/>
                <w:b/>
                <w:bCs/>
                <w:color w:val="000000"/>
                <w:sz w:val="19"/>
                <w:szCs w:val="19"/>
                <w:lang w:eastAsia="en-AU"/>
              </w:rPr>
              <w:t>5 596.4</w:t>
            </w:r>
          </w:p>
        </w:tc>
        <w:tc>
          <w:tcPr>
            <w:tcW w:w="850" w:type="dxa"/>
            <w:tcBorders>
              <w:top w:val="single" w:sz="6" w:space="0" w:color="auto"/>
              <w:left w:val="nil"/>
              <w:bottom w:val="single" w:sz="12"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b/>
                <w:bCs/>
                <w:color w:val="000000"/>
                <w:sz w:val="19"/>
                <w:szCs w:val="19"/>
                <w:lang w:eastAsia="en-AU"/>
              </w:rPr>
            </w:pPr>
            <w:r w:rsidRPr="00DD729A">
              <w:rPr>
                <w:rFonts w:ascii="Calibri" w:eastAsiaTheme="minorEastAsia" w:hAnsi="Calibri" w:cs="Calibri"/>
                <w:b/>
                <w:bCs/>
                <w:color w:val="000000"/>
                <w:sz w:val="19"/>
                <w:szCs w:val="19"/>
                <w:lang w:eastAsia="en-AU"/>
              </w:rPr>
              <w:t>5 699.8</w:t>
            </w:r>
          </w:p>
        </w:tc>
        <w:tc>
          <w:tcPr>
            <w:tcW w:w="850" w:type="dxa"/>
            <w:tcBorders>
              <w:top w:val="single" w:sz="6" w:space="0" w:color="auto"/>
              <w:left w:val="nil"/>
              <w:bottom w:val="single" w:sz="12" w:space="0" w:color="auto"/>
              <w:right w:val="nil"/>
            </w:tcBorders>
            <w:shd w:val="clear" w:color="auto" w:fill="FFFFFF"/>
          </w:tcPr>
          <w:p w:rsidR="00E25CC6" w:rsidRPr="00DD729A" w:rsidRDefault="00E25CC6" w:rsidP="00DD729A">
            <w:pPr>
              <w:autoSpaceDE w:val="0"/>
              <w:autoSpaceDN w:val="0"/>
              <w:adjustRightInd w:val="0"/>
              <w:spacing w:after="0"/>
              <w:jc w:val="right"/>
              <w:rPr>
                <w:rFonts w:ascii="Calibri" w:eastAsiaTheme="minorEastAsia" w:hAnsi="Calibri" w:cs="Calibri"/>
                <w:b/>
                <w:bCs/>
                <w:color w:val="000000"/>
                <w:sz w:val="19"/>
                <w:szCs w:val="19"/>
                <w:lang w:eastAsia="en-AU"/>
              </w:rPr>
            </w:pPr>
            <w:r w:rsidRPr="00DD729A">
              <w:rPr>
                <w:rFonts w:ascii="Calibri" w:eastAsiaTheme="minorEastAsia" w:hAnsi="Calibri" w:cs="Calibri"/>
                <w:b/>
                <w:bCs/>
                <w:color w:val="000000"/>
                <w:sz w:val="19"/>
                <w:szCs w:val="19"/>
                <w:lang w:eastAsia="en-AU"/>
              </w:rPr>
              <w:t>6 053.2</w:t>
            </w:r>
          </w:p>
        </w:tc>
      </w:tr>
    </w:tbl>
    <w:p w:rsidR="00E25CC6" w:rsidRPr="001434B3" w:rsidRDefault="00E25CC6" w:rsidP="00193675">
      <w:pPr>
        <w:pStyle w:val="Source"/>
        <w:rPr>
          <w:rFonts w:eastAsiaTheme="minorHAnsi"/>
          <w:i w:val="0"/>
        </w:rPr>
      </w:pPr>
      <w:r>
        <w:rPr>
          <w:rFonts w:eastAsiaTheme="minorHAnsi"/>
        </w:rPr>
        <w:t xml:space="preserve">Source: Department of Justice and Regulation </w:t>
      </w:r>
      <w:r>
        <w:rPr>
          <w:rFonts w:eastAsiaTheme="minorHAnsi"/>
        </w:rPr>
        <w:fldChar w:fldCharType="begin"/>
      </w:r>
      <w:r>
        <w:instrText xml:space="preserve"> XE "</w:instrText>
      </w:r>
      <w:r w:rsidRPr="004D04F3">
        <w:instrText>Department of Justice and Regulation:Income from transactions</w:instrText>
      </w:r>
      <w:r>
        <w:instrText xml:space="preserve">" </w:instrText>
      </w:r>
      <w:r>
        <w:rPr>
          <w:rFonts w:eastAsiaTheme="minorHAnsi"/>
        </w:rPr>
        <w:fldChar w:fldCharType="end"/>
      </w:r>
    </w:p>
    <w:p w:rsidR="00E25CC6" w:rsidRDefault="00E25CC6" w:rsidP="000E6FCB">
      <w:pPr>
        <w:pStyle w:val="Notes"/>
        <w:rPr>
          <w:rFonts w:eastAsiaTheme="minorHAnsi"/>
        </w:rPr>
      </w:pPr>
      <w:r>
        <w:rPr>
          <w:rFonts w:eastAsiaTheme="minorHAnsi"/>
        </w:rPr>
        <w:t>Note:</w:t>
      </w:r>
    </w:p>
    <w:p w:rsidR="00E25CC6" w:rsidRPr="00D75232" w:rsidRDefault="00E25CC6" w:rsidP="000E6FCB">
      <w:pPr>
        <w:pStyle w:val="Notes"/>
        <w:rPr>
          <w:rFonts w:eastAsiaTheme="minorHAnsi"/>
        </w:rPr>
      </w:pPr>
      <w:r>
        <w:rPr>
          <w:rFonts w:eastAsiaTheme="minorHAnsi"/>
        </w:rPr>
        <w:t xml:space="preserve">(a) </w:t>
      </w:r>
      <w:r>
        <w:rPr>
          <w:rFonts w:eastAsiaTheme="minorHAnsi"/>
        </w:rPr>
        <w:tab/>
        <w:t>The decrease from the 2014-15 actual relates to the Victorian Electoral Commission being transferred to the Department of Premier and Cabinet on 1 January 2015 as a consequence of a machinery of government change.</w:t>
      </w:r>
    </w:p>
    <w:p w:rsidR="00E25CC6" w:rsidRDefault="00E25CC6">
      <w:pPr>
        <w:spacing w:after="0"/>
        <w:rPr>
          <w:rFonts w:ascii="Calibri" w:eastAsiaTheme="minorHAnsi" w:hAnsi="Calibri"/>
          <w:b/>
        </w:rPr>
      </w:pPr>
    </w:p>
    <w:p w:rsidR="00E25CC6" w:rsidRDefault="00E25CC6" w:rsidP="00A10FFE">
      <w:pPr>
        <w:pStyle w:val="Tableheading"/>
        <w:rPr>
          <w:rFonts w:eastAsiaTheme="minorHAnsi"/>
        </w:rPr>
      </w:pPr>
      <w:r>
        <w:rPr>
          <w:rFonts w:eastAsiaTheme="minorHAnsi"/>
        </w:rPr>
        <w:t>Table 2.16:</w:t>
      </w:r>
      <w:r>
        <w:rPr>
          <w:rFonts w:eastAsiaTheme="minorHAnsi"/>
        </w:rPr>
        <w:tab/>
        <w:t>Parliamentary authority for resources</w:t>
      </w:r>
    </w:p>
    <w:p w:rsidR="00E25CC6" w:rsidRPr="00DD729A" w:rsidRDefault="00E25CC6" w:rsidP="00DD729A">
      <w:pPr>
        <w:pStyle w:val="million"/>
        <w:rPr>
          <w:rFonts w:ascii="Times New Roman" w:hAnsi="Times New Roman"/>
          <w:sz w:val="20"/>
          <w:lang w:eastAsia="en-AU"/>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DD729A" w:rsidTr="00DD729A">
        <w:tc>
          <w:tcPr>
            <w:tcW w:w="5216" w:type="dxa"/>
            <w:tcBorders>
              <w:left w:val="nil"/>
              <w:bottom w:val="nil"/>
              <w:right w:val="nil"/>
            </w:tcBorders>
            <w:shd w:val="solid" w:color="000000" w:fill="auto"/>
          </w:tcPr>
          <w:p w:rsidR="00E25CC6" w:rsidRPr="00DD729A" w:rsidRDefault="00E25CC6" w:rsidP="00DD729A">
            <w:pPr>
              <w:autoSpaceDE w:val="0"/>
              <w:autoSpaceDN w:val="0"/>
              <w:adjustRightInd w:val="0"/>
              <w:spacing w:after="0"/>
              <w:rPr>
                <w:rFonts w:ascii="Calibri" w:eastAsiaTheme="minorEastAsia" w:hAnsi="Calibri" w:cs="Calibri"/>
                <w:sz w:val="19"/>
                <w:lang w:eastAsia="en-AU"/>
              </w:rPr>
            </w:pPr>
            <w:r w:rsidRPr="00DD729A">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sz w:val="19"/>
                <w:lang w:eastAsia="en-AU"/>
              </w:rPr>
            </w:pPr>
            <w:r w:rsidRPr="00DD729A">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sz w:val="19"/>
                <w:lang w:eastAsia="en-AU"/>
              </w:rPr>
            </w:pPr>
            <w:r w:rsidRPr="00DD729A">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sz w:val="19"/>
                <w:lang w:eastAsia="en-AU"/>
              </w:rPr>
            </w:pPr>
            <w:r w:rsidRPr="00DD729A">
              <w:rPr>
                <w:rFonts w:ascii="Calibri" w:eastAsiaTheme="minorEastAsia" w:hAnsi="Calibri" w:cs="Calibri"/>
                <w:i/>
                <w:iCs/>
                <w:sz w:val="19"/>
                <w:lang w:eastAsia="en-AU"/>
              </w:rPr>
              <w:t>2016-17</w:t>
            </w:r>
          </w:p>
        </w:tc>
      </w:tr>
      <w:tr w:rsidR="00E25CC6" w:rsidRPr="00DD729A" w:rsidTr="00DD729A">
        <w:tc>
          <w:tcPr>
            <w:tcW w:w="5216" w:type="dxa"/>
            <w:tcBorders>
              <w:top w:val="nil"/>
              <w:left w:val="nil"/>
              <w:bottom w:val="single" w:sz="6" w:space="0" w:color="auto"/>
              <w:right w:val="nil"/>
            </w:tcBorders>
            <w:shd w:val="solid" w:color="000000" w:fill="auto"/>
          </w:tcPr>
          <w:p w:rsidR="00E25CC6" w:rsidRPr="00DD729A" w:rsidRDefault="00E25CC6" w:rsidP="00DD729A">
            <w:pPr>
              <w:autoSpaceDE w:val="0"/>
              <w:autoSpaceDN w:val="0"/>
              <w:adjustRightInd w:val="0"/>
              <w:spacing w:after="0"/>
              <w:rPr>
                <w:rFonts w:ascii="Calibri" w:eastAsiaTheme="minorEastAsia" w:hAnsi="Calibri" w:cs="Calibri"/>
                <w:sz w:val="19"/>
                <w:lang w:eastAsia="en-AU"/>
              </w:rPr>
            </w:pPr>
            <w:r w:rsidRPr="00DD729A">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sz w:val="19"/>
                <w:lang w:eastAsia="en-AU"/>
              </w:rPr>
            </w:pPr>
            <w:r w:rsidRPr="00DD729A">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sz w:val="19"/>
                <w:lang w:eastAsia="en-AU"/>
              </w:rPr>
            </w:pPr>
            <w:r w:rsidRPr="00DD729A">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DD729A" w:rsidRDefault="00E25CC6" w:rsidP="00DD729A">
            <w:pPr>
              <w:autoSpaceDE w:val="0"/>
              <w:autoSpaceDN w:val="0"/>
              <w:adjustRightInd w:val="0"/>
              <w:spacing w:after="0"/>
              <w:jc w:val="right"/>
              <w:rPr>
                <w:rFonts w:ascii="Calibri" w:eastAsiaTheme="minorEastAsia" w:hAnsi="Calibri" w:cs="Calibri"/>
                <w:i/>
                <w:iCs/>
                <w:sz w:val="19"/>
                <w:lang w:eastAsia="en-AU"/>
              </w:rPr>
            </w:pPr>
            <w:r w:rsidRPr="00DD729A">
              <w:rPr>
                <w:rFonts w:ascii="Calibri" w:eastAsiaTheme="minorEastAsia" w:hAnsi="Calibri" w:cs="Calibri"/>
                <w:i/>
                <w:iCs/>
                <w:sz w:val="19"/>
                <w:lang w:eastAsia="en-AU"/>
              </w:rPr>
              <w:t>budget</w:t>
            </w:r>
          </w:p>
        </w:tc>
      </w:tr>
      <w:tr w:rsidR="00E25CC6" w:rsidRPr="00DD729A" w:rsidTr="00DD729A">
        <w:tc>
          <w:tcPr>
            <w:tcW w:w="5216"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b/>
                <w:bCs/>
                <w:sz w:val="19"/>
                <w:lang w:eastAsia="en-AU"/>
              </w:rPr>
            </w:pPr>
            <w:r w:rsidRPr="00DD729A">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5 557.3</w:t>
            </w:r>
          </w:p>
        </w:tc>
        <w:tc>
          <w:tcPr>
            <w:tcW w:w="850"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5 385.3</w:t>
            </w:r>
          </w:p>
        </w:tc>
        <w:tc>
          <w:tcPr>
            <w:tcW w:w="850"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5 963.0</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19"/>
                <w:lang w:eastAsia="en-AU"/>
              </w:rPr>
            </w:pPr>
            <w:r w:rsidRPr="00DD729A">
              <w:rPr>
                <w:rFonts w:ascii="Calibri" w:eastAsiaTheme="minorEastAsia" w:hAnsi="Calibri" w:cs="Calibri"/>
                <w:sz w:val="19"/>
                <w:lang w:eastAsia="en-AU"/>
              </w:rPr>
              <w:t>5 157.5</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19"/>
                <w:lang w:eastAsia="en-AU"/>
              </w:rPr>
            </w:pPr>
            <w:r w:rsidRPr="00DD729A">
              <w:rPr>
                <w:rFonts w:ascii="Calibri" w:eastAsiaTheme="minorEastAsia" w:hAnsi="Calibri" w:cs="Calibri"/>
                <w:sz w:val="19"/>
                <w:lang w:eastAsia="en-AU"/>
              </w:rPr>
              <w:t>5 197.6</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19"/>
                <w:lang w:eastAsia="en-AU"/>
              </w:rPr>
            </w:pPr>
            <w:r w:rsidRPr="00DD729A">
              <w:rPr>
                <w:rFonts w:ascii="Calibri" w:eastAsiaTheme="minorEastAsia" w:hAnsi="Calibri" w:cs="Calibri"/>
                <w:sz w:val="19"/>
                <w:lang w:eastAsia="en-AU"/>
              </w:rPr>
              <w:t>5 584.1</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345.3</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133.2</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324.4</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54.5</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54.5</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54.5</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200.8</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239.6</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218.7</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b/>
                <w:bCs/>
                <w:sz w:val="19"/>
                <w:lang w:eastAsia="en-AU"/>
              </w:rPr>
            </w:pPr>
            <w:r w:rsidRPr="00DD729A">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130.3</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219.1</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163.0</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70.5</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99.5</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72.4</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59.8</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119.6</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90.6</w:t>
            </w:r>
          </w:p>
        </w:tc>
      </w:tr>
      <w:tr w:rsidR="00E25CC6" w:rsidRPr="00DD729A" w:rsidTr="00DD729A">
        <w:tc>
          <w:tcPr>
            <w:tcW w:w="5216"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19"/>
                <w:lang w:eastAsia="en-AU"/>
              </w:rPr>
            </w:pPr>
            <w:r w:rsidRPr="00DD729A">
              <w:rPr>
                <w:rFonts w:ascii="Calibri" w:eastAsiaTheme="minorEastAsia" w:hAnsi="Calibri" w:cs="Calibri"/>
                <w:sz w:val="19"/>
                <w:lang w:eastAsia="en-AU"/>
              </w:rPr>
              <w:t>..</w:t>
            </w:r>
          </w:p>
        </w:tc>
        <w:tc>
          <w:tcPr>
            <w:tcW w:w="850"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9.4</w:t>
            </w:r>
          </w:p>
        </w:tc>
        <w:tc>
          <w:tcPr>
            <w:tcW w:w="850"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19"/>
                <w:lang w:eastAsia="en-AU"/>
              </w:rPr>
            </w:pPr>
            <w:r w:rsidRPr="00DD729A">
              <w:rPr>
                <w:rFonts w:ascii="Calibri" w:eastAsiaTheme="minorEastAsia" w:hAnsi="Calibri" w:cs="Calibri"/>
                <w:sz w:val="19"/>
                <w:lang w:eastAsia="en-AU"/>
              </w:rPr>
              <w:t>..</w:t>
            </w:r>
          </w:p>
        </w:tc>
      </w:tr>
      <w:tr w:rsidR="00E25CC6" w:rsidRPr="00DD729A" w:rsidTr="00DD729A">
        <w:tc>
          <w:tcPr>
            <w:tcW w:w="5216"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b/>
                <w:bCs/>
                <w:sz w:val="19"/>
                <w:lang w:eastAsia="en-AU"/>
              </w:rPr>
            </w:pPr>
            <w:r w:rsidRPr="00DD729A">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5 888.4</w:t>
            </w:r>
          </w:p>
        </w:tc>
        <w:tc>
          <w:tcPr>
            <w:tcW w:w="850"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5 853.4</w:t>
            </w:r>
          </w:p>
        </w:tc>
        <w:tc>
          <w:tcPr>
            <w:tcW w:w="850" w:type="dxa"/>
            <w:tcBorders>
              <w:top w:val="single" w:sz="6" w:space="0" w:color="auto"/>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6 344.7</w:t>
            </w:r>
          </w:p>
        </w:tc>
      </w:tr>
      <w:tr w:rsidR="00E25CC6" w:rsidRPr="00DD729A" w:rsidTr="00DD729A">
        <w:tc>
          <w:tcPr>
            <w:tcW w:w="5216" w:type="dxa"/>
            <w:tcBorders>
              <w:top w:val="nil"/>
              <w:left w:val="nil"/>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11.2</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12.8</w:t>
            </w:r>
          </w:p>
        </w:tc>
        <w:tc>
          <w:tcPr>
            <w:tcW w:w="850" w:type="dxa"/>
            <w:tcBorders>
              <w:top w:val="nil"/>
              <w:left w:val="nil"/>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11.9</w:t>
            </w:r>
          </w:p>
        </w:tc>
      </w:tr>
      <w:tr w:rsidR="00E25CC6" w:rsidRPr="00DD729A" w:rsidTr="00DD729A">
        <w:tc>
          <w:tcPr>
            <w:tcW w:w="5216"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sz w:val="19"/>
                <w:lang w:eastAsia="en-AU"/>
              </w:rPr>
            </w:pPr>
            <w:r w:rsidRPr="00DD729A">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172.6</w:t>
            </w:r>
          </w:p>
        </w:tc>
        <w:tc>
          <w:tcPr>
            <w:tcW w:w="850"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166.5</w:t>
            </w:r>
          </w:p>
        </w:tc>
        <w:tc>
          <w:tcPr>
            <w:tcW w:w="850" w:type="dxa"/>
            <w:tcBorders>
              <w:top w:val="nil"/>
              <w:left w:val="nil"/>
              <w:bottom w:val="single" w:sz="6"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sz w:val="20"/>
                <w:lang w:eastAsia="en-AU"/>
              </w:rPr>
            </w:pPr>
            <w:r w:rsidRPr="00DD729A">
              <w:rPr>
                <w:rFonts w:ascii="Calibri" w:eastAsiaTheme="minorEastAsia" w:hAnsi="Calibri" w:cs="Calibri"/>
                <w:sz w:val="19"/>
                <w:lang w:eastAsia="en-AU"/>
              </w:rPr>
              <w:t xml:space="preserve"> 182.7</w:t>
            </w:r>
          </w:p>
        </w:tc>
      </w:tr>
      <w:tr w:rsidR="00E25CC6" w:rsidRPr="00DD729A" w:rsidTr="00DD729A">
        <w:tc>
          <w:tcPr>
            <w:tcW w:w="5216" w:type="dxa"/>
            <w:tcBorders>
              <w:top w:val="single" w:sz="6" w:space="0" w:color="auto"/>
              <w:left w:val="nil"/>
              <w:bottom w:val="single" w:sz="12" w:space="0" w:color="auto"/>
              <w:right w:val="nil"/>
            </w:tcBorders>
            <w:shd w:val="solid" w:color="FFFFFF" w:fill="FFFFFF"/>
          </w:tcPr>
          <w:p w:rsidR="00E25CC6" w:rsidRPr="00DD729A" w:rsidRDefault="00E25CC6" w:rsidP="00DD729A">
            <w:pPr>
              <w:autoSpaceDE w:val="0"/>
              <w:autoSpaceDN w:val="0"/>
              <w:adjustRightInd w:val="0"/>
              <w:spacing w:after="0"/>
              <w:ind w:left="227" w:hanging="227"/>
              <w:rPr>
                <w:rFonts w:ascii="Calibri" w:eastAsiaTheme="minorEastAsia" w:hAnsi="Calibri" w:cs="Calibri"/>
                <w:b/>
                <w:bCs/>
                <w:sz w:val="19"/>
                <w:lang w:eastAsia="en-AU"/>
              </w:rPr>
            </w:pPr>
            <w:r w:rsidRPr="00DD729A">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6 072.1</w:t>
            </w:r>
          </w:p>
        </w:tc>
        <w:tc>
          <w:tcPr>
            <w:tcW w:w="850" w:type="dxa"/>
            <w:tcBorders>
              <w:top w:val="single" w:sz="6" w:space="0" w:color="auto"/>
              <w:left w:val="nil"/>
              <w:bottom w:val="single" w:sz="12"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6 032.7</w:t>
            </w:r>
          </w:p>
        </w:tc>
        <w:tc>
          <w:tcPr>
            <w:tcW w:w="850" w:type="dxa"/>
            <w:tcBorders>
              <w:top w:val="single" w:sz="6" w:space="0" w:color="auto"/>
              <w:left w:val="nil"/>
              <w:bottom w:val="single" w:sz="12" w:space="0" w:color="auto"/>
              <w:right w:val="nil"/>
            </w:tcBorders>
            <w:shd w:val="solid" w:color="FFFFFF" w:fill="FFFFFF"/>
          </w:tcPr>
          <w:p w:rsidR="00E25CC6" w:rsidRPr="00DD729A" w:rsidRDefault="00E25CC6" w:rsidP="00DD729A">
            <w:pPr>
              <w:autoSpaceDE w:val="0"/>
              <w:autoSpaceDN w:val="0"/>
              <w:adjustRightInd w:val="0"/>
              <w:spacing w:after="0"/>
              <w:jc w:val="right"/>
              <w:rPr>
                <w:rFonts w:ascii="Calibri" w:eastAsiaTheme="minorEastAsia" w:hAnsi="Calibri" w:cs="Calibri"/>
                <w:b/>
                <w:bCs/>
                <w:sz w:val="19"/>
                <w:lang w:eastAsia="en-AU"/>
              </w:rPr>
            </w:pPr>
            <w:r w:rsidRPr="00DD729A">
              <w:rPr>
                <w:rFonts w:ascii="Calibri" w:eastAsiaTheme="minorEastAsia" w:hAnsi="Calibri" w:cs="Calibri"/>
                <w:b/>
                <w:bCs/>
                <w:sz w:val="19"/>
                <w:lang w:eastAsia="en-AU"/>
              </w:rPr>
              <w:t>6 539.3</w:t>
            </w:r>
          </w:p>
        </w:tc>
      </w:tr>
    </w:tbl>
    <w:p w:rsidR="00E25CC6" w:rsidRPr="001434B3" w:rsidRDefault="00E25CC6" w:rsidP="00742C99">
      <w:pPr>
        <w:pStyle w:val="Source"/>
        <w:rPr>
          <w:rFonts w:eastAsiaTheme="minorHAnsi"/>
          <w:i w:val="0"/>
        </w:rPr>
      </w:pPr>
      <w:r>
        <w:rPr>
          <w:rFonts w:eastAsiaTheme="minorHAnsi"/>
        </w:rPr>
        <w:t xml:space="preserve">Source: Department of Justice and Regulation </w:t>
      </w:r>
      <w:r>
        <w:rPr>
          <w:rFonts w:eastAsiaTheme="minorHAnsi"/>
        </w:rPr>
        <w:fldChar w:fldCharType="begin"/>
      </w:r>
      <w:r>
        <w:instrText xml:space="preserve"> XE "</w:instrText>
      </w:r>
      <w:r w:rsidRPr="00AE66F1">
        <w:instrText>Department of Justice and Regulation:Parliamentary authority for resources</w:instrText>
      </w:r>
      <w:r>
        <w:instrText xml:space="preserve">" </w:instrText>
      </w:r>
      <w:r>
        <w:rPr>
          <w:rFonts w:eastAsiaTheme="minorHAnsi"/>
        </w:rPr>
        <w:fldChar w:fldCharType="end"/>
      </w:r>
    </w:p>
    <w:p w:rsidR="00E25CC6" w:rsidRDefault="00E25CC6">
      <w:pPr>
        <w:spacing w:after="0"/>
        <w:rPr>
          <w:rFonts w:eastAsiaTheme="minorHAnsi"/>
        </w:rPr>
      </w:pPr>
      <w:r>
        <w:rPr>
          <w:rFonts w:eastAsiaTheme="minorHAnsi"/>
        </w:rPr>
        <w:br w:type="page"/>
      </w:r>
    </w:p>
    <w:p w:rsidR="00E25CC6" w:rsidRPr="00A57A8A" w:rsidRDefault="00E25CC6" w:rsidP="00A57A8A">
      <w:pPr>
        <w:pStyle w:val="OGHeading1"/>
        <w:rPr>
          <w:rFonts w:eastAsiaTheme="minorHAnsi"/>
        </w:rPr>
      </w:pPr>
      <w:r w:rsidRPr="00A57A8A">
        <w:rPr>
          <w:rFonts w:eastAsiaTheme="minorHAnsi"/>
        </w:rPr>
        <w:t>Policing and Crime Prevention</w:t>
      </w:r>
    </w:p>
    <w:p w:rsidR="00E25CC6" w:rsidRPr="00A57A8A" w:rsidRDefault="00E25CC6" w:rsidP="00A57A8A">
      <w:pPr>
        <w:pStyle w:val="OGText"/>
        <w:rPr>
          <w:rFonts w:eastAsiaTheme="minorHAnsi"/>
        </w:rPr>
      </w:pPr>
      <w:bookmarkStart w:id="90" w:name="DJR_PoliceCrimPrevent"/>
      <w:r w:rsidRPr="00A57A8A">
        <w:rPr>
          <w:rFonts w:eastAsiaTheme="minorHAnsi"/>
        </w:rPr>
        <w:t>This output group reports on activities relating to the provision of effective police and law enforcement services that aim to prevent, detect, investigate and prosecute crime, and promote safer road user behaviour. It focuses on activities which enable Victorians to undertake their lawful pursuits confidently, safely and without fear of crime.</w:t>
      </w:r>
    </w:p>
    <w:p w:rsidR="00E25CC6" w:rsidRPr="00BB54D2" w:rsidRDefault="00E25CC6" w:rsidP="00A57A8A">
      <w:pPr>
        <w:pStyle w:val="OGText"/>
        <w:rPr>
          <w:rFonts w:eastAsiaTheme="minorHAnsi"/>
        </w:rPr>
      </w:pPr>
      <w:r w:rsidRPr="00A57A8A">
        <w:rPr>
          <w:rFonts w:eastAsiaTheme="minorHAnsi"/>
        </w:rPr>
        <w:t>This output group contributes to the Department</w:t>
      </w:r>
      <w:r>
        <w:rPr>
          <w:rFonts w:eastAsiaTheme="minorHAnsi"/>
        </w:rPr>
        <w:t>’</w:t>
      </w:r>
      <w:r w:rsidRPr="00A57A8A">
        <w:rPr>
          <w:rFonts w:eastAsiaTheme="minorHAnsi"/>
        </w:rPr>
        <w:t xml:space="preserve">s objective of </w:t>
      </w:r>
      <w:r>
        <w:rPr>
          <w:rFonts w:eastAsiaTheme="minorHAnsi"/>
        </w:rPr>
        <w:t>‘</w:t>
      </w:r>
      <w:r w:rsidRPr="00A57A8A">
        <w:rPr>
          <w:rFonts w:eastAsiaTheme="minorHAnsi"/>
        </w:rPr>
        <w:t>Ensuring community safety through policing, law enforcement and prevention activities</w:t>
      </w:r>
      <w:r>
        <w:rPr>
          <w:rFonts w:eastAsiaTheme="minorHAnsi"/>
        </w:rPr>
        <w:t>’.</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DE4DBE" w:rsidTr="00DE4DBE">
        <w:trPr>
          <w:cantSplit/>
          <w:tblHeader/>
        </w:trPr>
        <w:tc>
          <w:tcPr>
            <w:tcW w:w="3146" w:type="dxa"/>
            <w:tcBorders>
              <w:top w:val="nil"/>
              <w:left w:val="nil"/>
              <w:bottom w:val="single" w:sz="4" w:space="0" w:color="auto"/>
              <w:right w:val="nil"/>
            </w:tcBorders>
            <w:shd w:val="solid" w:color="000000" w:fill="auto"/>
            <w:vAlign w:val="bottom"/>
          </w:tcPr>
          <w:p w:rsidR="00E25CC6" w:rsidRPr="00DE4DBE" w:rsidRDefault="00E25CC6" w:rsidP="00DE4DBE">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b/>
                <w:bCs/>
                <w:color w:val="FFFFFF"/>
                <w:sz w:val="19"/>
                <w:szCs w:val="22"/>
                <w:lang w:eastAsia="en-AU"/>
              </w:rPr>
              <w:t>Major outputs/deliverables</w:t>
            </w:r>
          </w:p>
          <w:p w:rsidR="00E25CC6" w:rsidRPr="00DE4DBE" w:rsidRDefault="00E25CC6" w:rsidP="00DE4DBE">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DE4DBE" w:rsidRDefault="00E25CC6" w:rsidP="00DE4DBE">
            <w:pPr>
              <w:autoSpaceDE w:val="0"/>
              <w:autoSpaceDN w:val="0"/>
              <w:adjustRightInd w:val="0"/>
              <w:spacing w:after="0"/>
              <w:jc w:val="center"/>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DE4DBE" w:rsidRDefault="00E25CC6" w:rsidP="00DE4DBE">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DE4DBE" w:rsidRDefault="00E25CC6" w:rsidP="00DE4DBE">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DE4DBE" w:rsidRDefault="00E25CC6" w:rsidP="00DE4DBE">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DE4DBE" w:rsidRDefault="00E25CC6" w:rsidP="00DE4DBE">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15 actual</w:t>
            </w:r>
          </w:p>
        </w:tc>
      </w:tr>
      <w:tr w:rsidR="00E25CC6" w:rsidRPr="00DE4DBE" w:rsidTr="00DE4DBE">
        <w:trPr>
          <w:cantSplit/>
        </w:trPr>
        <w:tc>
          <w:tcPr>
            <w:tcW w:w="7767" w:type="dxa"/>
            <w:gridSpan w:val="6"/>
            <w:tcBorders>
              <w:top w:val="single" w:sz="4" w:space="0" w:color="auto"/>
              <w:left w:val="nil"/>
              <w:bottom w:val="nil"/>
              <w:right w:val="nil"/>
            </w:tcBorders>
          </w:tcPr>
          <w:p w:rsidR="00E25CC6" w:rsidRPr="00DE4DBE" w:rsidRDefault="00E25CC6" w:rsidP="00DE4DBE">
            <w:pPr>
              <w:pStyle w:val="OGHeading2"/>
              <w:rPr>
                <w:rFonts w:eastAsiaTheme="minorEastAsia"/>
                <w:lang w:eastAsia="en-AU"/>
              </w:rPr>
            </w:pPr>
            <w:r w:rsidRPr="00DE4DBE">
              <w:rPr>
                <w:rFonts w:eastAsiaTheme="minorEastAsia"/>
                <w:lang w:eastAsia="en-AU"/>
              </w:rPr>
              <w:t>Policing Services and Crime Prevention</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385BFE" w:rsidRDefault="00E25CC6" w:rsidP="00DE4DBE">
            <w:pPr>
              <w:pStyle w:val="OGText"/>
              <w:rPr>
                <w:rFonts w:eastAsiaTheme="minorEastAsia"/>
                <w:lang w:eastAsia="en-AU"/>
              </w:rPr>
            </w:pPr>
            <w:r w:rsidRPr="00385BFE">
              <w:rPr>
                <w:rFonts w:eastAsiaTheme="minorEastAsia"/>
                <w:lang w:eastAsia="en-AU"/>
              </w:rPr>
              <w:t>Victoria Police strives to reduce violence and crime through law enforcement, judicial support, community assistance, guidance and leadership.</w:t>
            </w:r>
          </w:p>
          <w:p w:rsidR="00E25CC6" w:rsidRPr="00385BFE" w:rsidRDefault="00E25CC6" w:rsidP="00DE4DBE">
            <w:pPr>
              <w:pStyle w:val="OGText"/>
              <w:rPr>
                <w:rFonts w:eastAsiaTheme="minorEastAsia"/>
                <w:lang w:eastAsia="en-AU"/>
              </w:rPr>
            </w:pPr>
            <w:r w:rsidRPr="00385BFE">
              <w:rPr>
                <w:rFonts w:eastAsiaTheme="minorEastAsia"/>
                <w:lang w:eastAsia="en-AU"/>
              </w:rPr>
              <w:t>The output reflects the Government</w:t>
            </w:r>
            <w:r>
              <w:rPr>
                <w:rFonts w:eastAsiaTheme="minorEastAsia"/>
                <w:lang w:eastAsia="en-AU"/>
              </w:rPr>
              <w:t>’</w:t>
            </w:r>
            <w:r w:rsidRPr="00385BFE">
              <w:rPr>
                <w:rFonts w:eastAsiaTheme="minorEastAsia"/>
                <w:lang w:eastAsia="en-AU"/>
              </w:rPr>
              <w:t>s focus on reducing the overall incidence and fear of crime and enhancing the safety of individuals and families.</w:t>
            </w:r>
          </w:p>
          <w:p w:rsidR="00E25CC6" w:rsidRPr="00385BFE" w:rsidRDefault="00E25CC6" w:rsidP="002708CC">
            <w:pPr>
              <w:pStyle w:val="OGText"/>
              <w:rPr>
                <w:rFonts w:eastAsiaTheme="minorEastAsia"/>
                <w:lang w:eastAsia="en-AU"/>
              </w:rPr>
            </w:pPr>
            <w:r w:rsidRPr="00385BFE">
              <w:rPr>
                <w:rFonts w:eastAsiaTheme="minorEastAsia"/>
                <w:lang w:eastAsia="en-AU"/>
              </w:rPr>
              <w:t>The Community Crime Prevention Program supports local communities in preventing crime as well as addressing local crime issues.</w:t>
            </w:r>
          </w:p>
        </w:tc>
      </w:tr>
      <w:tr w:rsidR="00E25CC6" w:rsidRPr="00DE4DBE" w:rsidTr="00DE4DBE">
        <w:trPr>
          <w:cantSplit/>
        </w:trPr>
        <w:tc>
          <w:tcPr>
            <w:tcW w:w="3146" w:type="dxa"/>
            <w:tcBorders>
              <w:top w:val="nil"/>
              <w:left w:val="nil"/>
              <w:bottom w:val="nil"/>
              <w:right w:val="nil"/>
            </w:tcBorders>
          </w:tcPr>
          <w:p w:rsidR="00E25CC6" w:rsidRPr="00385BFE" w:rsidRDefault="00E25CC6" w:rsidP="00DE4DBE">
            <w:pPr>
              <w:autoSpaceDE w:val="0"/>
              <w:autoSpaceDN w:val="0"/>
              <w:adjustRightInd w:val="0"/>
              <w:spacing w:after="0"/>
              <w:ind w:left="227" w:hanging="227"/>
              <w:rPr>
                <w:rFonts w:ascii="Calibri" w:eastAsiaTheme="minorEastAsia" w:hAnsi="Calibri" w:cs="Calibri"/>
                <w:i/>
                <w:iCs/>
                <w:sz w:val="19"/>
                <w:szCs w:val="22"/>
                <w:lang w:eastAsia="en-AU"/>
              </w:rPr>
            </w:pPr>
            <w:r w:rsidRPr="00385BFE">
              <w:rPr>
                <w:rFonts w:ascii="Calibri" w:eastAsiaTheme="minorEastAsia" w:hAnsi="Calibri" w:cs="Calibri"/>
                <w:i/>
                <w:iCs/>
                <w:sz w:val="19"/>
                <w:szCs w:val="22"/>
                <w:lang w:eastAsia="en-AU"/>
              </w:rPr>
              <w:t>Quantity</w:t>
            </w: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center"/>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p>
        </w:tc>
      </w:tr>
      <w:tr w:rsidR="00E25CC6" w:rsidRPr="00DE4DBE" w:rsidTr="00DE4DBE">
        <w:trPr>
          <w:cantSplit/>
        </w:trPr>
        <w:tc>
          <w:tcPr>
            <w:tcW w:w="3146" w:type="dxa"/>
            <w:tcBorders>
              <w:top w:val="nil"/>
              <w:left w:val="nil"/>
              <w:bottom w:val="nil"/>
              <w:right w:val="nil"/>
            </w:tcBorders>
          </w:tcPr>
          <w:p w:rsidR="00E25CC6" w:rsidRPr="00385BFE" w:rsidRDefault="00E25CC6" w:rsidP="00DE4DBE">
            <w:pPr>
              <w:pStyle w:val="OGTabText"/>
              <w:rPr>
                <w:rFonts w:eastAsiaTheme="minorEastAsia"/>
                <w:lang w:eastAsia="en-AU"/>
              </w:rPr>
            </w:pPr>
            <w:r w:rsidRPr="00385BFE">
              <w:rPr>
                <w:rFonts w:eastAsiaTheme="minorEastAsia"/>
                <w:lang w:eastAsia="en-AU"/>
              </w:rPr>
              <w:t>Community calls for assistance to which a Victoria Police response is dispatched</w:t>
            </w: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1 009 700</w:t>
            </w:r>
          </w:p>
        </w:tc>
        <w:tc>
          <w:tcPr>
            <w:tcW w:w="992"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941 517</w:t>
            </w: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850 000</w:t>
            </w:r>
          </w:p>
        </w:tc>
        <w:tc>
          <w:tcPr>
            <w:tcW w:w="908"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864 020</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385BFE" w:rsidRDefault="00E25CC6" w:rsidP="00DE4DBE">
            <w:pPr>
              <w:pStyle w:val="OGNotes"/>
              <w:rPr>
                <w:rFonts w:eastAsiaTheme="minorEastAsia"/>
              </w:rPr>
            </w:pPr>
            <w:r w:rsidRPr="00385BFE">
              <w:rPr>
                <w:rFonts w:eastAsiaTheme="minorEastAsia"/>
              </w:rPr>
              <w:t>The 2015</w:t>
            </w:r>
            <w:r w:rsidRPr="00385BFE">
              <w:rPr>
                <w:rFonts w:eastAsiaTheme="minorEastAsia"/>
              </w:rPr>
              <w:noBreakHyphen/>
              <w:t>16 expected outcome is higher than the 2015</w:t>
            </w:r>
            <w:r w:rsidRPr="00385BFE">
              <w:rPr>
                <w:rFonts w:eastAsiaTheme="minorEastAsia"/>
              </w:rPr>
              <w:noBreakHyphen/>
              <w:t>16 target primarily due to an increase in call volumes</w:t>
            </w:r>
            <w:r>
              <w:rPr>
                <w:rFonts w:eastAsiaTheme="minorEastAsia"/>
              </w:rPr>
              <w:t xml:space="preserve"> generated from community reports.</w:t>
            </w:r>
            <w:r w:rsidRPr="00385BFE">
              <w:rPr>
                <w:rFonts w:eastAsiaTheme="minorEastAsia"/>
              </w:rPr>
              <w:t xml:space="preserve"> </w:t>
            </w:r>
          </w:p>
          <w:p w:rsidR="00E25CC6" w:rsidRPr="00385BFE" w:rsidRDefault="00E25CC6" w:rsidP="00DE4DBE">
            <w:pPr>
              <w:pStyle w:val="OGNotes"/>
              <w:rPr>
                <w:rFonts w:eastAsiaTheme="minorEastAsia"/>
              </w:rPr>
            </w:pPr>
            <w:r w:rsidRPr="00385BFE">
              <w:rPr>
                <w:rFonts w:eastAsiaTheme="minorEastAsia"/>
              </w:rPr>
              <w:t>The higher 2016</w:t>
            </w:r>
            <w:r w:rsidRPr="00385BFE">
              <w:rPr>
                <w:rFonts w:eastAsiaTheme="minorEastAsia"/>
              </w:rPr>
              <w:noBreakHyphen/>
              <w:t>17 target reflects analysis indicating it is likely this will continue to increase in 2016</w:t>
            </w:r>
            <w:r w:rsidRPr="00385BFE">
              <w:rPr>
                <w:rFonts w:eastAsiaTheme="minorEastAsia"/>
              </w:rPr>
              <w:noBreakHyphen/>
              <w:t xml:space="preserve">17. </w:t>
            </w:r>
          </w:p>
        </w:tc>
      </w:tr>
      <w:tr w:rsidR="00E25CC6" w:rsidRPr="00DE4DBE" w:rsidTr="00DE4DBE">
        <w:trPr>
          <w:cantSplit/>
        </w:trPr>
        <w:tc>
          <w:tcPr>
            <w:tcW w:w="3146" w:type="dxa"/>
            <w:tcBorders>
              <w:top w:val="nil"/>
              <w:left w:val="nil"/>
              <w:bottom w:val="nil"/>
              <w:right w:val="nil"/>
            </w:tcBorders>
          </w:tcPr>
          <w:p w:rsidR="00E25CC6" w:rsidRPr="00385BFE" w:rsidRDefault="00E25CC6" w:rsidP="00DE4DBE">
            <w:pPr>
              <w:pStyle w:val="OGTabText"/>
              <w:rPr>
                <w:rFonts w:eastAsiaTheme="minorEastAsia"/>
                <w:lang w:eastAsia="en-AU"/>
              </w:rPr>
            </w:pPr>
            <w:r w:rsidRPr="00385BFE">
              <w:rPr>
                <w:rFonts w:eastAsiaTheme="minorEastAsia"/>
                <w:lang w:eastAsia="en-AU"/>
              </w:rPr>
              <w:t>Crimes against property – excluding family violence related crime (rate per 100 000 population)</w:t>
            </w: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number</w:t>
            </w:r>
          </w:p>
        </w:tc>
        <w:tc>
          <w:tcPr>
            <w:tcW w:w="907" w:type="dxa"/>
            <w:tcBorders>
              <w:top w:val="nil"/>
              <w:left w:val="nil"/>
              <w:bottom w:val="nil"/>
              <w:right w:val="nil"/>
            </w:tcBorders>
            <w:shd w:val="clear" w:color="auto" w:fill="DCDCDC"/>
          </w:tcPr>
          <w:p w:rsidR="00E25CC6" w:rsidRPr="00385BFE" w:rsidRDefault="00E25CC6" w:rsidP="00410A55">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w:t>
            </w:r>
            <w:r>
              <w:rPr>
                <w:rFonts w:ascii="Calibri" w:eastAsiaTheme="minorEastAsia" w:hAnsi="Calibri" w:cs="Calibri"/>
                <w:sz w:val="19"/>
                <w:szCs w:val="22"/>
                <w:lang w:eastAsia="en-AU"/>
              </w:rPr>
              <w:t>4 30</w:t>
            </w:r>
            <w:r w:rsidRPr="00385BFE">
              <w:rPr>
                <w:rFonts w:ascii="Calibri" w:eastAsiaTheme="minorEastAsia" w:hAnsi="Calibri" w:cs="Calibri"/>
                <w:sz w:val="19"/>
                <w:szCs w:val="22"/>
                <w:lang w:eastAsia="en-AU"/>
              </w:rPr>
              <w:t>0</w:t>
            </w:r>
          </w:p>
        </w:tc>
        <w:tc>
          <w:tcPr>
            <w:tcW w:w="992"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4 945</w:t>
            </w: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≤4</w:t>
            </w:r>
            <w:r>
              <w:rPr>
                <w:rFonts w:ascii="Calibri" w:eastAsiaTheme="minorEastAsia" w:hAnsi="Calibri" w:cs="Calibri"/>
                <w:sz w:val="19"/>
                <w:szCs w:val="22"/>
                <w:lang w:eastAsia="en-AU"/>
              </w:rPr>
              <w:t xml:space="preserve"> </w:t>
            </w:r>
            <w:r w:rsidRPr="00385BFE">
              <w:rPr>
                <w:rFonts w:ascii="Calibri" w:eastAsiaTheme="minorEastAsia" w:hAnsi="Calibri" w:cs="Calibri"/>
                <w:sz w:val="19"/>
                <w:szCs w:val="22"/>
                <w:lang w:eastAsia="en-AU"/>
              </w:rPr>
              <w:t>300</w:t>
            </w:r>
          </w:p>
        </w:tc>
        <w:tc>
          <w:tcPr>
            <w:tcW w:w="908"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4 491.9</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385BFE" w:rsidRDefault="00E25CC6" w:rsidP="004F6767">
            <w:pPr>
              <w:pStyle w:val="OGNotes"/>
              <w:rPr>
                <w:rFonts w:eastAsiaTheme="minorEastAsia"/>
              </w:rPr>
            </w:pPr>
            <w:r>
              <w:rPr>
                <w:rFonts w:eastAsiaTheme="minorEastAsia"/>
              </w:rPr>
              <w:t>V</w:t>
            </w:r>
            <w:r w:rsidRPr="00385BFE">
              <w:rPr>
                <w:rFonts w:eastAsiaTheme="minorEastAsia"/>
              </w:rPr>
              <w:t xml:space="preserve">ictoria Police advise that there has been a five to six year trend of increased crimes against property. This has been seen largely in the theft of and theft from vehicles. </w:t>
            </w:r>
          </w:p>
        </w:tc>
      </w:tr>
      <w:tr w:rsidR="00E25CC6" w:rsidRPr="00DE4DBE" w:rsidTr="00DE4DBE">
        <w:trPr>
          <w:cantSplit/>
        </w:trPr>
        <w:tc>
          <w:tcPr>
            <w:tcW w:w="3146" w:type="dxa"/>
            <w:tcBorders>
              <w:top w:val="nil"/>
              <w:left w:val="nil"/>
              <w:bottom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Crimes against property</w:t>
            </w:r>
            <w:r>
              <w:rPr>
                <w:rFonts w:eastAsiaTheme="minorEastAsia"/>
                <w:lang w:eastAsia="en-AU"/>
              </w:rPr>
              <w:t xml:space="preserve"> – </w:t>
            </w:r>
            <w:r w:rsidRPr="00DE4DBE">
              <w:rPr>
                <w:rFonts w:eastAsiaTheme="minorEastAsia"/>
                <w:lang w:eastAsia="en-AU"/>
              </w:rPr>
              <w:t>family violence related crime (rate per 100 000 population)</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≥140</w:t>
            </w:r>
          </w:p>
        </w:tc>
        <w:tc>
          <w:tcPr>
            <w:tcW w:w="992"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148.1</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≥140</w:t>
            </w: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146.7</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DE4DBE" w:rsidRDefault="00E25CC6" w:rsidP="004F6767">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which reflects a gradual increase in crimes against property</w:t>
            </w:r>
            <w:r>
              <w:rPr>
                <w:rFonts w:eastAsiaTheme="minorEastAsia"/>
              </w:rPr>
              <w:t xml:space="preserve"> – </w:t>
            </w:r>
            <w:r w:rsidRPr="00DE4DBE">
              <w:rPr>
                <w:rFonts w:eastAsiaTheme="minorEastAsia"/>
              </w:rPr>
              <w:t>family violence relate</w:t>
            </w:r>
            <w:r>
              <w:rPr>
                <w:rFonts w:eastAsiaTheme="minorEastAsia"/>
              </w:rPr>
              <w:t xml:space="preserve">d crime over recent years. </w:t>
            </w:r>
          </w:p>
        </w:tc>
      </w:tr>
      <w:tr w:rsidR="00E25CC6" w:rsidRPr="00DE4DBE" w:rsidTr="00DE4DBE">
        <w:trPr>
          <w:cantSplit/>
        </w:trPr>
        <w:tc>
          <w:tcPr>
            <w:tcW w:w="3146" w:type="dxa"/>
            <w:tcBorders>
              <w:top w:val="nil"/>
              <w:left w:val="nil"/>
              <w:bottom w:val="nil"/>
              <w:right w:val="nil"/>
            </w:tcBorders>
          </w:tcPr>
          <w:p w:rsidR="00E25CC6" w:rsidRPr="00DE4DBE" w:rsidRDefault="00E25CC6" w:rsidP="003873F1">
            <w:pPr>
              <w:pStyle w:val="OGTabText"/>
              <w:keepNext/>
              <w:rPr>
                <w:rFonts w:eastAsiaTheme="minorEastAsia"/>
                <w:lang w:eastAsia="en-AU"/>
              </w:rPr>
            </w:pPr>
            <w:r w:rsidRPr="00DE4DBE">
              <w:rPr>
                <w:rFonts w:eastAsiaTheme="minorEastAsia"/>
                <w:lang w:eastAsia="en-AU"/>
              </w:rPr>
              <w:t>Crimes against the person</w:t>
            </w:r>
            <w:r>
              <w:rPr>
                <w:rFonts w:eastAsiaTheme="minorEastAsia"/>
                <w:lang w:eastAsia="en-AU"/>
              </w:rPr>
              <w:t xml:space="preserve"> – </w:t>
            </w:r>
            <w:r w:rsidRPr="00DE4DBE">
              <w:rPr>
                <w:rFonts w:eastAsiaTheme="minorEastAsia"/>
                <w:lang w:eastAsia="en-AU"/>
              </w:rPr>
              <w:t>excluding family violence related crime (rate per 100 000 population)</w:t>
            </w:r>
          </w:p>
        </w:tc>
        <w:tc>
          <w:tcPr>
            <w:tcW w:w="907" w:type="dxa"/>
            <w:tcBorders>
              <w:top w:val="nil"/>
              <w:left w:val="nil"/>
              <w:bottom w:val="nil"/>
              <w:right w:val="nil"/>
            </w:tcBorders>
          </w:tcPr>
          <w:p w:rsidR="00E25CC6" w:rsidRPr="00DE4DBE" w:rsidRDefault="00E25CC6" w:rsidP="003873F1">
            <w:pPr>
              <w:keepNext/>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≤650</w:t>
            </w:r>
          </w:p>
        </w:tc>
        <w:tc>
          <w:tcPr>
            <w:tcW w:w="992" w:type="dxa"/>
            <w:tcBorders>
              <w:top w:val="nil"/>
              <w:left w:val="nil"/>
              <w:bottom w:val="nil"/>
              <w:right w:val="nil"/>
            </w:tcBorders>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670.1</w:t>
            </w:r>
          </w:p>
        </w:tc>
        <w:tc>
          <w:tcPr>
            <w:tcW w:w="907" w:type="dxa"/>
            <w:tcBorders>
              <w:top w:val="nil"/>
              <w:left w:val="nil"/>
              <w:bottom w:val="nil"/>
              <w:right w:val="nil"/>
            </w:tcBorders>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≤650</w:t>
            </w:r>
          </w:p>
        </w:tc>
        <w:tc>
          <w:tcPr>
            <w:tcW w:w="908" w:type="dxa"/>
            <w:tcBorders>
              <w:top w:val="nil"/>
              <w:left w:val="nil"/>
              <w:bottom w:val="nil"/>
              <w:right w:val="nil"/>
            </w:tcBorders>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654</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DE4DBE" w:rsidRDefault="00E25CC6" w:rsidP="004F6767">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primarily due to an </w:t>
            </w:r>
            <w:r>
              <w:rPr>
                <w:rFonts w:eastAsiaTheme="minorEastAsia"/>
              </w:rPr>
              <w:t>increase in offences as per recent crime statistics.</w:t>
            </w:r>
          </w:p>
        </w:tc>
      </w:tr>
      <w:tr w:rsidR="00E25CC6" w:rsidRPr="00DE4DBE" w:rsidTr="00DE4DBE">
        <w:trPr>
          <w:cantSplit/>
        </w:trPr>
        <w:tc>
          <w:tcPr>
            <w:tcW w:w="3146" w:type="dxa"/>
            <w:tcBorders>
              <w:top w:val="nil"/>
              <w:left w:val="nil"/>
              <w:bottom w:val="nil"/>
              <w:right w:val="nil"/>
            </w:tcBorders>
          </w:tcPr>
          <w:p w:rsidR="00E25CC6" w:rsidRPr="00DE4DBE" w:rsidRDefault="00E25CC6" w:rsidP="00BB6900">
            <w:pPr>
              <w:pStyle w:val="OGTabText"/>
              <w:keepNext/>
              <w:rPr>
                <w:rFonts w:eastAsiaTheme="minorEastAsia"/>
                <w:lang w:eastAsia="en-AU"/>
              </w:rPr>
            </w:pPr>
            <w:r w:rsidRPr="00DE4DBE">
              <w:rPr>
                <w:rFonts w:eastAsiaTheme="minorEastAsia"/>
                <w:lang w:eastAsia="en-AU"/>
              </w:rPr>
              <w:t>Crimes against the person</w:t>
            </w:r>
            <w:r>
              <w:rPr>
                <w:rFonts w:eastAsiaTheme="minorEastAsia"/>
                <w:lang w:eastAsia="en-AU"/>
              </w:rPr>
              <w:t xml:space="preserve"> – </w:t>
            </w:r>
            <w:r w:rsidRPr="00DE4DBE">
              <w:rPr>
                <w:rFonts w:eastAsiaTheme="minorEastAsia"/>
                <w:lang w:eastAsia="en-AU"/>
              </w:rPr>
              <w:t>family violence related crime (rate per 100 000 population)</w:t>
            </w:r>
          </w:p>
        </w:tc>
        <w:tc>
          <w:tcPr>
            <w:tcW w:w="907" w:type="dxa"/>
            <w:tcBorders>
              <w:top w:val="nil"/>
              <w:left w:val="nil"/>
              <w:bottom w:val="nil"/>
              <w:right w:val="nil"/>
            </w:tcBorders>
          </w:tcPr>
          <w:p w:rsidR="00E25CC6" w:rsidRPr="00DE4DBE" w:rsidRDefault="00E25CC6" w:rsidP="00BB6900">
            <w:pPr>
              <w:keepNext/>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≥580</w:t>
            </w:r>
          </w:p>
        </w:tc>
        <w:tc>
          <w:tcPr>
            <w:tcW w:w="992" w:type="dxa"/>
            <w:tcBorders>
              <w:top w:val="nil"/>
              <w:left w:val="nil"/>
              <w:bottom w:val="nil"/>
              <w:right w:val="nil"/>
            </w:tcBorders>
          </w:tcPr>
          <w:p w:rsidR="00E25CC6" w:rsidRPr="00DE4DBE" w:rsidRDefault="00E25CC6" w:rsidP="00BB6900">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556.9</w:t>
            </w:r>
          </w:p>
        </w:tc>
        <w:tc>
          <w:tcPr>
            <w:tcW w:w="907" w:type="dxa"/>
            <w:tcBorders>
              <w:top w:val="nil"/>
              <w:left w:val="nil"/>
              <w:bottom w:val="nil"/>
              <w:right w:val="nil"/>
            </w:tcBorders>
          </w:tcPr>
          <w:p w:rsidR="00E25CC6" w:rsidRPr="00DE4DBE" w:rsidRDefault="00E25CC6" w:rsidP="00BB6900">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≥475</w:t>
            </w:r>
          </w:p>
        </w:tc>
        <w:tc>
          <w:tcPr>
            <w:tcW w:w="908" w:type="dxa"/>
            <w:tcBorders>
              <w:top w:val="nil"/>
              <w:left w:val="nil"/>
              <w:bottom w:val="nil"/>
              <w:right w:val="nil"/>
            </w:tcBorders>
          </w:tcPr>
          <w:p w:rsidR="00E25CC6" w:rsidRPr="00DE4DBE" w:rsidRDefault="00E25CC6" w:rsidP="00BB6900">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509</w:t>
            </w:r>
          </w:p>
        </w:tc>
      </w:tr>
      <w:tr w:rsidR="00E25CC6" w:rsidRPr="00DE4DBE" w:rsidTr="00DE4DBE">
        <w:trPr>
          <w:cantSplit/>
        </w:trPr>
        <w:tc>
          <w:tcPr>
            <w:tcW w:w="7767" w:type="dxa"/>
            <w:gridSpan w:val="6"/>
            <w:tcBorders>
              <w:top w:val="nil"/>
              <w:left w:val="nil"/>
              <w:bottom w:val="single" w:sz="6" w:space="0" w:color="auto"/>
              <w:right w:val="nil"/>
            </w:tcBorders>
          </w:tcPr>
          <w:p w:rsidR="00E25CC6" w:rsidRDefault="00E25CC6" w:rsidP="00DE4DBE">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increased reporting of family incident related assaults. This is likely to be due to increased confidence in the reporting of family violence related crime. </w:t>
            </w:r>
          </w:p>
          <w:p w:rsidR="00E25CC6" w:rsidRPr="00DE4DBE" w:rsidRDefault="00E25CC6" w:rsidP="00DE4DBE">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analysis indicating that it is likely this will continue to increase in 2016</w:t>
            </w:r>
            <w:r>
              <w:rPr>
                <w:rFonts w:eastAsiaTheme="minorEastAsia"/>
              </w:rPr>
              <w:noBreakHyphen/>
            </w:r>
            <w:r w:rsidRPr="00DE4DBE">
              <w:rPr>
                <w:rFonts w:eastAsiaTheme="minorEastAsia"/>
              </w:rPr>
              <w:t>17.</w:t>
            </w:r>
          </w:p>
        </w:tc>
      </w:tr>
      <w:tr w:rsidR="00E25CC6" w:rsidRPr="00DE4DBE" w:rsidTr="00DE4DBE">
        <w:trPr>
          <w:cantSplit/>
        </w:trPr>
        <w:tc>
          <w:tcPr>
            <w:tcW w:w="3146" w:type="dxa"/>
            <w:tcBorders>
              <w:top w:val="single" w:sz="6" w:space="0" w:color="auto"/>
              <w:left w:val="nil"/>
              <w:bottom w:val="single" w:sz="6" w:space="0" w:color="auto"/>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Number of alcohol screening tests conducted by booze and drug buses</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1 100 000</w:t>
            </w:r>
          </w:p>
        </w:tc>
        <w:tc>
          <w:tcPr>
            <w:tcW w:w="992"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1 100 000</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1 100 000</w:t>
            </w:r>
          </w:p>
        </w:tc>
        <w:tc>
          <w:tcPr>
            <w:tcW w:w="908"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1 136 326</w:t>
            </w:r>
          </w:p>
        </w:tc>
      </w:tr>
      <w:tr w:rsidR="00E25CC6" w:rsidRPr="00DE4DBE" w:rsidTr="00DE4DBE">
        <w:trPr>
          <w:cantSplit/>
        </w:trPr>
        <w:tc>
          <w:tcPr>
            <w:tcW w:w="3146" w:type="dxa"/>
            <w:tcBorders>
              <w:top w:val="single" w:sz="6" w:space="0" w:color="auto"/>
              <w:left w:val="nil"/>
              <w:bottom w:val="single" w:sz="6" w:space="0" w:color="auto"/>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Number of prohibited drug screening tests conducted by booze and drug buses and highway patrol units</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100 000</w:t>
            </w:r>
          </w:p>
        </w:tc>
        <w:tc>
          <w:tcPr>
            <w:tcW w:w="992"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100 000</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100 000</w:t>
            </w:r>
          </w:p>
        </w:tc>
        <w:tc>
          <w:tcPr>
            <w:tcW w:w="908"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79 986</w:t>
            </w:r>
          </w:p>
        </w:tc>
      </w:tr>
      <w:tr w:rsidR="00E25CC6" w:rsidRPr="00DE4DBE" w:rsidTr="00DE4DBE">
        <w:trPr>
          <w:cantSplit/>
        </w:trPr>
        <w:tc>
          <w:tcPr>
            <w:tcW w:w="3146" w:type="dxa"/>
            <w:tcBorders>
              <w:top w:val="nil"/>
              <w:left w:val="nil"/>
              <w:bottom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Police record checks conducted to contribute to community safety</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716 000</w:t>
            </w:r>
          </w:p>
        </w:tc>
        <w:tc>
          <w:tcPr>
            <w:tcW w:w="992"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693 500</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635 000</w:t>
            </w: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DE4DBE" w:rsidRDefault="00E25CC6" w:rsidP="00DE4DBE">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the increasing number of CrimTrac accredited agencies, an increase in the administration of justice</w:t>
            </w:r>
            <w:r>
              <w:rPr>
                <w:rFonts w:eastAsiaTheme="minorEastAsia"/>
              </w:rPr>
              <w:noBreakHyphen/>
            </w:r>
            <w:r w:rsidRPr="00DE4DBE">
              <w:rPr>
                <w:rFonts w:eastAsiaTheme="minorEastAsia"/>
              </w:rPr>
              <w:t>related police checks conducted by jurisdictions and a change in methodology for recording the criminal record checks conducted for administration of justice purposes. 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this increase. </w:t>
            </w:r>
          </w:p>
        </w:tc>
      </w:tr>
      <w:tr w:rsidR="00E25CC6" w:rsidRPr="00DE4DBE" w:rsidTr="00DE4DBE">
        <w:trPr>
          <w:cantSplit/>
        </w:trPr>
        <w:tc>
          <w:tcPr>
            <w:tcW w:w="3146" w:type="dxa"/>
            <w:tcBorders>
              <w:top w:val="nil"/>
              <w:left w:val="nil"/>
              <w:bottom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Total reported road fatalities in vehicle collisions</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&lt;250</w:t>
            </w:r>
          </w:p>
        </w:tc>
        <w:tc>
          <w:tcPr>
            <w:tcW w:w="992"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385BFE" w:rsidRDefault="00E25CC6" w:rsidP="00DE4DBE">
            <w:pPr>
              <w:pStyle w:val="OGNotes"/>
              <w:rPr>
                <w:rFonts w:eastAsiaTheme="minorEastAsia"/>
              </w:rPr>
            </w:pPr>
            <w:r w:rsidRPr="00385BFE">
              <w:rPr>
                <w:rFonts w:eastAsiaTheme="minorEastAsia"/>
              </w:rPr>
              <w:t>New performance measure for 2016</w:t>
            </w:r>
            <w:r w:rsidRPr="00385BFE">
              <w:rPr>
                <w:rFonts w:eastAsiaTheme="minorEastAsia"/>
              </w:rPr>
              <w:noBreakHyphen/>
              <w:t>17 to reflect broader reporting coverage of road trauma. This measure includes reported road deaths of drivers, passengers, pedestrians, bicyclists and pillion passengers, in line with the definition of on</w:t>
            </w:r>
            <w:r w:rsidRPr="00385BFE">
              <w:rPr>
                <w:rFonts w:eastAsiaTheme="minorEastAsia"/>
              </w:rPr>
              <w:noBreakHyphen/>
              <w:t xml:space="preserve">road deaths stipulated by the Australian Bureau of Statistics. </w:t>
            </w:r>
          </w:p>
        </w:tc>
      </w:tr>
      <w:tr w:rsidR="00E25CC6" w:rsidRPr="00DE4DBE" w:rsidTr="00DE4DBE">
        <w:trPr>
          <w:cantSplit/>
        </w:trPr>
        <w:tc>
          <w:tcPr>
            <w:tcW w:w="3146" w:type="dxa"/>
            <w:tcBorders>
              <w:top w:val="nil"/>
              <w:left w:val="nil"/>
              <w:bottom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Total persons reported injured in vehicle collisions</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&lt;18 700</w:t>
            </w:r>
          </w:p>
        </w:tc>
        <w:tc>
          <w:tcPr>
            <w:tcW w:w="992"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385BFE" w:rsidRDefault="00E25CC6" w:rsidP="00DE4DBE">
            <w:pPr>
              <w:pStyle w:val="OGNotes"/>
              <w:rPr>
                <w:rFonts w:eastAsiaTheme="minorEastAsia"/>
              </w:rPr>
            </w:pPr>
            <w:r w:rsidRPr="00385BFE">
              <w:rPr>
                <w:rFonts w:eastAsiaTheme="minorEastAsia"/>
              </w:rPr>
              <w:t>New performance measure for 2016</w:t>
            </w:r>
            <w:r w:rsidRPr="00385BFE">
              <w:rPr>
                <w:rFonts w:eastAsiaTheme="minorEastAsia"/>
              </w:rPr>
              <w:noBreakHyphen/>
              <w:t>17 to reflect broader reporting coverage of road trauma. The measure counts all persons injured (regardless of seriousness of injury) in vehicle collisions, as recorded by Victoria Police members and captured in the Victoria Police Traffic Incident System (TIS). This measure captures both on</w:t>
            </w:r>
            <w:r w:rsidRPr="00385BFE">
              <w:rPr>
                <w:rFonts w:eastAsiaTheme="minorEastAsia"/>
              </w:rPr>
              <w:noBreakHyphen/>
              <w:t>road and off</w:t>
            </w:r>
            <w:r w:rsidRPr="00385BFE">
              <w:rPr>
                <w:rFonts w:eastAsiaTheme="minorEastAsia"/>
              </w:rPr>
              <w:noBreakHyphen/>
              <w:t>road injuries and there is a six month lag in the data.</w:t>
            </w:r>
          </w:p>
        </w:tc>
      </w:tr>
      <w:tr w:rsidR="00E25CC6" w:rsidRPr="00DE4DBE" w:rsidTr="00DE4DBE">
        <w:trPr>
          <w:cantSplit/>
        </w:trPr>
        <w:tc>
          <w:tcPr>
            <w:tcW w:w="3146" w:type="dxa"/>
            <w:tcBorders>
              <w:top w:val="nil"/>
              <w:left w:val="nil"/>
              <w:bottom w:val="nil"/>
              <w:right w:val="nil"/>
            </w:tcBorders>
          </w:tcPr>
          <w:p w:rsidR="00E25CC6" w:rsidRPr="00DE4DBE" w:rsidRDefault="00E25CC6" w:rsidP="00DE4DBE">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DE4DBE">
        <w:trPr>
          <w:cantSplit/>
        </w:trPr>
        <w:tc>
          <w:tcPr>
            <w:tcW w:w="3146" w:type="dxa"/>
            <w:tcBorders>
              <w:top w:val="nil"/>
              <w:left w:val="nil"/>
              <w:bottom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Community Crime Prevention grant payments properly acquitted</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r>
      <w:tr w:rsidR="00E25CC6" w:rsidRPr="00DE4DBE" w:rsidTr="00F83171">
        <w:trPr>
          <w:cantSplit/>
        </w:trPr>
        <w:tc>
          <w:tcPr>
            <w:tcW w:w="7767" w:type="dxa"/>
            <w:gridSpan w:val="6"/>
            <w:tcBorders>
              <w:top w:val="nil"/>
              <w:left w:val="nil"/>
              <w:bottom w:val="single" w:sz="6" w:space="0" w:color="auto"/>
              <w:right w:val="nil"/>
            </w:tcBorders>
          </w:tcPr>
          <w:p w:rsidR="00E25CC6" w:rsidRPr="00DE4DBE" w:rsidRDefault="00E25CC6" w:rsidP="00DE4DBE">
            <w:pPr>
              <w:pStyle w:val="OGNotes"/>
              <w:rPr>
                <w:rFonts w:eastAsiaTheme="minorEastAsia"/>
              </w:rPr>
            </w:pPr>
            <w:r w:rsidRPr="00DE4DBE">
              <w:rPr>
                <w:rFonts w:eastAsiaTheme="minorEastAsia"/>
              </w:rPr>
              <w:t xml:space="preserve">This performance measure renames the existing performance measure </w:t>
            </w:r>
            <w:r>
              <w:rPr>
                <w:rFonts w:eastAsiaTheme="minorEastAsia"/>
              </w:rPr>
              <w:t>‘</w:t>
            </w:r>
            <w:r w:rsidRPr="00DE4DBE">
              <w:rPr>
                <w:rFonts w:eastAsiaTheme="minorEastAsia"/>
              </w:rPr>
              <w:t>Community Crime Prevention grant payments made against completion of milestones in funding agreement</w:t>
            </w:r>
            <w:r>
              <w:rPr>
                <w:rFonts w:eastAsiaTheme="minorEastAsia"/>
              </w:rPr>
              <w:t>’</w:t>
            </w:r>
            <w:r w:rsidRPr="00DE4DBE">
              <w:rPr>
                <w:rFonts w:eastAsiaTheme="minorEastAsia"/>
              </w:rPr>
              <w:t xml:space="preserve"> to more accurately reflect the provision of services.</w:t>
            </w:r>
          </w:p>
          <w:p w:rsidR="00E25CC6" w:rsidRPr="00DE4DBE" w:rsidRDefault="00E25CC6" w:rsidP="00DE4DBE">
            <w:pPr>
              <w:pStyle w:val="OGNotes"/>
              <w:rPr>
                <w:rFonts w:eastAsiaTheme="minorEastAsia"/>
              </w:rPr>
            </w:pPr>
            <w:r w:rsidRPr="00DE4DBE">
              <w:rPr>
                <w:rFonts w:eastAsiaTheme="minorEastAsia"/>
              </w:rPr>
              <w:t>This performance measure is transferred directly from the former Enhancing Community Safety output.</w:t>
            </w:r>
          </w:p>
        </w:tc>
      </w:tr>
      <w:tr w:rsidR="00E25CC6" w:rsidRPr="00DE4DBE" w:rsidTr="00F83171">
        <w:trPr>
          <w:cantSplit/>
        </w:trPr>
        <w:tc>
          <w:tcPr>
            <w:tcW w:w="3146" w:type="dxa"/>
            <w:tcBorders>
              <w:top w:val="single" w:sz="6" w:space="0" w:color="auto"/>
              <w:left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Proportion of community satisfied with policing services (general satisfaction)</w:t>
            </w:r>
          </w:p>
        </w:tc>
        <w:tc>
          <w:tcPr>
            <w:tcW w:w="907" w:type="dxa"/>
            <w:tcBorders>
              <w:top w:val="single" w:sz="6" w:space="0" w:color="auto"/>
              <w:left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77</w:t>
            </w:r>
          </w:p>
        </w:tc>
        <w:tc>
          <w:tcPr>
            <w:tcW w:w="992" w:type="dxa"/>
            <w:tcBorders>
              <w:top w:val="single" w:sz="6" w:space="0" w:color="auto"/>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75.8</w:t>
            </w:r>
          </w:p>
        </w:tc>
        <w:tc>
          <w:tcPr>
            <w:tcW w:w="907" w:type="dxa"/>
            <w:tcBorders>
              <w:top w:val="single" w:sz="6" w:space="0" w:color="auto"/>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w:t>
            </w:r>
          </w:p>
        </w:tc>
        <w:tc>
          <w:tcPr>
            <w:tcW w:w="908" w:type="dxa"/>
            <w:tcBorders>
              <w:top w:val="single" w:sz="6" w:space="0" w:color="auto"/>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77.8</w:t>
            </w:r>
          </w:p>
        </w:tc>
      </w:tr>
      <w:tr w:rsidR="00E25CC6" w:rsidRPr="00DE4DBE" w:rsidTr="00F83171">
        <w:trPr>
          <w:cantSplit/>
        </w:trPr>
        <w:tc>
          <w:tcPr>
            <w:tcW w:w="7767" w:type="dxa"/>
            <w:gridSpan w:val="6"/>
            <w:tcBorders>
              <w:left w:val="nil"/>
              <w:bottom w:val="single" w:sz="6" w:space="0" w:color="auto"/>
              <w:right w:val="nil"/>
            </w:tcBorders>
          </w:tcPr>
          <w:p w:rsidR="00E25CC6" w:rsidRPr="00F83171" w:rsidRDefault="00E25CC6" w:rsidP="00BB6900">
            <w:pPr>
              <w:pStyle w:val="OGNotes"/>
              <w:rPr>
                <w:rFonts w:eastAsiaTheme="minorEastAsia"/>
              </w:rPr>
            </w:pPr>
            <w:r>
              <w:rPr>
                <w:rFonts w:eastAsiaTheme="minorEastAsia"/>
              </w:rPr>
              <w:t>The higher 2016</w:t>
            </w:r>
            <w:r>
              <w:rPr>
                <w:rFonts w:eastAsiaTheme="minorEastAsia"/>
              </w:rPr>
              <w:noBreakHyphen/>
              <w:t>17 target reflects the 2015</w:t>
            </w:r>
            <w:r>
              <w:rPr>
                <w:rFonts w:eastAsiaTheme="minorEastAsia"/>
              </w:rPr>
              <w:noBreakHyphen/>
              <w:t>16 expected outcome.</w:t>
            </w:r>
          </w:p>
        </w:tc>
      </w:tr>
      <w:tr w:rsidR="00E25CC6" w:rsidRPr="00DE4DBE" w:rsidTr="00DE4DBE">
        <w:trPr>
          <w:cantSplit/>
        </w:trPr>
        <w:tc>
          <w:tcPr>
            <w:tcW w:w="3146" w:type="dxa"/>
            <w:tcBorders>
              <w:top w:val="single" w:sz="6" w:space="0" w:color="auto"/>
              <w:left w:val="nil"/>
              <w:bottom w:val="single" w:sz="6" w:space="0" w:color="auto"/>
              <w:right w:val="nil"/>
            </w:tcBorders>
          </w:tcPr>
          <w:p w:rsidR="00E25CC6" w:rsidRPr="00385BFE" w:rsidRDefault="00E25CC6" w:rsidP="00DE4DBE">
            <w:pPr>
              <w:pStyle w:val="OGTabText"/>
              <w:rPr>
                <w:rFonts w:eastAsiaTheme="minorEastAsia"/>
                <w:lang w:eastAsia="en-AU"/>
              </w:rPr>
            </w:pPr>
            <w:r w:rsidRPr="00385BFE">
              <w:rPr>
                <w:rFonts w:eastAsiaTheme="minorEastAsia"/>
                <w:lang w:eastAsia="en-AU"/>
              </w:rPr>
              <w:t>Proportion of drivers tested who comply with alcohol limits</w:t>
            </w:r>
          </w:p>
        </w:tc>
        <w:tc>
          <w:tcPr>
            <w:tcW w:w="907" w:type="dxa"/>
            <w:tcBorders>
              <w:top w:val="single" w:sz="6" w:space="0" w:color="auto"/>
              <w:left w:val="nil"/>
              <w:bottom w:val="single" w:sz="6" w:space="0" w:color="auto"/>
              <w:right w:val="nil"/>
            </w:tcBorders>
          </w:tcPr>
          <w:p w:rsidR="00E25CC6" w:rsidRPr="00385BFE" w:rsidRDefault="00E25CC6" w:rsidP="00DE4DBE">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99.5</w:t>
            </w:r>
          </w:p>
        </w:tc>
        <w:tc>
          <w:tcPr>
            <w:tcW w:w="992"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99.5</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99.5</w:t>
            </w:r>
          </w:p>
        </w:tc>
        <w:tc>
          <w:tcPr>
            <w:tcW w:w="908"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99.8</w:t>
            </w:r>
          </w:p>
        </w:tc>
      </w:tr>
      <w:tr w:rsidR="00E25CC6" w:rsidRPr="00DE4DBE" w:rsidTr="00DE4DBE">
        <w:trPr>
          <w:cantSplit/>
        </w:trPr>
        <w:tc>
          <w:tcPr>
            <w:tcW w:w="3146" w:type="dxa"/>
            <w:tcBorders>
              <w:top w:val="nil"/>
              <w:left w:val="nil"/>
              <w:bottom w:val="nil"/>
              <w:right w:val="nil"/>
            </w:tcBorders>
          </w:tcPr>
          <w:p w:rsidR="00E25CC6" w:rsidRPr="00385BFE" w:rsidRDefault="00E25CC6" w:rsidP="00EB7DCA">
            <w:pPr>
              <w:pStyle w:val="OGTabText"/>
              <w:keepNext/>
              <w:rPr>
                <w:rFonts w:eastAsiaTheme="minorEastAsia"/>
                <w:lang w:eastAsia="en-AU"/>
              </w:rPr>
            </w:pPr>
            <w:r w:rsidRPr="00385BFE">
              <w:rPr>
                <w:rFonts w:eastAsiaTheme="minorEastAsia"/>
                <w:lang w:eastAsia="en-AU"/>
              </w:rPr>
              <w:t>Proportion of drivers tested by road safety cameras who comply with posted speed limits</w:t>
            </w: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99.5</w:t>
            </w:r>
          </w:p>
        </w:tc>
        <w:tc>
          <w:tcPr>
            <w:tcW w:w="992"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99.5</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99.5</w:t>
            </w: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99.5</w:t>
            </w:r>
          </w:p>
        </w:tc>
      </w:tr>
      <w:tr w:rsidR="00E25CC6" w:rsidRPr="00DE4DBE" w:rsidTr="00DE4DBE">
        <w:trPr>
          <w:cantSplit/>
        </w:trPr>
        <w:tc>
          <w:tcPr>
            <w:tcW w:w="7767" w:type="dxa"/>
            <w:gridSpan w:val="6"/>
            <w:tcBorders>
              <w:top w:val="nil"/>
              <w:left w:val="nil"/>
              <w:bottom w:val="single" w:sz="6" w:space="0" w:color="auto"/>
              <w:right w:val="nil"/>
            </w:tcBorders>
          </w:tcPr>
          <w:p w:rsidR="00E25CC6" w:rsidRPr="00DE4DBE" w:rsidRDefault="00E25CC6" w:rsidP="00DE4DBE">
            <w:pPr>
              <w:pStyle w:val="OGNotes"/>
              <w:rPr>
                <w:rFonts w:eastAsiaTheme="minorEastAsia"/>
              </w:rPr>
            </w:pPr>
            <w:r w:rsidRPr="00DE4DBE">
              <w:rPr>
                <w:rFonts w:eastAsiaTheme="minorEastAsia"/>
              </w:rPr>
              <w:t xml:space="preserve">This performance measure renames the existing performance measure, </w:t>
            </w:r>
            <w:r>
              <w:rPr>
                <w:rFonts w:eastAsiaTheme="minorEastAsia"/>
              </w:rPr>
              <w:t>‘</w:t>
            </w:r>
            <w:r w:rsidRPr="00DE4DBE">
              <w:rPr>
                <w:rFonts w:eastAsiaTheme="minorEastAsia"/>
              </w:rPr>
              <w:t>Proportion of drivers tested who comply with posted speed limits</w:t>
            </w:r>
            <w:r>
              <w:rPr>
                <w:rFonts w:eastAsiaTheme="minorEastAsia"/>
              </w:rPr>
              <w:t>’</w:t>
            </w:r>
            <w:r w:rsidRPr="00DE4DBE">
              <w:rPr>
                <w:rFonts w:eastAsiaTheme="minorEastAsia"/>
              </w:rPr>
              <w:t xml:space="preserve"> to clarify the means of testing as road safety cameras. The measure calculates the percentage of vehicles passing fixed or mobile speed cameras that comply with the posted speed limit.</w:t>
            </w:r>
          </w:p>
        </w:tc>
      </w:tr>
      <w:tr w:rsidR="00E25CC6" w:rsidRPr="00DE4DBE" w:rsidTr="00DE4DBE">
        <w:trPr>
          <w:cantSplit/>
        </w:trPr>
        <w:tc>
          <w:tcPr>
            <w:tcW w:w="3146" w:type="dxa"/>
            <w:tcBorders>
              <w:top w:val="nil"/>
              <w:left w:val="nil"/>
              <w:bottom w:val="nil"/>
              <w:right w:val="nil"/>
            </w:tcBorders>
          </w:tcPr>
          <w:p w:rsidR="00E25CC6" w:rsidRPr="00385BFE" w:rsidRDefault="00E25CC6" w:rsidP="00DE4DBE">
            <w:pPr>
              <w:pStyle w:val="OGTabText"/>
              <w:rPr>
                <w:rFonts w:eastAsiaTheme="minorEastAsia"/>
                <w:lang w:eastAsia="en-AU"/>
              </w:rPr>
            </w:pPr>
            <w:r w:rsidRPr="00385BFE">
              <w:rPr>
                <w:rFonts w:eastAsiaTheme="minorEastAsia"/>
                <w:lang w:eastAsia="en-AU"/>
              </w:rPr>
              <w:t>Proportion of drivers tested who return clear result for prohibited drugs</w:t>
            </w:r>
          </w:p>
        </w:tc>
        <w:tc>
          <w:tcPr>
            <w:tcW w:w="907" w:type="dxa"/>
            <w:tcBorders>
              <w:top w:val="nil"/>
              <w:left w:val="nil"/>
              <w:bottom w:val="nil"/>
              <w:right w:val="nil"/>
            </w:tcBorders>
          </w:tcPr>
          <w:p w:rsidR="00E25CC6" w:rsidRPr="00385BFE" w:rsidRDefault="00E25CC6" w:rsidP="00DE4DBE">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385BFE" w:rsidRDefault="00E25CC6" w:rsidP="000D54AD">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93</w:t>
            </w:r>
          </w:p>
        </w:tc>
        <w:tc>
          <w:tcPr>
            <w:tcW w:w="992" w:type="dxa"/>
            <w:tcBorders>
              <w:top w:val="nil"/>
              <w:left w:val="nil"/>
              <w:bottom w:val="nil"/>
              <w:right w:val="nil"/>
            </w:tcBorders>
          </w:tcPr>
          <w:p w:rsidR="00E25CC6" w:rsidRPr="00385BFE" w:rsidRDefault="00E25CC6" w:rsidP="00DE4DBE">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92</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93</w:t>
            </w: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94.3</w:t>
            </w:r>
          </w:p>
        </w:tc>
      </w:tr>
      <w:tr w:rsidR="00E25CC6" w:rsidRPr="00DE4DBE" w:rsidTr="00F83171">
        <w:trPr>
          <w:cantSplit/>
        </w:trPr>
        <w:tc>
          <w:tcPr>
            <w:tcW w:w="3146" w:type="dxa"/>
            <w:tcBorders>
              <w:top w:val="single" w:sz="6" w:space="0" w:color="auto"/>
              <w:left w:val="nil"/>
              <w:bottom w:val="single" w:sz="6" w:space="0" w:color="auto"/>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Proportion of successful prosecution outcomes</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92</w:t>
            </w:r>
          </w:p>
        </w:tc>
        <w:tc>
          <w:tcPr>
            <w:tcW w:w="992"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92</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92</w:t>
            </w:r>
          </w:p>
        </w:tc>
        <w:tc>
          <w:tcPr>
            <w:tcW w:w="908"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92.8</w:t>
            </w:r>
          </w:p>
        </w:tc>
      </w:tr>
      <w:tr w:rsidR="00E25CC6" w:rsidRPr="00DE4DBE" w:rsidTr="00F83171">
        <w:trPr>
          <w:cantSplit/>
        </w:trPr>
        <w:tc>
          <w:tcPr>
            <w:tcW w:w="3146" w:type="dxa"/>
            <w:tcBorders>
              <w:top w:val="single" w:sz="6" w:space="0" w:color="auto"/>
              <w:left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Proportion of the community who have confidence in police (an integrity indicator)</w:t>
            </w:r>
          </w:p>
        </w:tc>
        <w:tc>
          <w:tcPr>
            <w:tcW w:w="907" w:type="dxa"/>
            <w:tcBorders>
              <w:top w:val="single" w:sz="6" w:space="0" w:color="auto"/>
              <w:left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DE4DBE" w:rsidRDefault="00E25CC6" w:rsidP="004F6767">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w:t>
            </w:r>
            <w:r>
              <w:rPr>
                <w:rFonts w:ascii="Calibri" w:eastAsiaTheme="minorEastAsia" w:hAnsi="Calibri" w:cs="Calibri"/>
                <w:color w:val="000000"/>
                <w:sz w:val="19"/>
                <w:szCs w:val="22"/>
                <w:lang w:eastAsia="en-AU"/>
              </w:rPr>
              <w:t>7</w:t>
            </w:r>
          </w:p>
        </w:tc>
        <w:tc>
          <w:tcPr>
            <w:tcW w:w="992" w:type="dxa"/>
            <w:tcBorders>
              <w:top w:val="single" w:sz="6" w:space="0" w:color="auto"/>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86.5</w:t>
            </w:r>
          </w:p>
        </w:tc>
        <w:tc>
          <w:tcPr>
            <w:tcW w:w="907" w:type="dxa"/>
            <w:tcBorders>
              <w:top w:val="single" w:sz="6" w:space="0" w:color="auto"/>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single" w:sz="6" w:space="0" w:color="auto"/>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88.7</w:t>
            </w:r>
          </w:p>
        </w:tc>
      </w:tr>
      <w:tr w:rsidR="00E25CC6" w:rsidRPr="00DE4DBE" w:rsidTr="00F83171">
        <w:trPr>
          <w:cantSplit/>
        </w:trPr>
        <w:tc>
          <w:tcPr>
            <w:tcW w:w="7767" w:type="dxa"/>
            <w:gridSpan w:val="6"/>
            <w:tcBorders>
              <w:left w:val="nil"/>
              <w:bottom w:val="single" w:sz="6" w:space="0" w:color="auto"/>
              <w:right w:val="nil"/>
            </w:tcBorders>
          </w:tcPr>
          <w:p w:rsidR="00E25CC6" w:rsidRPr="00F83171" w:rsidRDefault="00E25CC6" w:rsidP="00F83171">
            <w:pPr>
              <w:pStyle w:val="OGNotes"/>
              <w:rPr>
                <w:rFonts w:eastAsiaTheme="minorEastAsia"/>
              </w:rPr>
            </w:pPr>
            <w:r>
              <w:rPr>
                <w:rFonts w:eastAsiaTheme="minorEastAsia"/>
              </w:rPr>
              <w:t>The higher 2016-17 target reflects the 2015</w:t>
            </w:r>
            <w:r>
              <w:rPr>
                <w:rFonts w:eastAsiaTheme="minorEastAsia"/>
              </w:rPr>
              <w:noBreakHyphen/>
              <w:t>16 expected outcome.</w:t>
            </w:r>
          </w:p>
        </w:tc>
      </w:tr>
      <w:tr w:rsidR="00E25CC6" w:rsidRPr="00DE4DBE" w:rsidTr="00F83171">
        <w:trPr>
          <w:cantSplit/>
        </w:trPr>
        <w:tc>
          <w:tcPr>
            <w:tcW w:w="3146" w:type="dxa"/>
            <w:tcBorders>
              <w:top w:val="nil"/>
              <w:left w:val="nil"/>
              <w:right w:val="nil"/>
            </w:tcBorders>
          </w:tcPr>
          <w:p w:rsidR="00E25CC6" w:rsidRPr="00DE4DBE" w:rsidRDefault="00E25CC6" w:rsidP="00DE4DBE">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F83171">
        <w:trPr>
          <w:cantSplit/>
        </w:trPr>
        <w:tc>
          <w:tcPr>
            <w:tcW w:w="3146" w:type="dxa"/>
            <w:tcBorders>
              <w:top w:val="nil"/>
              <w:left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Proportion of crimes against the person resolved within 30 days</w:t>
            </w:r>
          </w:p>
        </w:tc>
        <w:tc>
          <w:tcPr>
            <w:tcW w:w="907" w:type="dxa"/>
            <w:tcBorders>
              <w:top w:val="nil"/>
              <w:left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≥42</w:t>
            </w:r>
          </w:p>
        </w:tc>
        <w:tc>
          <w:tcPr>
            <w:tcW w:w="992"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41.3</w:t>
            </w:r>
          </w:p>
        </w:tc>
        <w:tc>
          <w:tcPr>
            <w:tcW w:w="907"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≥40</w:t>
            </w:r>
          </w:p>
        </w:tc>
        <w:tc>
          <w:tcPr>
            <w:tcW w:w="908"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36.8</w:t>
            </w:r>
          </w:p>
        </w:tc>
      </w:tr>
      <w:tr w:rsidR="00E25CC6" w:rsidRPr="00DE4DBE" w:rsidTr="00F83171">
        <w:trPr>
          <w:cantSplit/>
        </w:trPr>
        <w:tc>
          <w:tcPr>
            <w:tcW w:w="7767" w:type="dxa"/>
            <w:gridSpan w:val="6"/>
            <w:tcBorders>
              <w:left w:val="nil"/>
              <w:bottom w:val="single" w:sz="6" w:space="0" w:color="auto"/>
              <w:right w:val="nil"/>
            </w:tcBorders>
          </w:tcPr>
          <w:p w:rsidR="00E25CC6" w:rsidRPr="00F83171" w:rsidRDefault="00E25CC6" w:rsidP="00F83171">
            <w:pPr>
              <w:pStyle w:val="OGNotes"/>
              <w:rPr>
                <w:rFonts w:eastAsiaTheme="minorEastAsia"/>
              </w:rPr>
            </w:pPr>
            <w:r>
              <w:rPr>
                <w:rFonts w:eastAsiaTheme="minorEastAsia"/>
              </w:rPr>
              <w:t>The higher 2016-17 target reflects the 2015</w:t>
            </w:r>
            <w:r>
              <w:rPr>
                <w:rFonts w:eastAsiaTheme="minorEastAsia"/>
              </w:rPr>
              <w:noBreakHyphen/>
              <w:t>16 expected outcome.</w:t>
            </w:r>
          </w:p>
        </w:tc>
      </w:tr>
      <w:tr w:rsidR="00E25CC6" w:rsidRPr="00DE4DBE" w:rsidTr="00DE4DBE">
        <w:trPr>
          <w:cantSplit/>
        </w:trPr>
        <w:tc>
          <w:tcPr>
            <w:tcW w:w="3146" w:type="dxa"/>
            <w:tcBorders>
              <w:top w:val="single" w:sz="6" w:space="0" w:color="auto"/>
              <w:left w:val="nil"/>
              <w:bottom w:val="single" w:sz="6" w:space="0" w:color="auto"/>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Proportion of property crime resolved within 30 days</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≥22</w:t>
            </w:r>
          </w:p>
        </w:tc>
        <w:tc>
          <w:tcPr>
            <w:tcW w:w="992"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21.8</w:t>
            </w:r>
          </w:p>
        </w:tc>
        <w:tc>
          <w:tcPr>
            <w:tcW w:w="907"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≥22</w:t>
            </w:r>
          </w:p>
        </w:tc>
        <w:tc>
          <w:tcPr>
            <w:tcW w:w="908" w:type="dxa"/>
            <w:tcBorders>
              <w:top w:val="single" w:sz="6" w:space="0" w:color="auto"/>
              <w:left w:val="nil"/>
              <w:bottom w:val="single" w:sz="6" w:space="0" w:color="auto"/>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20.5</w:t>
            </w:r>
          </w:p>
        </w:tc>
      </w:tr>
      <w:tr w:rsidR="00E25CC6" w:rsidRPr="00DE4DBE" w:rsidTr="00DE4DBE">
        <w:trPr>
          <w:cantSplit/>
        </w:trPr>
        <w:tc>
          <w:tcPr>
            <w:tcW w:w="3146" w:type="dxa"/>
            <w:tcBorders>
              <w:top w:val="nil"/>
              <w:left w:val="nil"/>
              <w:bottom w:val="nil"/>
              <w:right w:val="nil"/>
            </w:tcBorders>
          </w:tcPr>
          <w:p w:rsidR="00E25CC6" w:rsidRPr="00DE4DBE" w:rsidRDefault="00E25CC6" w:rsidP="00DE4DBE">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6900">
        <w:trPr>
          <w:cantSplit/>
        </w:trPr>
        <w:tc>
          <w:tcPr>
            <w:tcW w:w="3146" w:type="dxa"/>
            <w:tcBorders>
              <w:top w:val="nil"/>
              <w:left w:val="nil"/>
              <w:right w:val="nil"/>
            </w:tcBorders>
          </w:tcPr>
          <w:p w:rsidR="00E25CC6" w:rsidRPr="00DE4DBE" w:rsidRDefault="00E25CC6" w:rsidP="00DE4DBE">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right w:val="nil"/>
            </w:tcBorders>
          </w:tcPr>
          <w:p w:rsidR="00E25CC6" w:rsidRPr="00DE4DBE" w:rsidRDefault="00E25CC6" w:rsidP="00DE4DBE">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2 728.8</w:t>
            </w:r>
          </w:p>
        </w:tc>
        <w:tc>
          <w:tcPr>
            <w:tcW w:w="992"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2 601.9</w:t>
            </w:r>
          </w:p>
        </w:tc>
        <w:tc>
          <w:tcPr>
            <w:tcW w:w="907"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2 523.5</w:t>
            </w:r>
          </w:p>
        </w:tc>
        <w:tc>
          <w:tcPr>
            <w:tcW w:w="908" w:type="dxa"/>
            <w:tcBorders>
              <w:top w:val="nil"/>
              <w:left w:val="nil"/>
              <w:right w:val="nil"/>
            </w:tcBorders>
          </w:tcPr>
          <w:p w:rsidR="00E25CC6" w:rsidRPr="00DE4DBE" w:rsidRDefault="00E25CC6" w:rsidP="00DE4DBE">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2 479.3</w:t>
            </w:r>
          </w:p>
        </w:tc>
      </w:tr>
      <w:tr w:rsidR="00E25CC6" w:rsidRPr="00DE4DBE" w:rsidTr="00BB6900">
        <w:trPr>
          <w:cantSplit/>
        </w:trPr>
        <w:tc>
          <w:tcPr>
            <w:tcW w:w="7767" w:type="dxa"/>
            <w:gridSpan w:val="6"/>
            <w:tcBorders>
              <w:top w:val="nil"/>
              <w:left w:val="nil"/>
              <w:bottom w:val="single" w:sz="12" w:space="0" w:color="auto"/>
              <w:right w:val="nil"/>
            </w:tcBorders>
          </w:tcPr>
          <w:p w:rsidR="00E25CC6" w:rsidRPr="00DE4DBE" w:rsidRDefault="00E25CC6" w:rsidP="00DE4DBE">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is due to the incremental indexation for frontline policing services, custody </w:t>
            </w:r>
            <w:r w:rsidRPr="00385BFE">
              <w:rPr>
                <w:rFonts w:eastAsiaTheme="minorEastAsia"/>
              </w:rPr>
              <w:t xml:space="preserve">officers to manage prisoners in police cells and additional funding provided as part of the </w:t>
            </w:r>
            <w:r w:rsidRPr="00385BFE">
              <w:rPr>
                <w:rFonts w:eastAsiaTheme="minorEastAsia"/>
                <w:i w:val="0"/>
              </w:rPr>
              <w:t>2016</w:t>
            </w:r>
            <w:r w:rsidRPr="00385BFE">
              <w:rPr>
                <w:rFonts w:eastAsiaTheme="minorEastAsia"/>
                <w:i w:val="0"/>
              </w:rPr>
              <w:noBreakHyphen/>
              <w:t>17 Budget</w:t>
            </w:r>
            <w:r w:rsidRPr="00385BFE">
              <w:rPr>
                <w:rFonts w:eastAsiaTheme="minorEastAsia"/>
              </w:rPr>
              <w:t xml:space="preserve"> including funding for </w:t>
            </w:r>
            <w:r w:rsidRPr="00410A55">
              <w:rPr>
                <w:rFonts w:eastAsiaTheme="minorEastAsia"/>
              </w:rPr>
              <w:t>Public Safety</w:t>
            </w:r>
            <w:r w:rsidRPr="00DE4DBE">
              <w:rPr>
                <w:rFonts w:eastAsiaTheme="minorEastAsia"/>
              </w:rPr>
              <w:t xml:space="preserve"> </w:t>
            </w:r>
            <w:r>
              <w:rPr>
                <w:rFonts w:eastAsiaTheme="minorEastAsia"/>
              </w:rPr>
              <w:t xml:space="preserve">– Police </w:t>
            </w:r>
            <w:r w:rsidRPr="00DE4DBE">
              <w:rPr>
                <w:rFonts w:eastAsiaTheme="minorEastAsia"/>
              </w:rPr>
              <w:t>Response</w:t>
            </w:r>
            <w:r>
              <w:rPr>
                <w:rFonts w:eastAsiaTheme="minorEastAsia"/>
              </w:rPr>
              <w:t xml:space="preserve"> and S</w:t>
            </w:r>
            <w:r w:rsidRPr="00DE4DBE">
              <w:rPr>
                <w:rFonts w:eastAsiaTheme="minorEastAsia"/>
              </w:rPr>
              <w:t>trengthen</w:t>
            </w:r>
            <w:r>
              <w:rPr>
                <w:rFonts w:eastAsiaTheme="minorEastAsia"/>
              </w:rPr>
              <w:t>ing Victoria Police’s C</w:t>
            </w:r>
            <w:r w:rsidRPr="00DE4DBE">
              <w:rPr>
                <w:rFonts w:eastAsiaTheme="minorEastAsia"/>
              </w:rPr>
              <w:t xml:space="preserve">ounter </w:t>
            </w:r>
            <w:r>
              <w:rPr>
                <w:rFonts w:eastAsiaTheme="minorEastAsia"/>
              </w:rPr>
              <w:t>T</w:t>
            </w:r>
            <w:r w:rsidRPr="00DE4DBE">
              <w:rPr>
                <w:rFonts w:eastAsiaTheme="minorEastAsia"/>
              </w:rPr>
              <w:t xml:space="preserve">errorism </w:t>
            </w:r>
            <w:r>
              <w:rPr>
                <w:rFonts w:eastAsiaTheme="minorEastAsia"/>
              </w:rPr>
              <w:t>C</w:t>
            </w:r>
            <w:r w:rsidRPr="00DE4DBE">
              <w:rPr>
                <w:rFonts w:eastAsiaTheme="minorEastAsia"/>
              </w:rPr>
              <w:t xml:space="preserve">apacity and </w:t>
            </w:r>
            <w:r>
              <w:rPr>
                <w:rFonts w:eastAsiaTheme="minorEastAsia"/>
              </w:rPr>
              <w:t>C</w:t>
            </w:r>
            <w:r w:rsidRPr="00DE4DBE">
              <w:rPr>
                <w:rFonts w:eastAsiaTheme="minorEastAsia"/>
              </w:rPr>
              <w:t>apability.</w:t>
            </w:r>
          </w:p>
          <w:p w:rsidR="00E25CC6" w:rsidRPr="00DE4DBE" w:rsidRDefault="00E25CC6" w:rsidP="00DE4DBE">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2015</w:t>
            </w:r>
            <w:r>
              <w:rPr>
                <w:rFonts w:eastAsiaTheme="minorEastAsia"/>
              </w:rPr>
              <w:noBreakHyphen/>
            </w:r>
            <w:r w:rsidRPr="00DE4DBE">
              <w:rPr>
                <w:rFonts w:eastAsiaTheme="minorEastAsia"/>
              </w:rPr>
              <w:t>16 target and 2015</w:t>
            </w:r>
            <w:r>
              <w:rPr>
                <w:rFonts w:eastAsiaTheme="minorEastAsia"/>
              </w:rPr>
              <w:noBreakHyphen/>
            </w:r>
            <w:r w:rsidRPr="00DE4DBE">
              <w:rPr>
                <w:rFonts w:eastAsiaTheme="minorEastAsia"/>
              </w:rPr>
              <w:t>16 expected outcome have been estimated based on a re</w:t>
            </w:r>
            <w:r>
              <w:rPr>
                <w:rFonts w:eastAsiaTheme="minorEastAsia"/>
              </w:rPr>
              <w:noBreakHyphen/>
            </w:r>
            <w:r w:rsidRPr="00DE4DBE">
              <w:rPr>
                <w:rFonts w:eastAsiaTheme="minorEastAsia"/>
              </w:rPr>
              <w:t>mapping of historical output costs.</w:t>
            </w:r>
          </w:p>
        </w:tc>
      </w:tr>
    </w:tbl>
    <w:p w:rsidR="00E25CC6" w:rsidRPr="00A57A8A" w:rsidRDefault="00E25CC6" w:rsidP="008370E1">
      <w:pPr>
        <w:pStyle w:val="Source"/>
        <w:rPr>
          <w:rFonts w:eastAsiaTheme="minorHAnsi"/>
        </w:rPr>
      </w:pPr>
      <w:r>
        <w:rPr>
          <w:rFonts w:eastAsiaTheme="minorHAnsi"/>
        </w:rPr>
        <w:t>Source: Department of Justice and Regulation</w:t>
      </w:r>
      <w:bookmarkEnd w:id="90"/>
      <w:r>
        <w:rPr>
          <w:rFonts w:eastAsiaTheme="minorHAnsi"/>
        </w:rPr>
        <w:t xml:space="preserve"> </w:t>
      </w:r>
      <w:r>
        <w:rPr>
          <w:rFonts w:eastAsiaTheme="minorHAnsi"/>
        </w:rPr>
        <w:fldChar w:fldCharType="begin"/>
      </w:r>
      <w:r>
        <w:instrText xml:space="preserve"> XE "</w:instrText>
      </w:r>
      <w:r w:rsidRPr="004A06F7">
        <w:instrText>Department of Justice and Regulation:Policing and Crime Prevention</w:instrText>
      </w:r>
      <w:r>
        <w:instrText xml:space="preserve">" \r "DJR_PoliceCrimPrevent" </w:instrText>
      </w:r>
      <w:r>
        <w:rPr>
          <w:rFonts w:eastAsiaTheme="minorHAnsi"/>
        </w:rPr>
        <w:fldChar w:fldCharType="end"/>
      </w:r>
      <w:r>
        <w:rPr>
          <w:rFonts w:eastAsiaTheme="minorHAnsi"/>
        </w:rPr>
        <w:t xml:space="preserve"> </w:t>
      </w:r>
      <w:r>
        <w:rPr>
          <w:rFonts w:eastAsiaTheme="minorHAnsi"/>
        </w:rPr>
        <w:fldChar w:fldCharType="begin"/>
      </w:r>
      <w:r>
        <w:instrText xml:space="preserve"> XE "</w:instrText>
      </w:r>
      <w:r w:rsidRPr="00DE3DBF">
        <w:instrText>Policing</w:instrText>
      </w:r>
      <w:r>
        <w:instrText xml:space="preserve">" \r "DJR_PoliceCrimPrevent" </w:instrText>
      </w:r>
      <w:r>
        <w:rPr>
          <w:rFonts w:eastAsiaTheme="minorHAnsi"/>
        </w:rPr>
        <w:fldChar w:fldCharType="end"/>
      </w:r>
    </w:p>
    <w:p w:rsidR="00E25CC6" w:rsidRDefault="00E25CC6">
      <w:pPr>
        <w:spacing w:after="0"/>
        <w:rPr>
          <w:rFonts w:ascii="Calibri" w:eastAsiaTheme="minorHAnsi" w:hAnsi="Calibri"/>
          <w:b/>
          <w:sz w:val="32"/>
          <w:szCs w:val="28"/>
        </w:rPr>
      </w:pPr>
      <w:r>
        <w:rPr>
          <w:rFonts w:eastAsiaTheme="minorHAnsi"/>
        </w:rPr>
        <w:br w:type="page"/>
      </w:r>
    </w:p>
    <w:p w:rsidR="00E25CC6" w:rsidRPr="00A57A8A" w:rsidRDefault="00E25CC6" w:rsidP="00A57A8A">
      <w:pPr>
        <w:pStyle w:val="OGHeading1"/>
        <w:rPr>
          <w:rFonts w:eastAsiaTheme="minorHAnsi"/>
        </w:rPr>
      </w:pPr>
      <w:r w:rsidRPr="00A57A8A">
        <w:rPr>
          <w:rFonts w:eastAsiaTheme="minorHAnsi"/>
        </w:rPr>
        <w:t xml:space="preserve">Enforcing and Managing Correctional Orders </w:t>
      </w:r>
    </w:p>
    <w:p w:rsidR="00E25CC6" w:rsidRDefault="00E25CC6" w:rsidP="00A57A8A">
      <w:pPr>
        <w:pStyle w:val="OGText"/>
        <w:rPr>
          <w:rFonts w:eastAsiaTheme="minorHAnsi"/>
        </w:rPr>
      </w:pPr>
      <w:bookmarkStart w:id="91" w:name="DJR_EnforceCorrectOrder"/>
      <w:r w:rsidRPr="00A57A8A">
        <w:rPr>
          <w:rFonts w:eastAsiaTheme="minorHAnsi"/>
        </w:rPr>
        <w:t>This output group relates to the management of the State</w:t>
      </w:r>
      <w:r>
        <w:rPr>
          <w:rFonts w:eastAsiaTheme="minorHAnsi"/>
        </w:rPr>
        <w:t>’</w:t>
      </w:r>
      <w:r w:rsidRPr="00A57A8A">
        <w:rPr>
          <w:rFonts w:eastAsiaTheme="minorHAnsi"/>
        </w:rPr>
        <w:t>s correctional system. It contributes to the Department</w:t>
      </w:r>
      <w:r>
        <w:rPr>
          <w:rFonts w:eastAsiaTheme="minorHAnsi"/>
        </w:rPr>
        <w:t>’</w:t>
      </w:r>
      <w:r w:rsidRPr="00A57A8A">
        <w:rPr>
          <w:rFonts w:eastAsiaTheme="minorHAnsi"/>
        </w:rPr>
        <w:t xml:space="preserve">s objective of </w:t>
      </w:r>
      <w:r>
        <w:rPr>
          <w:rFonts w:eastAsiaTheme="minorHAnsi"/>
        </w:rPr>
        <w:t>‘</w:t>
      </w:r>
      <w:r w:rsidRPr="00A57A8A">
        <w:rPr>
          <w:rFonts w:eastAsiaTheme="minorHAnsi"/>
        </w:rPr>
        <w:t>Effective management of prisoners and offenders and provision of opportunities for rehabilitation and reparation.</w:t>
      </w:r>
      <w:r>
        <w:rPr>
          <w:rFonts w:eastAsiaTheme="minorHAnsi"/>
        </w:rPr>
        <w:t>’</w:t>
      </w:r>
    </w:p>
    <w:tbl>
      <w:tblPr>
        <w:tblW w:w="7767" w:type="dxa"/>
        <w:tblInd w:w="45" w:type="dxa"/>
        <w:tblLayout w:type="fixed"/>
        <w:tblCellMar>
          <w:left w:w="45" w:type="dxa"/>
          <w:right w:w="45" w:type="dxa"/>
        </w:tblCellMar>
        <w:tblLook w:val="0000" w:firstRow="0" w:lastRow="0" w:firstColumn="0" w:lastColumn="0" w:noHBand="0" w:noVBand="0"/>
      </w:tblPr>
      <w:tblGrid>
        <w:gridCol w:w="3060"/>
        <w:gridCol w:w="993"/>
        <w:gridCol w:w="907"/>
        <w:gridCol w:w="992"/>
        <w:gridCol w:w="907"/>
        <w:gridCol w:w="908"/>
      </w:tblGrid>
      <w:tr w:rsidR="00E25CC6" w:rsidRPr="00DE4DBE" w:rsidTr="00252BD2">
        <w:trPr>
          <w:cantSplit/>
          <w:tblHeader/>
        </w:trPr>
        <w:tc>
          <w:tcPr>
            <w:tcW w:w="3060"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b/>
                <w:bCs/>
                <w:color w:val="FFFFFF"/>
                <w:sz w:val="19"/>
                <w:szCs w:val="22"/>
                <w:lang w:eastAsia="en-AU"/>
              </w:rPr>
              <w:t>Major outputs/deliverables</w:t>
            </w:r>
          </w:p>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Performance measures</w:t>
            </w:r>
          </w:p>
        </w:tc>
        <w:tc>
          <w:tcPr>
            <w:tcW w:w="993"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center"/>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15 actual</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Community Based Offender Supervision</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This output relates to the effective supervision of offenders in the community, including ensuring compliance with orders of the court and Adult Parole Board, engagement in programs to reduce reoffending and reparation to the community.</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Average daily offenders with reparation orders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2 900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2 712</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2 635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A64BCF">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anticipated increases in reparation orders.</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Average daily offenders with supervised court orders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11 450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9 821</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8 745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7 232</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A64BCF">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w:t>
            </w:r>
            <w:r>
              <w:rPr>
                <w:rFonts w:eastAsiaTheme="minorEastAsia"/>
              </w:rPr>
              <w:t>and t</w:t>
            </w:r>
            <w:r w:rsidRPr="00DE4DBE">
              <w:rPr>
                <w:rFonts w:eastAsiaTheme="minorEastAsia"/>
              </w:rPr>
              <w:t>he higher 2016</w:t>
            </w:r>
            <w:r>
              <w:rPr>
                <w:rFonts w:eastAsiaTheme="minorEastAsia"/>
              </w:rPr>
              <w:noBreakHyphen/>
            </w:r>
            <w:r w:rsidRPr="00DE4DBE">
              <w:rPr>
                <w:rFonts w:eastAsiaTheme="minorEastAsia"/>
              </w:rPr>
              <w:t xml:space="preserve">17 </w:t>
            </w:r>
            <w:r>
              <w:rPr>
                <w:rFonts w:eastAsiaTheme="minorEastAsia"/>
              </w:rPr>
              <w:t>target reflect</w:t>
            </w:r>
            <w:r w:rsidRPr="00DE4DBE">
              <w:rPr>
                <w:rFonts w:eastAsiaTheme="minorEastAsia"/>
              </w:rPr>
              <w:t xml:space="preserve"> continued increases in offenders with supervised court orders.</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Average daily prisoners on parole</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1 000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1 010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1 123</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1 130</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A64BCF">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w:t>
            </w:r>
            <w:r>
              <w:rPr>
                <w:rFonts w:eastAsiaTheme="minorEastAsia"/>
              </w:rPr>
              <w:t>and the</w:t>
            </w:r>
            <w:r w:rsidRPr="00DE4DBE">
              <w:rPr>
                <w:rFonts w:eastAsiaTheme="minorEastAsia"/>
              </w:rPr>
              <w:t xml:space="preserve"> lower 2016</w:t>
            </w:r>
            <w:r>
              <w:rPr>
                <w:rFonts w:eastAsiaTheme="minorEastAsia"/>
              </w:rPr>
              <w:noBreakHyphen/>
            </w:r>
            <w:r w:rsidRPr="00DE4DBE">
              <w:rPr>
                <w:rFonts w:eastAsiaTheme="minorEastAsia"/>
              </w:rPr>
              <w:t xml:space="preserve">17 </w:t>
            </w:r>
            <w:r>
              <w:rPr>
                <w:rFonts w:eastAsiaTheme="minorEastAsia"/>
              </w:rPr>
              <w:t>target reflect</w:t>
            </w:r>
            <w:r w:rsidRPr="00DE4DBE">
              <w:rPr>
                <w:rFonts w:eastAsiaTheme="minorEastAsia"/>
              </w:rPr>
              <w:t xml:space="preserve"> the</w:t>
            </w:r>
            <w:r>
              <w:rPr>
                <w:rFonts w:eastAsiaTheme="minorEastAsia"/>
              </w:rPr>
              <w:t xml:space="preserve"> impact</w:t>
            </w:r>
            <w:r w:rsidRPr="00DE4DBE">
              <w:rPr>
                <w:rFonts w:eastAsiaTheme="minorEastAsia"/>
              </w:rPr>
              <w:t xml:space="preserve"> </w:t>
            </w:r>
            <w:r>
              <w:rPr>
                <w:rFonts w:eastAsiaTheme="minorEastAsia"/>
              </w:rPr>
              <w:t>of</w:t>
            </w:r>
            <w:r w:rsidRPr="00DE4DBE">
              <w:rPr>
                <w:rFonts w:eastAsiaTheme="minorEastAsia"/>
              </w:rPr>
              <w:t xml:space="preserve"> parole reforms.</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Community</w:t>
            </w:r>
            <w:r>
              <w:rPr>
                <w:rFonts w:eastAsiaTheme="minorEastAsia"/>
                <w:lang w:eastAsia="en-AU"/>
              </w:rPr>
              <w:noBreakHyphen/>
            </w:r>
            <w:r w:rsidRPr="00DE4DBE">
              <w:rPr>
                <w:rFonts w:eastAsiaTheme="minorEastAsia"/>
                <w:lang w:eastAsia="en-AU"/>
              </w:rPr>
              <w:t>work hours performed</w:t>
            </w:r>
          </w:p>
        </w:tc>
        <w:tc>
          <w:tcPr>
            <w:tcW w:w="993" w:type="dxa"/>
            <w:tcBorders>
              <w:top w:val="nil"/>
              <w:left w:val="nil"/>
              <w:bottom w:val="nil"/>
              <w:right w:val="nil"/>
            </w:tcBorders>
          </w:tcPr>
          <w:p w:rsidR="00E25CC6" w:rsidRPr="00DE4DBE" w:rsidRDefault="00E25CC6" w:rsidP="003873F1">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 (</w:t>
            </w:r>
            <w:r>
              <w:rPr>
                <w:rFonts w:ascii="Calibri" w:eastAsiaTheme="minorEastAsia" w:hAnsi="Calibri" w:cs="Calibri"/>
                <w:color w:val="000000"/>
                <w:sz w:val="19"/>
                <w:szCs w:val="22"/>
                <w:lang w:eastAsia="en-AU"/>
              </w:rPr>
              <w:t>000</w:t>
            </w:r>
            <w:r w:rsidRPr="00DE4DBE">
              <w:rPr>
                <w:rFonts w:ascii="Calibri" w:eastAsiaTheme="minorEastAsia" w:hAnsi="Calibri" w:cs="Calibri"/>
                <w:color w:val="000000"/>
                <w:sz w:val="19"/>
                <w:szCs w:val="22"/>
                <w:lang w:eastAsia="en-AU"/>
              </w:rPr>
              <w: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820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780</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880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739.5</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A64BCF">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additional demand for community work as a result of growth in </w:t>
            </w:r>
            <w:r>
              <w:rPr>
                <w:rFonts w:eastAsiaTheme="minorEastAsia"/>
              </w:rPr>
              <w:t>community corrections orders</w:t>
            </w:r>
            <w:r w:rsidRPr="00DE4DBE">
              <w:rPr>
                <w:rFonts w:eastAsiaTheme="minorEastAsia"/>
              </w:rPr>
              <w:t xml:space="preserve">. </w:t>
            </w:r>
          </w:p>
          <w:p w:rsidR="00E25CC6" w:rsidRPr="00DE4DBE" w:rsidRDefault="00E25CC6" w:rsidP="00A64BCF">
            <w:pPr>
              <w:pStyle w:val="OGNotes"/>
              <w:rPr>
                <w:rFonts w:eastAsiaTheme="minorEastAsia"/>
              </w:rPr>
            </w:pPr>
            <w:r w:rsidRPr="00DE4DBE">
              <w:rPr>
                <w:rFonts w:eastAsiaTheme="minorEastAsia"/>
              </w:rPr>
              <w:t>The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has been amended from a range for increased clarity.</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Rate of return to corrective services within two years of discharge from a community corrections order</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28</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24</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24.9</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2A2D4A">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the ongoing impact of the abolition of suspended sentences.</w:t>
            </w:r>
          </w:p>
          <w:p w:rsidR="00E25CC6" w:rsidRPr="00DE4DBE" w:rsidRDefault="00E25CC6" w:rsidP="00BB6900">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the </w:t>
            </w:r>
            <w:r>
              <w:rPr>
                <w:rFonts w:eastAsiaTheme="minorEastAsia"/>
              </w:rPr>
              <w:t>2015</w:t>
            </w:r>
            <w:r>
              <w:rPr>
                <w:rFonts w:eastAsiaTheme="minorEastAsia"/>
              </w:rPr>
              <w:noBreakHyphen/>
              <w:t xml:space="preserve">16 </w:t>
            </w:r>
            <w:r w:rsidRPr="00DE4DBE">
              <w:rPr>
                <w:rFonts w:eastAsiaTheme="minorEastAsia"/>
              </w:rPr>
              <w:t xml:space="preserve">expected </w:t>
            </w:r>
            <w:r>
              <w:rPr>
                <w:rFonts w:eastAsiaTheme="minorEastAsia"/>
              </w:rPr>
              <w:t>outcome</w:t>
            </w:r>
            <w:r w:rsidRPr="00DE4DBE">
              <w:rPr>
                <w:rFonts w:eastAsiaTheme="minorEastAsia"/>
              </w:rPr>
              <w:t xml:space="preserve">. </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Successful completion of parole orders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59</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55</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60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56.1</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2016</w:t>
            </w:r>
            <w:r>
              <w:rPr>
                <w:rFonts w:eastAsiaTheme="minorEastAsia"/>
              </w:rPr>
              <w:noBreakHyphen/>
            </w:r>
            <w:r w:rsidRPr="00DE4DBE">
              <w:rPr>
                <w:rFonts w:eastAsiaTheme="minorEastAsia"/>
              </w:rPr>
              <w:t>17 target has been amended from a range for increased clarity.</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Successful completion of reparation orders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73</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73</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75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72.7</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2016</w:t>
            </w:r>
            <w:r>
              <w:rPr>
                <w:rFonts w:eastAsiaTheme="minorEastAsia"/>
              </w:rPr>
              <w:noBreakHyphen/>
            </w:r>
            <w:r w:rsidRPr="00DE4DBE">
              <w:rPr>
                <w:rFonts w:eastAsiaTheme="minorEastAsia"/>
              </w:rPr>
              <w:t>17 target has been amended from a range for increased clarity.</w:t>
            </w:r>
          </w:p>
        </w:tc>
      </w:tr>
      <w:tr w:rsidR="00E25CC6" w:rsidRPr="00DE4DBE" w:rsidTr="00252BD2">
        <w:trPr>
          <w:cantSplit/>
        </w:trPr>
        <w:tc>
          <w:tcPr>
            <w:tcW w:w="3060" w:type="dxa"/>
            <w:tcBorders>
              <w:top w:val="nil"/>
              <w:left w:val="nil"/>
              <w:bottom w:val="nil"/>
              <w:right w:val="nil"/>
            </w:tcBorders>
          </w:tcPr>
          <w:p w:rsidR="00E25CC6" w:rsidRPr="00DE4DBE" w:rsidRDefault="00E25CC6" w:rsidP="00252BD2">
            <w:pPr>
              <w:pStyle w:val="OGTabText"/>
              <w:keepNext/>
              <w:rPr>
                <w:rFonts w:eastAsiaTheme="minorEastAsia"/>
                <w:lang w:eastAsia="en-AU"/>
              </w:rPr>
            </w:pPr>
            <w:r w:rsidRPr="00DE4DBE">
              <w:rPr>
                <w:rFonts w:eastAsiaTheme="minorEastAsia"/>
                <w:lang w:eastAsia="en-AU"/>
              </w:rPr>
              <w:t>Successful completion of supervised court orders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62</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62</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65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60.9</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2016</w:t>
            </w:r>
            <w:r>
              <w:rPr>
                <w:rFonts w:eastAsiaTheme="minorEastAsia"/>
              </w:rPr>
              <w:noBreakHyphen/>
            </w:r>
            <w:r w:rsidRPr="00DE4DBE">
              <w:rPr>
                <w:rFonts w:eastAsiaTheme="minorEastAsia"/>
              </w:rPr>
              <w:t>17 target has been amended from a range for increased clarity.</w:t>
            </w:r>
            <w:r>
              <w:rPr>
                <w:rFonts w:eastAsiaTheme="minorEastAsia"/>
              </w:rPr>
              <w:t xml:space="preserve"> The new target reflects the 2015-16 expected outcome.</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Offenders with a treatment or rehabilitation program condition who have been appropriately referred to a program within set timelines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95.1</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95.1</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385BFE" w:rsidRDefault="00E25CC6" w:rsidP="00D17255">
            <w:pPr>
              <w:pStyle w:val="OGNotes"/>
              <w:rPr>
                <w:rFonts w:eastAsiaTheme="minorEastAsia"/>
              </w:rPr>
            </w:pPr>
            <w:r w:rsidRPr="00385BFE">
              <w:rPr>
                <w:rFonts w:eastAsiaTheme="minorEastAsia"/>
              </w:rPr>
              <w:t>This performance measure renames the 2015</w:t>
            </w:r>
            <w:r w:rsidRPr="00385BFE">
              <w:rPr>
                <w:rFonts w:eastAsiaTheme="minorEastAsia"/>
              </w:rPr>
              <w:noBreakHyphen/>
              <w:t xml:space="preserve">16 performance measure </w:t>
            </w:r>
            <w:r>
              <w:rPr>
                <w:rFonts w:eastAsiaTheme="minorEastAsia"/>
              </w:rPr>
              <w:t>‘</w:t>
            </w:r>
            <w:r w:rsidRPr="00385BFE">
              <w:rPr>
                <w:rFonts w:eastAsiaTheme="minorEastAsia"/>
              </w:rPr>
              <w:t>Offenders with a treatment or personal development program condition who have been appropriately referred to a program within set timelines</w:t>
            </w:r>
            <w:r>
              <w:rPr>
                <w:rFonts w:eastAsiaTheme="minorEastAsia"/>
              </w:rPr>
              <w:t>’ to reflect the c</w:t>
            </w:r>
            <w:r w:rsidRPr="00385BFE">
              <w:rPr>
                <w:rFonts w:eastAsiaTheme="minorEastAsia"/>
              </w:rPr>
              <w:t>ommunity</w:t>
            </w:r>
            <w:r>
              <w:rPr>
                <w:rFonts w:eastAsiaTheme="minorEastAsia"/>
              </w:rPr>
              <w:t xml:space="preserve"> c</w:t>
            </w:r>
            <w:r w:rsidRPr="00385BFE">
              <w:rPr>
                <w:rFonts w:eastAsiaTheme="minorEastAsia"/>
              </w:rPr>
              <w:t>orrections</w:t>
            </w:r>
            <w:r>
              <w:rPr>
                <w:rFonts w:eastAsiaTheme="minorEastAsia"/>
              </w:rPr>
              <w:t xml:space="preserve"> o</w:t>
            </w:r>
            <w:r w:rsidRPr="00385BFE">
              <w:rPr>
                <w:rFonts w:eastAsiaTheme="minorEastAsia"/>
              </w:rPr>
              <w:t>rder program conditions.</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93" w:type="dxa"/>
            <w:tcBorders>
              <w:top w:val="nil"/>
              <w:left w:val="nil"/>
              <w:bottom w:val="nil"/>
              <w:right w:val="nil"/>
            </w:tcBorders>
          </w:tcPr>
          <w:p w:rsidR="00E25CC6" w:rsidRPr="00385BFE" w:rsidRDefault="00E25CC6" w:rsidP="00BB54D2">
            <w:pPr>
              <w:autoSpaceDE w:val="0"/>
              <w:autoSpaceDN w:val="0"/>
              <w:adjustRightInd w:val="0"/>
              <w:spacing w:after="0"/>
              <w:jc w:val="center"/>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output cost</w:t>
            </w:r>
          </w:p>
        </w:tc>
        <w:tc>
          <w:tcPr>
            <w:tcW w:w="993" w:type="dxa"/>
            <w:tcBorders>
              <w:top w:val="nil"/>
              <w:left w:val="nil"/>
              <w:bottom w:val="nil"/>
              <w:right w:val="nil"/>
            </w:tcBorders>
          </w:tcPr>
          <w:p w:rsidR="00E25CC6" w:rsidRPr="00385BFE" w:rsidRDefault="00E25CC6" w:rsidP="00BB54D2">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85BFE" w:rsidRDefault="00E25CC6" w:rsidP="00BB54D2">
            <w:pPr>
              <w:autoSpaceDE w:val="0"/>
              <w:autoSpaceDN w:val="0"/>
              <w:adjustRightInd w:val="0"/>
              <w:spacing w:after="0"/>
              <w:jc w:val="right"/>
              <w:rPr>
                <w:rFonts w:ascii="Calibri" w:eastAsiaTheme="minorEastAsia" w:hAnsi="Calibri" w:cs="Calibri"/>
                <w:strike/>
                <w:sz w:val="19"/>
                <w:szCs w:val="22"/>
                <w:lang w:eastAsia="en-AU"/>
              </w:rPr>
            </w:pPr>
            <w:r w:rsidRPr="00385BFE">
              <w:rPr>
                <w:rFonts w:ascii="Calibri" w:eastAsiaTheme="minorEastAsia" w:hAnsi="Calibri" w:cs="Calibri"/>
                <w:sz w:val="19"/>
                <w:szCs w:val="22"/>
                <w:lang w:eastAsia="en-AU"/>
              </w:rPr>
              <w:t>202.4</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164.2</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165.7</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127.5</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385BFE" w:rsidRDefault="00E25CC6" w:rsidP="00D17255">
            <w:pPr>
              <w:pStyle w:val="OGNotes"/>
              <w:rPr>
                <w:rFonts w:eastAsiaTheme="minorEastAsia"/>
                <w:strike/>
              </w:rPr>
            </w:pPr>
            <w:r w:rsidRPr="00385BFE">
              <w:t>The higher 2016</w:t>
            </w:r>
            <w:r w:rsidRPr="00385BFE">
              <w:noBreakHyphen/>
              <w:t xml:space="preserve">17 target largely reflects new funding for the Community Corrections – Contributing to a </w:t>
            </w:r>
            <w:r>
              <w:t>s</w:t>
            </w:r>
            <w:r w:rsidRPr="00385BFE">
              <w:t xml:space="preserve">afer </w:t>
            </w:r>
            <w:r>
              <w:t>c</w:t>
            </w:r>
            <w:r w:rsidRPr="00385BFE">
              <w:t xml:space="preserve">ommunity and Management of Serious Sex Offenders initiatives announced in the </w:t>
            </w:r>
            <w:r w:rsidRPr="00385BFE">
              <w:rPr>
                <w:i w:val="0"/>
              </w:rPr>
              <w:t>2016</w:t>
            </w:r>
            <w:r w:rsidRPr="00385BFE">
              <w:rPr>
                <w:i w:val="0"/>
              </w:rPr>
              <w:noBreakHyphen/>
              <w:t>17 Budget</w:t>
            </w:r>
            <w:r w:rsidRPr="00385BFE">
              <w:t>.</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Prisoner Supervision and Support</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This output relates to the safe, secure and humane containment of prisoners as well as the delivery of programs and effective case management to engage prisoners in positive behavioural change.</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Average daily prison utilisation rate of total prison capacity</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88.1</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95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90.2</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16 expected outcome is lower than the 2015</w:t>
            </w:r>
            <w:r>
              <w:rPr>
                <w:rFonts w:eastAsiaTheme="minorEastAsia"/>
              </w:rPr>
              <w:noBreakHyphen/>
            </w:r>
            <w:r w:rsidRPr="00DE4DBE">
              <w:rPr>
                <w:rFonts w:eastAsiaTheme="minorEastAsia"/>
              </w:rPr>
              <w:t>16 target due to the stabilisation of prisoner numbers in 2015 against expanded prison capacity.</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annual daily average number of prisoners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6 600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6 293</w:t>
            </w:r>
          </w:p>
        </w:tc>
        <w:tc>
          <w:tcPr>
            <w:tcW w:w="907" w:type="dxa"/>
            <w:tcBorders>
              <w:top w:val="nil"/>
              <w:left w:val="nil"/>
              <w:bottom w:val="nil"/>
              <w:right w:val="nil"/>
            </w:tcBorders>
          </w:tcPr>
          <w:p w:rsidR="00E25CC6" w:rsidRDefault="00E25CC6" w:rsidP="003873F1">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915</w:t>
            </w:r>
            <w:r>
              <w:rPr>
                <w:rFonts w:ascii="Calibri" w:eastAsiaTheme="minorEastAsia" w:hAnsi="Calibri" w:cs="Calibri"/>
                <w:color w:val="000000"/>
                <w:sz w:val="19"/>
                <w:szCs w:val="22"/>
                <w:lang w:eastAsia="en-AU"/>
              </w:rPr>
              <w:t>–</w:t>
            </w:r>
          </w:p>
          <w:p w:rsidR="00E25CC6" w:rsidRPr="00DE4DBE" w:rsidRDefault="00E25CC6" w:rsidP="003873F1">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300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6 350</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A64BCF">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w:t>
            </w:r>
            <w:r>
              <w:rPr>
                <w:rFonts w:eastAsiaTheme="minorEastAsia"/>
              </w:rPr>
              <w:t>and lower 2016-17 target</w:t>
            </w:r>
            <w:r w:rsidRPr="00DE4DBE">
              <w:rPr>
                <w:rFonts w:eastAsiaTheme="minorEastAsia"/>
              </w:rPr>
              <w:t xml:space="preserve"> </w:t>
            </w:r>
            <w:r>
              <w:rPr>
                <w:rFonts w:eastAsiaTheme="minorEastAsia"/>
              </w:rPr>
              <w:t xml:space="preserve">reflect </w:t>
            </w:r>
            <w:r w:rsidRPr="00DE4DBE">
              <w:rPr>
                <w:rFonts w:eastAsiaTheme="minorEastAsia"/>
              </w:rPr>
              <w:t xml:space="preserve">the stabilisation of prisoner numbers in 2015. </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Proportion of benchmark measures in prison services agreement achieved</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83.7</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84.8</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an increase in incidents associated with substantial growth in prisoner receptions and a higher proportion of prisoners on remand.</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Proportion of eligible prisoners in employment</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89</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88.9</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89.3</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an ongoing improvement in the proportion of eligible prisoners in employment.</w:t>
            </w:r>
          </w:p>
        </w:tc>
      </w:tr>
      <w:tr w:rsidR="00E25CC6" w:rsidRPr="00DE4DBE" w:rsidTr="00252BD2">
        <w:trPr>
          <w:cantSplit/>
        </w:trPr>
        <w:tc>
          <w:tcPr>
            <w:tcW w:w="3060" w:type="dxa"/>
            <w:tcBorders>
              <w:top w:val="nil"/>
              <w:left w:val="nil"/>
              <w:bottom w:val="nil"/>
              <w:right w:val="nil"/>
            </w:tcBorders>
          </w:tcPr>
          <w:p w:rsidR="00E25CC6" w:rsidRPr="00DE4DBE" w:rsidRDefault="00E25CC6" w:rsidP="003873F1">
            <w:pPr>
              <w:pStyle w:val="OGTabText"/>
              <w:keepNext/>
              <w:rPr>
                <w:rFonts w:eastAsiaTheme="minorEastAsia"/>
                <w:lang w:eastAsia="en-AU"/>
              </w:rPr>
            </w:pPr>
            <w:r w:rsidRPr="00DE4DBE">
              <w:rPr>
                <w:rFonts w:eastAsiaTheme="minorEastAsia"/>
                <w:lang w:eastAsia="en-AU"/>
              </w:rPr>
              <w:t>Rate of prisoner participation in education</w:t>
            </w:r>
          </w:p>
        </w:tc>
        <w:tc>
          <w:tcPr>
            <w:tcW w:w="993" w:type="dxa"/>
            <w:tcBorders>
              <w:top w:val="nil"/>
              <w:left w:val="nil"/>
              <w:bottom w:val="nil"/>
              <w:right w:val="nil"/>
            </w:tcBorders>
          </w:tcPr>
          <w:p w:rsidR="00E25CC6" w:rsidRPr="00DE4DBE" w:rsidRDefault="00E25CC6" w:rsidP="003873F1">
            <w:pPr>
              <w:keepNext/>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36</w:t>
            </w:r>
          </w:p>
        </w:tc>
        <w:tc>
          <w:tcPr>
            <w:tcW w:w="992" w:type="dxa"/>
            <w:tcBorders>
              <w:top w:val="nil"/>
              <w:left w:val="nil"/>
              <w:bottom w:val="nil"/>
              <w:right w:val="nil"/>
            </w:tcBorders>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35.8</w:t>
            </w:r>
          </w:p>
        </w:tc>
        <w:tc>
          <w:tcPr>
            <w:tcW w:w="907" w:type="dxa"/>
            <w:tcBorders>
              <w:top w:val="nil"/>
              <w:left w:val="nil"/>
              <w:bottom w:val="nil"/>
              <w:right w:val="nil"/>
            </w:tcBorders>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34</w:t>
            </w:r>
          </w:p>
        </w:tc>
        <w:tc>
          <w:tcPr>
            <w:tcW w:w="908" w:type="dxa"/>
            <w:tcBorders>
              <w:top w:val="nil"/>
              <w:left w:val="nil"/>
              <w:bottom w:val="nil"/>
              <w:right w:val="nil"/>
            </w:tcBorders>
          </w:tcPr>
          <w:p w:rsidR="00E25CC6" w:rsidRPr="00DE4DBE" w:rsidRDefault="00E25CC6" w:rsidP="003873F1">
            <w:pPr>
              <w:keepNext/>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35.7</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an ongoing improvement in the proportion of eligible prisoners participating in education.</w:t>
            </w:r>
            <w:r>
              <w:rPr>
                <w:rFonts w:eastAsiaTheme="minorEastAsia"/>
              </w:rPr>
              <w:t xml:space="preserve"> </w:t>
            </w: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this increase.</w:t>
            </w: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Rate of return to prison within two years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41</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41.5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44.1</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307549">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w:t>
            </w:r>
            <w:r>
              <w:rPr>
                <w:rFonts w:eastAsiaTheme="minorEastAsia"/>
              </w:rPr>
              <w:t>and the 2016-17 target reflect the impact of parole reforms</w:t>
            </w:r>
            <w:r w:rsidRPr="00DE4DBE">
              <w:rPr>
                <w:rFonts w:eastAsiaTheme="minorEastAsia"/>
              </w:rPr>
              <w:t>.</w:t>
            </w:r>
          </w:p>
        </w:tc>
      </w:tr>
      <w:tr w:rsidR="00E25CC6" w:rsidRPr="00DE4DBE" w:rsidTr="00252BD2">
        <w:trPr>
          <w:cantSplit/>
        </w:trPr>
        <w:tc>
          <w:tcPr>
            <w:tcW w:w="3060" w:type="dxa"/>
            <w:tcBorders>
              <w:top w:val="nil"/>
              <w:left w:val="nil"/>
              <w:bottom w:val="nil"/>
              <w:right w:val="nil"/>
            </w:tcBorders>
          </w:tcPr>
          <w:p w:rsidR="00E25CC6" w:rsidRPr="00DE4DBE" w:rsidRDefault="00E25CC6" w:rsidP="002A3CA3">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93" w:type="dxa"/>
            <w:tcBorders>
              <w:top w:val="nil"/>
              <w:left w:val="nil"/>
              <w:bottom w:val="nil"/>
              <w:right w:val="nil"/>
            </w:tcBorders>
          </w:tcPr>
          <w:p w:rsidR="00E25CC6" w:rsidRPr="00DE4DBE" w:rsidRDefault="00E25CC6" w:rsidP="002A3CA3">
            <w:pPr>
              <w:keepNext/>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2A3CA3">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2A3CA3">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2A3CA3">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2A3CA3">
            <w:pPr>
              <w:keepNext/>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252BD2">
        <w:trPr>
          <w:cantSplit/>
        </w:trPr>
        <w:tc>
          <w:tcPr>
            <w:tcW w:w="3060"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 xml:space="preserve">Assessment of prisoners </w:t>
            </w:r>
            <w:r>
              <w:rPr>
                <w:rFonts w:eastAsiaTheme="minorEastAsia"/>
                <w:lang w:eastAsia="en-AU"/>
              </w:rPr>
              <w:t>‘</w:t>
            </w:r>
            <w:r w:rsidRPr="00DE4DBE">
              <w:rPr>
                <w:rFonts w:eastAsiaTheme="minorEastAsia"/>
                <w:lang w:eastAsia="en-AU"/>
              </w:rPr>
              <w:t>at risk</w:t>
            </w:r>
            <w:r>
              <w:rPr>
                <w:rFonts w:eastAsiaTheme="minorEastAsia"/>
                <w:lang w:eastAsia="en-AU"/>
              </w:rPr>
              <w:t>’</w:t>
            </w:r>
            <w:r w:rsidRPr="00DE4DBE">
              <w:rPr>
                <w:rFonts w:eastAsiaTheme="minorEastAsia"/>
                <w:lang w:eastAsia="en-AU"/>
              </w:rPr>
              <w:t xml:space="preserve"> undertaken within two hours</w:t>
            </w:r>
          </w:p>
        </w:tc>
        <w:tc>
          <w:tcPr>
            <w:tcW w:w="993"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385BFE" w:rsidRDefault="00E25CC6" w:rsidP="00BB54D2">
            <w:pPr>
              <w:pStyle w:val="OGNotes"/>
              <w:rPr>
                <w:rFonts w:eastAsiaTheme="minorEastAsia"/>
              </w:rPr>
            </w:pPr>
            <w:r w:rsidRPr="00385BFE">
              <w:rPr>
                <w:rFonts w:eastAsiaTheme="minorEastAsia"/>
              </w:rPr>
              <w:t>New performance measure for 2016</w:t>
            </w:r>
            <w:r w:rsidRPr="00385BFE">
              <w:rPr>
                <w:rFonts w:eastAsiaTheme="minorEastAsia"/>
              </w:rPr>
              <w:noBreakHyphen/>
              <w:t>17 to reflect a broader reporting coverage of service. This performance measure provides information on the percentage of at risk assessments conducted by mental health professionals within two hours of a prisoner being identified as at risk of suicide or self</w:t>
            </w:r>
            <w:r w:rsidRPr="00385BFE">
              <w:rPr>
                <w:rFonts w:eastAsiaTheme="minorEastAsia"/>
              </w:rPr>
              <w:noBreakHyphen/>
              <w:t>harm.</w:t>
            </w:r>
          </w:p>
        </w:tc>
      </w:tr>
      <w:tr w:rsidR="00E25CC6" w:rsidRPr="00DE4DBE" w:rsidTr="00252BD2">
        <w:trPr>
          <w:cantSplit/>
        </w:trPr>
        <w:tc>
          <w:tcPr>
            <w:tcW w:w="3060" w:type="dxa"/>
            <w:tcBorders>
              <w:top w:val="nil"/>
              <w:left w:val="nil"/>
              <w:bottom w:val="nil"/>
              <w:right w:val="nil"/>
            </w:tcBorders>
          </w:tcPr>
          <w:p w:rsidR="00E25CC6" w:rsidRPr="00385BFE" w:rsidRDefault="00E25CC6" w:rsidP="00BB54D2">
            <w:pPr>
              <w:autoSpaceDE w:val="0"/>
              <w:autoSpaceDN w:val="0"/>
              <w:adjustRightInd w:val="0"/>
              <w:spacing w:after="0"/>
              <w:ind w:left="227" w:hanging="227"/>
              <w:rPr>
                <w:rFonts w:ascii="Calibri" w:eastAsiaTheme="minorEastAsia" w:hAnsi="Calibri" w:cs="Calibri"/>
                <w:i/>
                <w:iCs/>
                <w:sz w:val="19"/>
                <w:szCs w:val="22"/>
                <w:lang w:eastAsia="en-AU"/>
              </w:rPr>
            </w:pPr>
            <w:r w:rsidRPr="00385BFE">
              <w:rPr>
                <w:rFonts w:ascii="Calibri" w:eastAsiaTheme="minorEastAsia" w:hAnsi="Calibri" w:cs="Calibri"/>
                <w:i/>
                <w:iCs/>
                <w:sz w:val="19"/>
                <w:szCs w:val="22"/>
                <w:lang w:eastAsia="en-AU"/>
              </w:rPr>
              <w:t>Cost</w:t>
            </w:r>
          </w:p>
        </w:tc>
        <w:tc>
          <w:tcPr>
            <w:tcW w:w="993" w:type="dxa"/>
            <w:tcBorders>
              <w:top w:val="nil"/>
              <w:left w:val="nil"/>
              <w:bottom w:val="nil"/>
              <w:right w:val="nil"/>
            </w:tcBorders>
          </w:tcPr>
          <w:p w:rsidR="00E25CC6" w:rsidRPr="00385BFE" w:rsidRDefault="00E25CC6" w:rsidP="00BB54D2">
            <w:pPr>
              <w:autoSpaceDE w:val="0"/>
              <w:autoSpaceDN w:val="0"/>
              <w:adjustRightInd w:val="0"/>
              <w:spacing w:after="0"/>
              <w:jc w:val="center"/>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p>
        </w:tc>
      </w:tr>
      <w:tr w:rsidR="00E25CC6" w:rsidRPr="00DE4DBE" w:rsidTr="00252BD2">
        <w:trPr>
          <w:cantSplit/>
        </w:trPr>
        <w:tc>
          <w:tcPr>
            <w:tcW w:w="3060" w:type="dxa"/>
            <w:tcBorders>
              <w:top w:val="nil"/>
              <w:left w:val="nil"/>
              <w:right w:val="nil"/>
            </w:tcBorders>
          </w:tcPr>
          <w:p w:rsidR="00E25CC6" w:rsidRPr="00385BFE" w:rsidRDefault="00E25CC6" w:rsidP="00BB54D2">
            <w:pPr>
              <w:pStyle w:val="OGTabText"/>
              <w:rPr>
                <w:rFonts w:eastAsiaTheme="minorEastAsia"/>
                <w:lang w:eastAsia="en-AU"/>
              </w:rPr>
            </w:pPr>
            <w:r w:rsidRPr="00385BFE">
              <w:rPr>
                <w:rFonts w:eastAsiaTheme="minorEastAsia"/>
                <w:lang w:eastAsia="en-AU"/>
              </w:rPr>
              <w:t>Total output cost</w:t>
            </w:r>
          </w:p>
        </w:tc>
        <w:tc>
          <w:tcPr>
            <w:tcW w:w="993" w:type="dxa"/>
            <w:tcBorders>
              <w:top w:val="nil"/>
              <w:left w:val="nil"/>
              <w:right w:val="nil"/>
            </w:tcBorders>
          </w:tcPr>
          <w:p w:rsidR="00E25CC6" w:rsidRPr="00385BFE" w:rsidRDefault="00E25CC6" w:rsidP="00BB54D2">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 million</w:t>
            </w:r>
          </w:p>
        </w:tc>
        <w:tc>
          <w:tcPr>
            <w:tcW w:w="907" w:type="dxa"/>
            <w:tcBorders>
              <w:top w:val="nil"/>
              <w:left w:val="nil"/>
              <w:right w:val="nil"/>
            </w:tcBorders>
            <w:shd w:val="clear" w:color="auto" w:fill="DCDCDC"/>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1102.2</w:t>
            </w:r>
          </w:p>
        </w:tc>
        <w:tc>
          <w:tcPr>
            <w:tcW w:w="992" w:type="dxa"/>
            <w:tcBorders>
              <w:top w:val="nil"/>
              <w:left w:val="nil"/>
              <w:right w:val="nil"/>
            </w:tcBorders>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1 019.6</w:t>
            </w:r>
          </w:p>
        </w:tc>
        <w:tc>
          <w:tcPr>
            <w:tcW w:w="907" w:type="dxa"/>
            <w:tcBorders>
              <w:top w:val="nil"/>
              <w:left w:val="nil"/>
              <w:right w:val="nil"/>
            </w:tcBorders>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1 056.0</w:t>
            </w:r>
          </w:p>
        </w:tc>
        <w:tc>
          <w:tcPr>
            <w:tcW w:w="908" w:type="dxa"/>
            <w:tcBorders>
              <w:top w:val="nil"/>
              <w:left w:val="nil"/>
              <w:right w:val="nil"/>
            </w:tcBorders>
          </w:tcPr>
          <w:p w:rsidR="00E25CC6" w:rsidRPr="00385BFE" w:rsidRDefault="00E25CC6" w:rsidP="00BB54D2">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901.1</w:t>
            </w:r>
          </w:p>
        </w:tc>
      </w:tr>
      <w:tr w:rsidR="00E25CC6" w:rsidRPr="00DE4DBE" w:rsidTr="00FE3923">
        <w:trPr>
          <w:cantSplit/>
        </w:trPr>
        <w:tc>
          <w:tcPr>
            <w:tcW w:w="7767" w:type="dxa"/>
            <w:gridSpan w:val="6"/>
            <w:tcBorders>
              <w:top w:val="nil"/>
              <w:left w:val="nil"/>
              <w:bottom w:val="single" w:sz="12" w:space="0" w:color="auto"/>
              <w:right w:val="nil"/>
            </w:tcBorders>
          </w:tcPr>
          <w:p w:rsidR="00E25CC6" w:rsidRPr="00385BFE" w:rsidRDefault="00E25CC6" w:rsidP="00303BCC">
            <w:pPr>
              <w:pStyle w:val="OGNotes"/>
            </w:pPr>
            <w:r w:rsidRPr="00385BFE">
              <w:t>The 2015</w:t>
            </w:r>
            <w:r w:rsidRPr="00385BFE">
              <w:noBreakHyphen/>
              <w:t>16 expected outcome is lower than the 2015</w:t>
            </w:r>
            <w:r w:rsidRPr="00385BFE">
              <w:noBreakHyphen/>
              <w:t>16 target due to the revised completion timetable for the new Marngoneet Correctional Centre precinct (Karreenga).</w:t>
            </w:r>
          </w:p>
          <w:p w:rsidR="00E25CC6" w:rsidRPr="00385BFE" w:rsidRDefault="00E25CC6" w:rsidP="001763C4">
            <w:pPr>
              <w:pStyle w:val="OGNotes"/>
              <w:rPr>
                <w:rFonts w:eastAsiaTheme="minorEastAsia"/>
              </w:rPr>
            </w:pPr>
            <w:r w:rsidRPr="00385BFE">
              <w:t>The higher 2016</w:t>
            </w:r>
            <w:r w:rsidRPr="00385BFE">
              <w:noBreakHyphen/>
              <w:t xml:space="preserve">17 target is mainly due to new funding for the </w:t>
            </w:r>
            <w:r>
              <w:t>Specialist Corrections programs</w:t>
            </w:r>
            <w:r w:rsidRPr="00385BFE">
              <w:t xml:space="preserve">, Corrections Remand </w:t>
            </w:r>
            <w:r>
              <w:t>upgrades</w:t>
            </w:r>
            <w:r w:rsidRPr="00385BFE">
              <w:t xml:space="preserve"> and Ice Action Plan </w:t>
            </w:r>
            <w:r>
              <w:t>–</w:t>
            </w:r>
            <w:r w:rsidRPr="00385BFE">
              <w:t xml:space="preserve"> Expansion</w:t>
            </w:r>
            <w:r>
              <w:t xml:space="preserve"> of the Drug Court of Victoria i</w:t>
            </w:r>
            <w:r w:rsidRPr="00385BFE">
              <w:t xml:space="preserve">nitiatives announced in the </w:t>
            </w:r>
            <w:r w:rsidRPr="00385BFE">
              <w:rPr>
                <w:i w:val="0"/>
              </w:rPr>
              <w:t>2016</w:t>
            </w:r>
            <w:r w:rsidRPr="00385BFE">
              <w:rPr>
                <w:i w:val="0"/>
              </w:rPr>
              <w:noBreakHyphen/>
              <w:t>17 Budget</w:t>
            </w:r>
            <w:r w:rsidRPr="00385BFE">
              <w:t xml:space="preserve"> along with the incremental increase in existing initiatives including Women</w:t>
            </w:r>
            <w:r>
              <w:t>’</w:t>
            </w:r>
            <w:r w:rsidRPr="00385BFE">
              <w:t>s Prison Expansion Capacity to Meet Demand, Critical Infrastructure and Services and Additional Prison Beds.</w:t>
            </w:r>
          </w:p>
        </w:tc>
      </w:tr>
    </w:tbl>
    <w:p w:rsidR="00E25CC6" w:rsidRPr="00A57A8A" w:rsidRDefault="00E25CC6" w:rsidP="008370E1">
      <w:pPr>
        <w:pStyle w:val="Source"/>
        <w:rPr>
          <w:rFonts w:eastAsiaTheme="minorHAnsi"/>
        </w:rPr>
      </w:pPr>
      <w:r>
        <w:rPr>
          <w:rFonts w:eastAsiaTheme="minorHAnsi"/>
        </w:rPr>
        <w:t>Source: Department of Justice and Regulation</w:t>
      </w:r>
      <w:bookmarkEnd w:id="91"/>
      <w:r>
        <w:rPr>
          <w:rFonts w:eastAsiaTheme="minorHAnsi"/>
        </w:rPr>
        <w:t xml:space="preserve"> </w:t>
      </w:r>
      <w:r>
        <w:rPr>
          <w:rFonts w:eastAsiaTheme="minorHAnsi"/>
        </w:rPr>
        <w:fldChar w:fldCharType="begin"/>
      </w:r>
      <w:r>
        <w:instrText xml:space="preserve"> XE "</w:instrText>
      </w:r>
      <w:r w:rsidRPr="007D0D20">
        <w:instrText>Department of Justice and Regulation:Enforcing and Managing Correctional Orders</w:instrText>
      </w:r>
      <w:r>
        <w:instrText xml:space="preserve">" \r "DJR_EnforceCorrectOrder" </w:instrText>
      </w:r>
      <w:r>
        <w:rPr>
          <w:rFonts w:eastAsiaTheme="minorHAnsi"/>
        </w:rPr>
        <w:fldChar w:fldCharType="end"/>
      </w:r>
      <w:r>
        <w:rPr>
          <w:rFonts w:eastAsiaTheme="minorHAnsi"/>
        </w:rPr>
        <w:t xml:space="preserve"> </w:t>
      </w:r>
    </w:p>
    <w:p w:rsidR="00E25CC6" w:rsidRDefault="00E25CC6" w:rsidP="00A57A8A">
      <w:pPr>
        <w:pStyle w:val="OGText"/>
        <w:rPr>
          <w:rFonts w:eastAsiaTheme="minorHAnsi"/>
        </w:rPr>
      </w:pPr>
    </w:p>
    <w:p w:rsidR="00E25CC6" w:rsidRDefault="00E25CC6">
      <w:pPr>
        <w:spacing w:after="0"/>
        <w:rPr>
          <w:rFonts w:ascii="Calibri" w:eastAsiaTheme="minorHAnsi" w:hAnsi="Calibri"/>
          <w:b/>
          <w:sz w:val="32"/>
          <w:szCs w:val="28"/>
        </w:rPr>
      </w:pPr>
      <w:r>
        <w:rPr>
          <w:rFonts w:eastAsiaTheme="minorHAnsi"/>
        </w:rPr>
        <w:br w:type="page"/>
      </w:r>
    </w:p>
    <w:p w:rsidR="00E25CC6" w:rsidRPr="00A57A8A" w:rsidRDefault="00E25CC6" w:rsidP="00A57A8A">
      <w:pPr>
        <w:pStyle w:val="OGHeading1"/>
        <w:rPr>
          <w:rFonts w:eastAsiaTheme="minorHAnsi"/>
        </w:rPr>
      </w:pPr>
      <w:r w:rsidRPr="00A57A8A">
        <w:rPr>
          <w:rFonts w:eastAsiaTheme="minorHAnsi"/>
        </w:rPr>
        <w:t xml:space="preserve">Criminal Justice Services </w:t>
      </w:r>
    </w:p>
    <w:p w:rsidR="00E25CC6" w:rsidRPr="00A57A8A" w:rsidRDefault="00E25CC6" w:rsidP="00A57A8A">
      <w:pPr>
        <w:pStyle w:val="OGText"/>
        <w:rPr>
          <w:rFonts w:eastAsiaTheme="minorHAnsi"/>
        </w:rPr>
      </w:pPr>
      <w:bookmarkStart w:id="92" w:name="DJR_CrimJustSvces"/>
      <w:r w:rsidRPr="00A57A8A">
        <w:rPr>
          <w:rFonts w:eastAsiaTheme="minorHAnsi"/>
        </w:rPr>
        <w:t>This output group relates to the provision of services that support legal processes and law reform.</w:t>
      </w:r>
    </w:p>
    <w:p w:rsidR="00E25CC6" w:rsidRPr="00A57A8A" w:rsidRDefault="00E25CC6" w:rsidP="00A57A8A">
      <w:pPr>
        <w:pStyle w:val="OGText"/>
        <w:rPr>
          <w:rFonts w:eastAsiaTheme="minorHAnsi"/>
        </w:rPr>
      </w:pPr>
      <w:r w:rsidRPr="00A57A8A">
        <w:rPr>
          <w:rFonts w:eastAsiaTheme="minorHAnsi"/>
        </w:rPr>
        <w:t>Services that support legal processes include legal assistance and education services, prosecution services, community mediation services, support for victims of crime, risk assessments for those working with or caring for children, infringement processing and enforcement activities and the delivery of independent, expert forensic medical services to the justice system.</w:t>
      </w:r>
    </w:p>
    <w:p w:rsidR="00E25CC6" w:rsidRPr="00A57A8A" w:rsidRDefault="00E25CC6" w:rsidP="00A57A8A">
      <w:pPr>
        <w:pStyle w:val="OGText"/>
        <w:rPr>
          <w:rFonts w:eastAsiaTheme="minorHAnsi"/>
        </w:rPr>
      </w:pPr>
      <w:r w:rsidRPr="00A57A8A">
        <w:rPr>
          <w:rFonts w:eastAsiaTheme="minorHAnsi"/>
        </w:rPr>
        <w:t>Other services in this output group include legal policy advice to government, law reform, and sentencing advisory services.</w:t>
      </w:r>
    </w:p>
    <w:p w:rsidR="00E25CC6" w:rsidRDefault="00E25CC6" w:rsidP="00A57A8A">
      <w:pPr>
        <w:pStyle w:val="OGText"/>
        <w:rPr>
          <w:rFonts w:eastAsiaTheme="minorHAnsi"/>
        </w:rPr>
      </w:pPr>
      <w:r w:rsidRPr="00A57A8A">
        <w:rPr>
          <w:rFonts w:eastAsiaTheme="minorHAnsi"/>
        </w:rPr>
        <w:t>This output group contributes to the Department</w:t>
      </w:r>
      <w:r>
        <w:rPr>
          <w:rFonts w:eastAsiaTheme="minorHAnsi"/>
        </w:rPr>
        <w:t>’</w:t>
      </w:r>
      <w:r w:rsidRPr="00A57A8A">
        <w:rPr>
          <w:rFonts w:eastAsiaTheme="minorHAnsi"/>
        </w:rPr>
        <w:t xml:space="preserve">s objective of </w:t>
      </w:r>
      <w:r>
        <w:rPr>
          <w:rFonts w:eastAsiaTheme="minorHAnsi"/>
        </w:rPr>
        <w:t>‘</w:t>
      </w:r>
      <w:r w:rsidRPr="00A57A8A">
        <w:rPr>
          <w:rFonts w:eastAsiaTheme="minorHAnsi"/>
        </w:rPr>
        <w:t>A fair and accessible Victorian justice system that supports a just society based on the rule of law</w:t>
      </w:r>
      <w:r>
        <w:rPr>
          <w:rFonts w:eastAsiaTheme="minorHAnsi"/>
        </w:rPr>
        <w:t>’</w:t>
      </w:r>
      <w:r w:rsidRPr="00A57A8A">
        <w:rPr>
          <w:rFonts w:eastAsiaTheme="minorHAnsi"/>
        </w:rPr>
        <w:t>.</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DE4DBE" w:rsidTr="00BB54D2">
        <w:trPr>
          <w:cantSplit/>
          <w:tblHeader/>
        </w:trPr>
        <w:tc>
          <w:tcPr>
            <w:tcW w:w="3146"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b/>
                <w:bCs/>
                <w:color w:val="FFFFFF"/>
                <w:sz w:val="19"/>
                <w:szCs w:val="22"/>
                <w:lang w:eastAsia="en-AU"/>
              </w:rPr>
              <w:t>Major outputs/deliverables</w:t>
            </w:r>
          </w:p>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center"/>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15 actual</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Public Prosecutions and Legal Assistance</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This output delivers activities relating to Victoria</w:t>
            </w:r>
            <w:r>
              <w:rPr>
                <w:rFonts w:eastAsiaTheme="minorEastAsia"/>
                <w:lang w:eastAsia="en-AU"/>
              </w:rPr>
              <w:t>’</w:t>
            </w:r>
            <w:r w:rsidRPr="00DE4DBE">
              <w:rPr>
                <w:rFonts w:eastAsiaTheme="minorEastAsia"/>
                <w:lang w:eastAsia="en-AU"/>
              </w:rPr>
              <w:t xml:space="preserve">s public prosecutions service and Victoria Legal Aid (VLA). </w:t>
            </w:r>
          </w:p>
          <w:p w:rsidR="00E25CC6" w:rsidRPr="00DE4DBE" w:rsidRDefault="00E25CC6" w:rsidP="00BB54D2">
            <w:pPr>
              <w:pStyle w:val="OGText"/>
              <w:rPr>
                <w:rFonts w:eastAsiaTheme="minorEastAsia"/>
                <w:lang w:eastAsia="en-AU"/>
              </w:rPr>
            </w:pPr>
            <w:r w:rsidRPr="00DE4DBE">
              <w:rPr>
                <w:rFonts w:eastAsiaTheme="minorEastAsia"/>
                <w:lang w:eastAsia="en-AU"/>
              </w:rPr>
              <w:t>The Office of Public Prosecutions (OPP) provides an independent, effective and efficient prosecutions service on behalf of the Director of Public Prosecutions (DPP). In addition to the prosecution of serious crimes, the OPP also provides professional support to prosecution witnesses and victims of crime involved in its cases.</w:t>
            </w:r>
          </w:p>
          <w:p w:rsidR="00E25CC6" w:rsidRPr="00DE4DBE" w:rsidRDefault="00E25CC6" w:rsidP="00BB54D2">
            <w:pPr>
              <w:pStyle w:val="OGText"/>
              <w:rPr>
                <w:rFonts w:eastAsiaTheme="minorEastAsia"/>
                <w:lang w:eastAsia="en-AU"/>
              </w:rPr>
            </w:pPr>
            <w:r w:rsidRPr="00DE4DBE">
              <w:rPr>
                <w:rFonts w:eastAsiaTheme="minorEastAsia"/>
                <w:lang w:eastAsia="en-AU"/>
              </w:rPr>
              <w:t>VLA is an independent statutory authority which provides a range of legal services for both Victorian and Commonwealth law matters. These services include legal representation, legal advice and advocacy and education services.</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Judicial Officer sitting days requiring prosecutors</w:t>
            </w:r>
            <w:r>
              <w:rPr>
                <w:rFonts w:eastAsiaTheme="minorEastAsia"/>
                <w:lang w:eastAsia="en-AU"/>
              </w:rPr>
              <w:t xml:space="preserve"> – </w:t>
            </w:r>
            <w:r w:rsidRPr="00DE4DBE">
              <w:rPr>
                <w:rFonts w:eastAsiaTheme="minorEastAsia"/>
                <w:lang w:eastAsia="en-AU"/>
              </w:rPr>
              <w:t>Office of Public Prosecutions (OPP)</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10</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10 600</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10</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9 542</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Public Prosecutions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Number of briefs prepared and hearings attended (OPP)</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68</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73</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70 300</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68</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73</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70 100</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Public Prosecutions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Number of victim and witness consultations (OPP)</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10</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10 400</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10</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10 482</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the flow</w:t>
            </w:r>
            <w:r>
              <w:rPr>
                <w:rFonts w:eastAsiaTheme="minorEastAsia"/>
              </w:rPr>
              <w:noBreakHyphen/>
            </w:r>
            <w:r w:rsidRPr="00DE4DBE">
              <w:rPr>
                <w:rFonts w:eastAsiaTheme="minorEastAsia"/>
              </w:rPr>
              <w:t xml:space="preserve">on impact of increased referrals for OPP victim and witness assistance. </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Public Prosecutions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EB7DCA">
            <w:pPr>
              <w:pStyle w:val="OGTabText"/>
              <w:keepNext/>
              <w:rPr>
                <w:rFonts w:eastAsiaTheme="minorEastAsia"/>
                <w:lang w:eastAsia="en-AU"/>
              </w:rPr>
            </w:pPr>
            <w:r w:rsidRPr="00DE4DBE">
              <w:rPr>
                <w:rFonts w:eastAsiaTheme="minorEastAsia"/>
                <w:lang w:eastAsia="en-AU"/>
              </w:rPr>
              <w:t>Community Legal Education and Information Services Victoria Legal Aid (VLA)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5F2256">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135</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140</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138 000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145 000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137 668</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lower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and amended range better reflects the implementation of VLA</w:t>
            </w:r>
            <w:r>
              <w:rPr>
                <w:rFonts w:eastAsiaTheme="minorEastAsia"/>
              </w:rPr>
              <w:t>’</w:t>
            </w:r>
            <w:r w:rsidRPr="00DE4DBE">
              <w:rPr>
                <w:rFonts w:eastAsiaTheme="minorEastAsia"/>
              </w:rPr>
              <w:t>s triage process which allows VLA to tailor services by providing less intensive services such as information or referral to appropriate clients, and better target more intensive services to those most in need.</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Duty lawyer services (VLA)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83</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85</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85 700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80 000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83 674</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increases in service demand involving summary crime. </w:t>
            </w:r>
          </w:p>
          <w:p w:rsidR="00E25CC6"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and amended range reflects these changes in a demand driven service.</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Grants of legal assistance provided by VLA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35 000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38 500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34 900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34 681</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increases in demand for summary crime services and grants relating to breaches of family violence intervention orders. </w:t>
            </w:r>
          </w:p>
          <w:p w:rsidR="00E25CC6"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these increases in demand.</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Number of unique clients who accessed one or more of VLA</w:t>
            </w:r>
            <w:r>
              <w:rPr>
                <w:rFonts w:eastAsiaTheme="minorEastAsia"/>
                <w:lang w:eastAsia="en-AU"/>
              </w:rPr>
              <w:t>’</w:t>
            </w:r>
            <w:r w:rsidRPr="00DE4DBE">
              <w:rPr>
                <w:rFonts w:eastAsiaTheme="minorEastAsia"/>
                <w:lang w:eastAsia="en-AU"/>
              </w:rPr>
              <w:t>s legal services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84 000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85 900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84 000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Legal advice and minor assistance for clients (VLA)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42 000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41 800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52 000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48 806</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an unprecedented increase in demand for other VLA services, which necessitated reprioritisation of VLA resources to more intensive forms of activity, particularly at VLA regional offices.</w:t>
            </w:r>
            <w:r>
              <w:rPr>
                <w:rFonts w:eastAsiaTheme="minorEastAsia"/>
              </w:rPr>
              <w:t xml:space="preserve"> </w:t>
            </w:r>
          </w:p>
          <w:p w:rsidR="00E25CC6" w:rsidRDefault="00E25CC6" w:rsidP="00BB54D2">
            <w:pPr>
              <w:pStyle w:val="OGNotes"/>
              <w:rPr>
                <w:rFonts w:eastAsiaTheme="minorEastAsia"/>
              </w:rPr>
            </w:pPr>
            <w:r w:rsidRPr="00DE4DBE">
              <w:rPr>
                <w:rFonts w:eastAsiaTheme="minorEastAsia"/>
              </w:rPr>
              <w:t>The lower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the increased activity required in other areas, such as duty lawyer sessions, grant approvals and in</w:t>
            </w:r>
            <w:r>
              <w:rPr>
                <w:rFonts w:eastAsiaTheme="minorEastAsia"/>
              </w:rPr>
              <w:noBreakHyphen/>
            </w:r>
            <w:r w:rsidRPr="00DE4DBE">
              <w:rPr>
                <w:rFonts w:eastAsiaTheme="minorEastAsia"/>
              </w:rPr>
              <w:t>court services.</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Guilty outcomes (guilty pleas and trial convictions) as a percentage of case completions (OPP)</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86</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89</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86</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89</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Public Prosecutions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Proportion of trials listed which did not proceed to adjournment on application of the Crown (OPP)</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98.9</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Public Prosecutions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Applications for legal aid processed within 15 days (VLA)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94.3</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93.2</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EB7DCA">
            <w:pPr>
              <w:keepNext/>
              <w:spacing w:before="30" w:after="30"/>
              <w:ind w:left="144"/>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224.6</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215.8</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208.2</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202.5</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the </w:t>
            </w:r>
            <w:r>
              <w:rPr>
                <w:rFonts w:eastAsiaTheme="minorEastAsia"/>
              </w:rPr>
              <w:t>restoration of</w:t>
            </w:r>
            <w:r w:rsidRPr="00DE4DBE">
              <w:rPr>
                <w:rFonts w:eastAsiaTheme="minorEastAsia"/>
              </w:rPr>
              <w:t xml:space="preserve"> funding under the National Partnership (NP) on Legal Assistance Services announced in the </w:t>
            </w:r>
            <w:r w:rsidRPr="00D17255">
              <w:rPr>
                <w:rFonts w:eastAsiaTheme="minorEastAsia"/>
                <w:i w:val="0"/>
              </w:rPr>
              <w:t>2015</w:t>
            </w:r>
            <w:r w:rsidRPr="00D17255">
              <w:rPr>
                <w:rFonts w:eastAsiaTheme="minorEastAsia"/>
                <w:i w:val="0"/>
              </w:rPr>
              <w:noBreakHyphen/>
              <w:t>16 Commonwealth Budget</w:t>
            </w:r>
            <w:r w:rsidRPr="00DE4DBE">
              <w:rPr>
                <w:rFonts w:eastAsiaTheme="minorEastAsia"/>
              </w:rPr>
              <w:t xml:space="preserve"> mainly for Community Legal Centres and incremental increases in prior year budget initiatives including Ending Violence Against Women and Children and Assessment and Referral Court (ARC).</w:t>
            </w:r>
          </w:p>
          <w:p w:rsidR="00E25CC6" w:rsidRPr="00DE4DBE" w:rsidRDefault="00E25CC6" w:rsidP="00D75232">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2015</w:t>
            </w:r>
            <w:r>
              <w:rPr>
                <w:rFonts w:eastAsiaTheme="minorEastAsia"/>
              </w:rPr>
              <w:noBreakHyphen/>
            </w:r>
            <w:r w:rsidRPr="00DE4DBE">
              <w:rPr>
                <w:rFonts w:eastAsiaTheme="minorEastAsia"/>
              </w:rPr>
              <w:t>16 target and 2015</w:t>
            </w:r>
            <w:r>
              <w:rPr>
                <w:rFonts w:eastAsiaTheme="minorEastAsia"/>
              </w:rPr>
              <w:noBreakHyphen/>
            </w:r>
            <w:r w:rsidRPr="00DE4DBE">
              <w:rPr>
                <w:rFonts w:eastAsiaTheme="minorEastAsia"/>
              </w:rPr>
              <w:t>16 expected outcome have been estimated based on a re</w:t>
            </w:r>
            <w:r>
              <w:rPr>
                <w:rFonts w:eastAsiaTheme="minorEastAsia"/>
              </w:rPr>
              <w:noBreakHyphen/>
            </w:r>
            <w:r w:rsidRPr="00DE4DBE">
              <w:rPr>
                <w:rFonts w:eastAsiaTheme="minorEastAsia"/>
              </w:rPr>
              <w:t>mapping of historical output costs.</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Infringements and Warrants</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 xml:space="preserve">This output reports on activities relating to the management of traffic and other infringement notices, the confiscation of assets obtained through criminal activity and enforcement action by the Office of the Sheriff. </w:t>
            </w:r>
          </w:p>
          <w:p w:rsidR="00E25CC6" w:rsidRPr="00DE4DBE" w:rsidRDefault="00E25CC6" w:rsidP="00BB54D2">
            <w:pPr>
              <w:pStyle w:val="OGText"/>
              <w:rPr>
                <w:rFonts w:eastAsiaTheme="minorEastAsia"/>
                <w:lang w:eastAsia="en-AU"/>
              </w:rPr>
            </w:pPr>
            <w:r w:rsidRPr="00DE4DBE">
              <w:rPr>
                <w:rFonts w:eastAsiaTheme="minorEastAsia"/>
                <w:lang w:eastAsia="en-AU"/>
              </w:rPr>
              <w:t>These activities serve as an administrative method for dealing with minor criminal offences, where a person alleged to have committed an offence has the option of paying a fixed penalty rather than going to court. The fixed penalty is intended to serve as a deterrent.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single" w:sz="6" w:space="0" w:color="auto"/>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Infringement notices processed</w:t>
            </w:r>
          </w:p>
        </w:tc>
        <w:tc>
          <w:tcPr>
            <w:tcW w:w="907"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 (million)</w:t>
            </w:r>
          </w:p>
        </w:tc>
        <w:tc>
          <w:tcPr>
            <w:tcW w:w="907" w:type="dxa"/>
            <w:tcBorders>
              <w:top w:val="nil"/>
              <w:left w:val="nil"/>
              <w:bottom w:val="single" w:sz="6" w:space="0" w:color="auto"/>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2.9</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3.1</w:t>
            </w:r>
          </w:p>
        </w:tc>
        <w:tc>
          <w:tcPr>
            <w:tcW w:w="992"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3.1</w:t>
            </w:r>
          </w:p>
        </w:tc>
        <w:tc>
          <w:tcPr>
            <w:tcW w:w="907"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2.9</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3.1</w:t>
            </w:r>
          </w:p>
        </w:tc>
        <w:tc>
          <w:tcPr>
            <w:tcW w:w="908"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3.3</w:t>
            </w:r>
          </w:p>
        </w:tc>
      </w:tr>
      <w:tr w:rsidR="00E25CC6" w:rsidRPr="00DE4DBE" w:rsidTr="00BB54D2">
        <w:trPr>
          <w:cantSplit/>
        </w:trPr>
        <w:tc>
          <w:tcPr>
            <w:tcW w:w="3146" w:type="dxa"/>
            <w:tcBorders>
              <w:top w:val="single" w:sz="6" w:space="0" w:color="auto"/>
              <w:left w:val="nil"/>
              <w:bottom w:val="single" w:sz="6" w:space="0" w:color="auto"/>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Warrants actioned</w:t>
            </w:r>
          </w:p>
        </w:tc>
        <w:tc>
          <w:tcPr>
            <w:tcW w:w="907"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995 000</w:t>
            </w:r>
          </w:p>
        </w:tc>
        <w:tc>
          <w:tcPr>
            <w:tcW w:w="992"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995 000</w:t>
            </w:r>
          </w:p>
        </w:tc>
        <w:tc>
          <w:tcPr>
            <w:tcW w:w="907"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995 000</w:t>
            </w:r>
          </w:p>
        </w:tc>
        <w:tc>
          <w:tcPr>
            <w:tcW w:w="908"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962 721</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single" w:sz="6" w:space="0" w:color="auto"/>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Prosecutable images</w:t>
            </w:r>
          </w:p>
        </w:tc>
        <w:tc>
          <w:tcPr>
            <w:tcW w:w="907"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93</w:t>
            </w:r>
          </w:p>
        </w:tc>
        <w:tc>
          <w:tcPr>
            <w:tcW w:w="992"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96</w:t>
            </w:r>
          </w:p>
        </w:tc>
        <w:tc>
          <w:tcPr>
            <w:tcW w:w="907"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93</w:t>
            </w:r>
          </w:p>
        </w:tc>
        <w:tc>
          <w:tcPr>
            <w:tcW w:w="908"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96.7</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single" w:sz="6" w:space="0" w:color="auto"/>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Clearance of infringements within 180 days</w:t>
            </w:r>
          </w:p>
        </w:tc>
        <w:tc>
          <w:tcPr>
            <w:tcW w:w="907"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w:t>
            </w:r>
          </w:p>
        </w:tc>
        <w:tc>
          <w:tcPr>
            <w:tcW w:w="992"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w:t>
            </w:r>
          </w:p>
        </w:tc>
        <w:tc>
          <w:tcPr>
            <w:tcW w:w="907"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w:t>
            </w:r>
          </w:p>
        </w:tc>
        <w:tc>
          <w:tcPr>
            <w:tcW w:w="908" w:type="dxa"/>
            <w:tcBorders>
              <w:top w:val="nil"/>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75.7</w:t>
            </w:r>
          </w:p>
        </w:tc>
      </w:tr>
      <w:tr w:rsidR="00E25CC6" w:rsidRPr="00DE4DBE" w:rsidTr="00BB54D2">
        <w:trPr>
          <w:cantSplit/>
        </w:trPr>
        <w:tc>
          <w:tcPr>
            <w:tcW w:w="3146" w:type="dxa"/>
            <w:tcBorders>
              <w:top w:val="single" w:sz="6" w:space="0" w:color="auto"/>
              <w:left w:val="nil"/>
              <w:bottom w:val="single" w:sz="6" w:space="0" w:color="auto"/>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Confiscated assets sold or destroyed within 90 days</w:t>
            </w:r>
          </w:p>
        </w:tc>
        <w:tc>
          <w:tcPr>
            <w:tcW w:w="907"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75.4</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234.4</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207.6</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229.2</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191.1</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mainly due to the estimated carryover into the </w:t>
            </w:r>
            <w:r w:rsidRPr="005F2256">
              <w:rPr>
                <w:rFonts w:eastAsiaTheme="minorEastAsia"/>
                <w:i w:val="0"/>
              </w:rPr>
              <w:t>2016</w:t>
            </w:r>
            <w:r w:rsidRPr="005F2256">
              <w:rPr>
                <w:rFonts w:eastAsiaTheme="minorEastAsia"/>
                <w:i w:val="0"/>
              </w:rPr>
              <w:noBreakHyphen/>
              <w:t>17 Budget</w:t>
            </w:r>
            <w:r w:rsidRPr="00DE4DBE">
              <w:rPr>
                <w:rFonts w:eastAsiaTheme="minorEastAsia"/>
              </w:rPr>
              <w:t xml:space="preserve"> and the redirection of funds to the Victims and Support Services output for the Working With Children Check Unit.</w:t>
            </w:r>
          </w:p>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is mainly due to estimated carryover of funding from 2015</w:t>
            </w:r>
            <w:r>
              <w:rPr>
                <w:rFonts w:eastAsiaTheme="minorEastAsia"/>
              </w:rPr>
              <w:noBreakHyphen/>
            </w:r>
            <w:r w:rsidRPr="00DE4DBE">
              <w:rPr>
                <w:rFonts w:eastAsiaTheme="minorEastAsia"/>
              </w:rPr>
              <w:t>16 into 2016</w:t>
            </w:r>
            <w:r>
              <w:rPr>
                <w:rFonts w:eastAsiaTheme="minorEastAsia"/>
              </w:rPr>
              <w:noBreakHyphen/>
            </w:r>
            <w:r w:rsidRPr="00DE4DBE">
              <w:rPr>
                <w:rFonts w:eastAsiaTheme="minorEastAsia"/>
              </w:rPr>
              <w:t xml:space="preserve">17. </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Criminal Law Support and Reform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This output delivers a broad range of services such as the provision of law reform and sentencing advisory information, access to justice and support services for the Victorian community, including forensic medical and scientific services and medico legal advice.</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385BFE" w:rsidRDefault="00E25CC6" w:rsidP="00BB54D2">
            <w:pPr>
              <w:pStyle w:val="OGTabText"/>
              <w:rPr>
                <w:rFonts w:eastAsiaTheme="minorEastAsia"/>
                <w:lang w:eastAsia="en-AU"/>
              </w:rPr>
            </w:pPr>
            <w:r w:rsidRPr="00385BFE">
              <w:rPr>
                <w:rFonts w:eastAsiaTheme="minorEastAsia"/>
                <w:lang w:eastAsia="en-AU"/>
              </w:rPr>
              <w:t>Clinical forensic medical services by the Victorian Institute of Forensic Medicine (VIFM)</w:t>
            </w:r>
          </w:p>
        </w:tc>
        <w:tc>
          <w:tcPr>
            <w:tcW w:w="907" w:type="dxa"/>
            <w:tcBorders>
              <w:top w:val="nil"/>
              <w:left w:val="nil"/>
              <w:bottom w:val="nil"/>
              <w:right w:val="nil"/>
            </w:tcBorders>
          </w:tcPr>
          <w:p w:rsidR="00E25CC6" w:rsidRPr="00385BF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385BF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100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2</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2 250</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100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2</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2 269</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Medico</w:t>
            </w:r>
            <w:r>
              <w:rPr>
                <w:rFonts w:eastAsiaTheme="minorEastAsia"/>
                <w:lang w:eastAsia="en-AU"/>
              </w:rPr>
              <w:noBreakHyphen/>
            </w:r>
            <w:r w:rsidRPr="00DE4DBE">
              <w:rPr>
                <w:rFonts w:eastAsiaTheme="minorEastAsia"/>
                <w:lang w:eastAsia="en-AU"/>
              </w:rPr>
              <w:t>legal death investigations (VIFM)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800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6</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200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6 500</w:t>
            </w:r>
          </w:p>
        </w:tc>
        <w:tc>
          <w:tcPr>
            <w:tcW w:w="907" w:type="dxa"/>
            <w:tcBorders>
              <w:top w:val="nil"/>
              <w:left w:val="nil"/>
              <w:bottom w:val="nil"/>
              <w:right w:val="nil"/>
            </w:tcBorders>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5</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300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6 224</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the continuing improved engagement with clinicians on the reportability of deaths, following the introduction of VIFM</w:t>
            </w:r>
            <w:r>
              <w:rPr>
                <w:rFonts w:eastAsiaTheme="minorEastAsia"/>
              </w:rPr>
              <w:t>’</w:t>
            </w:r>
            <w:r w:rsidRPr="00DE4DBE">
              <w:rPr>
                <w:rFonts w:eastAsiaTheme="minorEastAsia"/>
              </w:rPr>
              <w:t>s Coronial Admissions and Enquiries Office.</w:t>
            </w:r>
          </w:p>
          <w:p w:rsidR="00E25CC6"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this improvement.</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Provision of expert forensic medical and scientific evidence in court (VIFM)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150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250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150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250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191</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lower than anticipated demand for expert</w:t>
            </w:r>
            <w:r>
              <w:rPr>
                <w:rFonts w:eastAsiaTheme="minorEastAsia"/>
              </w:rPr>
              <w:t xml:space="preserve"> </w:t>
            </w:r>
            <w:r w:rsidRPr="00DE4DBE">
              <w:rPr>
                <w:rFonts w:eastAsiaTheme="minorEastAsia"/>
              </w:rPr>
              <w:t>medical and scientific forensic evidence in the courts. The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has been amended to</w:t>
            </w:r>
            <w:r>
              <w:rPr>
                <w:rFonts w:eastAsiaTheme="minorEastAsia"/>
              </w:rPr>
              <w:t xml:space="preserve"> </w:t>
            </w:r>
            <w:r w:rsidRPr="00DE4DBE">
              <w:rPr>
                <w:rFonts w:eastAsiaTheme="minorEastAsia"/>
              </w:rPr>
              <w:t xml:space="preserve">a range due to the demand for expert forensic evidence being at the discretion of the Courts and Victoria Police. </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Community education and consultation sessions conducted by Victorian Law Reform Commission (VLRC)</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168</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103</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an increased number of community consultations and community education sessions being conducted. 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this increase. </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single" w:sz="6" w:space="0" w:color="auto"/>
              <w:left w:val="nil"/>
              <w:bottom w:val="single" w:sz="6" w:space="0" w:color="auto"/>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Law reform projects conducted by VLRC</w:t>
            </w:r>
          </w:p>
        </w:tc>
        <w:tc>
          <w:tcPr>
            <w:tcW w:w="907"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w:t>
            </w:r>
          </w:p>
        </w:tc>
        <w:tc>
          <w:tcPr>
            <w:tcW w:w="992"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w:t>
            </w:r>
          </w:p>
        </w:tc>
        <w:tc>
          <w:tcPr>
            <w:tcW w:w="907"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w:t>
            </w:r>
          </w:p>
        </w:tc>
        <w:tc>
          <w:tcPr>
            <w:tcW w:w="908" w:type="dxa"/>
            <w:tcBorders>
              <w:top w:val="single" w:sz="6" w:space="0" w:color="auto"/>
              <w:left w:val="nil"/>
              <w:bottom w:val="single" w:sz="6" w:space="0" w:color="auto"/>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Number of Sentencing Advisory Council (SAC) publications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New performance measure for 2016</w:t>
            </w:r>
            <w:r>
              <w:rPr>
                <w:rFonts w:eastAsiaTheme="minorEastAsia"/>
              </w:rPr>
              <w:noBreakHyphen/>
            </w:r>
            <w:r w:rsidRPr="00DE4DBE">
              <w:rPr>
                <w:rFonts w:eastAsiaTheme="minorEastAsia"/>
              </w:rPr>
              <w:t>17 to provide broader reporting coverage of services for the Sentencing Advisory Council. The new measure will, over time, provide information on references received from the Attorney</w:t>
            </w:r>
            <w:r>
              <w:rPr>
                <w:rFonts w:eastAsiaTheme="minorEastAsia"/>
              </w:rPr>
              <w:noBreakHyphen/>
            </w:r>
            <w:r w:rsidRPr="00DE4DBE">
              <w:rPr>
                <w:rFonts w:eastAsiaTheme="minorEastAsia"/>
              </w:rPr>
              <w:t>General and invitations to assist the Court of Appeal with Guideline Judgements.</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Audited medico</w:t>
            </w:r>
            <w:r>
              <w:rPr>
                <w:rFonts w:eastAsiaTheme="minorEastAsia"/>
                <w:lang w:eastAsia="en-AU"/>
              </w:rPr>
              <w:noBreakHyphen/>
            </w:r>
            <w:r w:rsidRPr="00DE4DBE">
              <w:rPr>
                <w:rFonts w:eastAsiaTheme="minorEastAsia"/>
                <w:lang w:eastAsia="en-AU"/>
              </w:rPr>
              <w:t>legal death investigation reports with no significant diagnostic errors (VIFM)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98</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Teachers and students who are satisfied with education programs delivered by VLRC</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Medical and scientific investigations on the body of the deceased completed within two days (VIFM)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78</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75</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76.7</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Medico</w:t>
            </w:r>
            <w:r>
              <w:rPr>
                <w:rFonts w:eastAsiaTheme="minorEastAsia"/>
                <w:lang w:eastAsia="en-AU"/>
              </w:rPr>
              <w:noBreakHyphen/>
            </w:r>
            <w:r w:rsidRPr="00DE4DBE">
              <w:rPr>
                <w:rFonts w:eastAsiaTheme="minorEastAsia"/>
                <w:lang w:eastAsia="en-AU"/>
              </w:rPr>
              <w:t>legal death investigation reports issued within agreed period (VIFM)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60</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70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68</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60</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70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65.7</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16.8</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13.5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14.5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21.1</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to reflect estimated carryover of funding from 2015</w:t>
            </w:r>
            <w:r>
              <w:rPr>
                <w:rFonts w:eastAsiaTheme="minorEastAsia"/>
              </w:rPr>
              <w:noBreakHyphen/>
            </w:r>
            <w:r w:rsidRPr="00DE4DBE">
              <w:rPr>
                <w:rFonts w:eastAsiaTheme="minorEastAsia"/>
              </w:rPr>
              <w:t>16 into 2016</w:t>
            </w:r>
            <w:r>
              <w:rPr>
                <w:rFonts w:eastAsiaTheme="minorEastAsia"/>
              </w:rPr>
              <w:noBreakHyphen/>
            </w:r>
            <w:r w:rsidRPr="00DE4DBE">
              <w:rPr>
                <w:rFonts w:eastAsiaTheme="minorEastAsia"/>
              </w:rPr>
              <w:t>17.</w:t>
            </w:r>
          </w:p>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is due to Family </w:t>
            </w:r>
            <w:r>
              <w:rPr>
                <w:rFonts w:eastAsiaTheme="minorEastAsia"/>
              </w:rPr>
              <w:t>v</w:t>
            </w:r>
            <w:r w:rsidRPr="00DE4DBE">
              <w:rPr>
                <w:rFonts w:eastAsiaTheme="minorEastAsia"/>
              </w:rPr>
              <w:t xml:space="preserve">iolence </w:t>
            </w:r>
            <w:r>
              <w:rPr>
                <w:rFonts w:eastAsiaTheme="minorEastAsia"/>
              </w:rPr>
              <w:t>l</w:t>
            </w:r>
            <w:r w:rsidRPr="00DE4DBE">
              <w:rPr>
                <w:rFonts w:eastAsiaTheme="minorEastAsia"/>
              </w:rPr>
              <w:t>egal</w:t>
            </w:r>
            <w:r>
              <w:rPr>
                <w:rFonts w:eastAsiaTheme="minorEastAsia"/>
              </w:rPr>
              <w:t xml:space="preserve"> a</w:t>
            </w:r>
            <w:r w:rsidRPr="00DE4DBE">
              <w:rPr>
                <w:rFonts w:eastAsiaTheme="minorEastAsia"/>
              </w:rPr>
              <w:t xml:space="preserve">ssistance funding announced in the </w:t>
            </w:r>
            <w:r w:rsidRPr="00CF2DE4">
              <w:rPr>
                <w:rFonts w:eastAsiaTheme="minorEastAsia"/>
                <w:i w:val="0"/>
              </w:rPr>
              <w:t>2016</w:t>
            </w:r>
            <w:r w:rsidRPr="00CF2DE4">
              <w:rPr>
                <w:rFonts w:eastAsiaTheme="minorEastAsia"/>
                <w:i w:val="0"/>
              </w:rPr>
              <w:noBreakHyphen/>
              <w:t>17 Budget</w:t>
            </w:r>
            <w:r w:rsidRPr="00DE4DBE">
              <w:rPr>
                <w:rFonts w:eastAsiaTheme="minorEastAsia"/>
              </w:rPr>
              <w:t>.</w:t>
            </w:r>
          </w:p>
          <w:p w:rsidR="00E25CC6" w:rsidRPr="00DE4DBE" w:rsidRDefault="00E25CC6" w:rsidP="00BB54D2">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2015</w:t>
            </w:r>
            <w:r>
              <w:rPr>
                <w:rFonts w:eastAsiaTheme="minorEastAsia"/>
              </w:rPr>
              <w:noBreakHyphen/>
            </w:r>
            <w:r w:rsidRPr="00DE4DBE">
              <w:rPr>
                <w:rFonts w:eastAsiaTheme="minorEastAsia"/>
              </w:rPr>
              <w:t>16 target and 2015</w:t>
            </w:r>
            <w:r>
              <w:rPr>
                <w:rFonts w:eastAsiaTheme="minorEastAsia"/>
              </w:rPr>
              <w:noBreakHyphen/>
            </w:r>
            <w:r w:rsidRPr="00DE4DBE">
              <w:rPr>
                <w:rFonts w:eastAsiaTheme="minorEastAsia"/>
              </w:rPr>
              <w:t>16 expected outcome have been estimated based on a re</w:t>
            </w:r>
            <w:r>
              <w:rPr>
                <w:rFonts w:eastAsiaTheme="minorEastAsia"/>
              </w:rPr>
              <w:noBreakHyphen/>
            </w:r>
            <w:r w:rsidRPr="00DE4DBE">
              <w:rPr>
                <w:rFonts w:eastAsiaTheme="minorEastAsia"/>
              </w:rPr>
              <w:t>mapping of historical output costs.</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Victims and Community Support Services</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 xml:space="preserve">This output delivers programs that focus on victims and community support services. </w:t>
            </w:r>
          </w:p>
          <w:p w:rsidR="00E25CC6" w:rsidRPr="00DE4DBE" w:rsidRDefault="00E25CC6" w:rsidP="00BB54D2">
            <w:pPr>
              <w:pStyle w:val="OGText"/>
              <w:rPr>
                <w:rFonts w:eastAsiaTheme="minorEastAsia"/>
                <w:lang w:eastAsia="en-AU"/>
              </w:rPr>
            </w:pPr>
            <w:r w:rsidRPr="00DE4DBE">
              <w:rPr>
                <w:rFonts w:eastAsiaTheme="minorEastAsia"/>
                <w:lang w:eastAsia="en-AU"/>
              </w:rPr>
              <w:t xml:space="preserve">The Working with Children Check Unit, through the administration of the </w:t>
            </w:r>
            <w:r w:rsidRPr="00CF2DE4">
              <w:rPr>
                <w:rFonts w:eastAsiaTheme="minorEastAsia"/>
                <w:i/>
                <w:lang w:eastAsia="en-AU"/>
              </w:rPr>
              <w:t>Working with Children Act</w:t>
            </w:r>
            <w:r w:rsidRPr="00DE4DBE">
              <w:rPr>
                <w:rFonts w:eastAsiaTheme="minorEastAsia"/>
                <w:lang w:eastAsia="en-AU"/>
              </w:rPr>
              <w:t xml:space="preserve"> </w:t>
            </w:r>
            <w:r w:rsidRPr="00742C99">
              <w:rPr>
                <w:rFonts w:eastAsiaTheme="minorEastAsia"/>
                <w:i/>
                <w:lang w:eastAsia="en-AU"/>
              </w:rPr>
              <w:t>2005</w:t>
            </w:r>
            <w:r w:rsidRPr="00DE4DBE">
              <w:rPr>
                <w:rFonts w:eastAsiaTheme="minorEastAsia"/>
                <w:lang w:eastAsia="en-AU"/>
              </w:rPr>
              <w:t>, aims to reduce the incidence of sexual and physical offences against children by only allowing Victorian adults who pass the working with children check to work with children.</w:t>
            </w:r>
            <w:r>
              <w:rPr>
                <w:rFonts w:eastAsiaTheme="minorEastAsia"/>
                <w:lang w:eastAsia="en-AU"/>
              </w:rPr>
              <w:t xml:space="preserve"> </w:t>
            </w:r>
          </w:p>
          <w:p w:rsidR="00E25CC6" w:rsidRPr="00DE4DBE" w:rsidRDefault="00E25CC6" w:rsidP="00BB54D2">
            <w:pPr>
              <w:pStyle w:val="OGText"/>
              <w:rPr>
                <w:rFonts w:eastAsiaTheme="minorEastAsia"/>
                <w:lang w:eastAsia="en-AU"/>
              </w:rPr>
            </w:pPr>
            <w:r w:rsidRPr="00DE4DBE">
              <w:rPr>
                <w:rFonts w:eastAsiaTheme="minorEastAsia"/>
                <w:lang w:eastAsia="en-AU"/>
              </w:rPr>
              <w:t>The Victims Support Agency (VSA) is responsible for coordinating a whole of government approach to services for victims of crime against the person and for representing the voice of victims within the justice system. It provides practical assistance to help victims recover from the effects of crime and is pivotal in linking the service system.</w:t>
            </w:r>
          </w:p>
          <w:p w:rsidR="00E25CC6" w:rsidRPr="00DE4DBE" w:rsidRDefault="00E25CC6" w:rsidP="00BB54D2">
            <w:pPr>
              <w:pStyle w:val="OGText"/>
              <w:rPr>
                <w:rFonts w:eastAsiaTheme="minorEastAsia"/>
                <w:lang w:eastAsia="en-AU"/>
              </w:rPr>
            </w:pPr>
            <w:r w:rsidRPr="00DE4DBE">
              <w:rPr>
                <w:rFonts w:eastAsiaTheme="minorEastAsia"/>
                <w:lang w:eastAsia="en-AU"/>
              </w:rPr>
              <w:t>Consistent with Victoria</w:t>
            </w:r>
            <w:r>
              <w:rPr>
                <w:rFonts w:eastAsiaTheme="minorEastAsia"/>
                <w:lang w:eastAsia="en-AU"/>
              </w:rPr>
              <w:t>’</w:t>
            </w:r>
            <w:r w:rsidRPr="00DE4DBE">
              <w:rPr>
                <w:rFonts w:eastAsiaTheme="minorEastAsia"/>
                <w:lang w:eastAsia="en-AU"/>
              </w:rPr>
              <w:t>s commitment to the Aboriginal Justice Agreement, other initiatives undertaken focus on crime prevention and reducing re</w:t>
            </w:r>
            <w:r>
              <w:rPr>
                <w:rFonts w:eastAsiaTheme="minorEastAsia"/>
                <w:lang w:eastAsia="en-AU"/>
              </w:rPr>
              <w:noBreakHyphen/>
            </w:r>
            <w:r w:rsidRPr="00DE4DBE">
              <w:rPr>
                <w:rFonts w:eastAsiaTheme="minorEastAsia"/>
                <w:lang w:eastAsia="en-AU"/>
              </w:rPr>
              <w:t>offending of Koories in the criminal justice system.</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Victims receiving a service from the Victims of Crime Helpline, Victims Register, Youth Justice Group Conferencing, and Victims Support (VSA)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17 600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17 600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10 000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13 723</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BB54D2">
            <w:pPr>
              <w:pStyle w:val="OGNotes"/>
              <w:rPr>
                <w:rFonts w:eastAsiaTheme="minorEastAsia"/>
              </w:rPr>
            </w:pPr>
            <w:r w:rsidRPr="00DE4DBE">
              <w:rPr>
                <w:rFonts w:eastAsiaTheme="minorEastAsia"/>
              </w:rPr>
              <w:t>This performance measure is a disaggregation of the 2015</w:t>
            </w:r>
            <w:r>
              <w:rPr>
                <w:rFonts w:eastAsiaTheme="minorEastAsia"/>
              </w:rPr>
              <w:noBreakHyphen/>
            </w:r>
            <w:r w:rsidRPr="00DE4DBE">
              <w:rPr>
                <w:rFonts w:eastAsiaTheme="minorEastAsia"/>
              </w:rPr>
              <w:t xml:space="preserve">16 performance measure </w:t>
            </w:r>
            <w:r>
              <w:rPr>
                <w:rFonts w:eastAsiaTheme="minorEastAsia"/>
              </w:rPr>
              <w:t>‘</w:t>
            </w:r>
            <w:r w:rsidRPr="00DE4DBE">
              <w:rPr>
                <w:rFonts w:eastAsiaTheme="minorEastAsia"/>
              </w:rPr>
              <w:t>Victims receiving a service from the Victims of Crime Helpline, Victims Assistance and Counselling Program and Victims Register</w:t>
            </w:r>
            <w:r>
              <w:rPr>
                <w:rFonts w:eastAsiaTheme="minorEastAsia"/>
              </w:rPr>
              <w:t>’</w:t>
            </w:r>
            <w:r w:rsidRPr="00DE4DBE">
              <w:rPr>
                <w:rFonts w:eastAsiaTheme="minorEastAsia"/>
              </w:rPr>
              <w:t>. The disaggregation provides improved transparency of the VSA operations.</w:t>
            </w:r>
          </w:p>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strong demand for Helpline services and e</w:t>
            </w:r>
            <w:r>
              <w:rPr>
                <w:rFonts w:eastAsiaTheme="minorEastAsia"/>
              </w:rPr>
              <w:noBreakHyphen/>
            </w:r>
            <w:r w:rsidRPr="00DE4DBE">
              <w:rPr>
                <w:rFonts w:eastAsiaTheme="minorEastAsia"/>
              </w:rPr>
              <w:t>referrals, particularly in regard to male family violence. The higher 2016</w:t>
            </w:r>
            <w:r>
              <w:rPr>
                <w:rFonts w:eastAsiaTheme="minorEastAsia"/>
              </w:rPr>
              <w:noBreakHyphen/>
            </w:r>
            <w:r w:rsidRPr="00DE4DBE">
              <w:rPr>
                <w:rFonts w:eastAsiaTheme="minorEastAsia"/>
              </w:rPr>
              <w:t xml:space="preserve">17 target reflects this increase in demand. </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Victims receiving a service from the Victims Assistance Program (VSA)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12 400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12 400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11 000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11 227</w:t>
            </w:r>
          </w:p>
        </w:tc>
      </w:tr>
      <w:tr w:rsidR="00E25CC6" w:rsidRPr="00DE4DBE" w:rsidTr="00BB54D2">
        <w:trPr>
          <w:cantSplit/>
        </w:trPr>
        <w:tc>
          <w:tcPr>
            <w:tcW w:w="7767" w:type="dxa"/>
            <w:gridSpan w:val="6"/>
            <w:tcBorders>
              <w:top w:val="nil"/>
              <w:left w:val="nil"/>
              <w:bottom w:val="single" w:sz="6" w:space="0" w:color="auto"/>
              <w:right w:val="nil"/>
            </w:tcBorders>
          </w:tcPr>
          <w:p w:rsidR="00E25CC6" w:rsidRDefault="00E25CC6" w:rsidP="00BB54D2">
            <w:pPr>
              <w:pStyle w:val="OGNotes"/>
              <w:rPr>
                <w:rFonts w:eastAsiaTheme="minorEastAsia"/>
              </w:rPr>
            </w:pPr>
            <w:r w:rsidRPr="00DE4DBE">
              <w:rPr>
                <w:rFonts w:eastAsiaTheme="minorEastAsia"/>
              </w:rPr>
              <w:t>This performance measure is a disaggregation of the 2015</w:t>
            </w:r>
            <w:r>
              <w:rPr>
                <w:rFonts w:eastAsiaTheme="minorEastAsia"/>
              </w:rPr>
              <w:noBreakHyphen/>
            </w:r>
            <w:r w:rsidRPr="00DE4DBE">
              <w:rPr>
                <w:rFonts w:eastAsiaTheme="minorEastAsia"/>
              </w:rPr>
              <w:t xml:space="preserve">16 performance measure </w:t>
            </w:r>
            <w:r>
              <w:rPr>
                <w:rFonts w:eastAsiaTheme="minorEastAsia"/>
              </w:rPr>
              <w:t>‘</w:t>
            </w:r>
            <w:r w:rsidRPr="00DE4DBE">
              <w:rPr>
                <w:rFonts w:eastAsiaTheme="minorEastAsia"/>
              </w:rPr>
              <w:t>Victims receiving a service from the Victims of Crime Helpline, Victims Assistance and Counselling Program and Victims Register</w:t>
            </w:r>
            <w:r>
              <w:rPr>
                <w:rFonts w:eastAsiaTheme="minorEastAsia"/>
              </w:rPr>
              <w:t>’</w:t>
            </w:r>
            <w:r w:rsidRPr="00DE4DBE">
              <w:rPr>
                <w:rFonts w:eastAsiaTheme="minorEastAsia"/>
              </w:rPr>
              <w:t>. The disaggregation provides improved transparency of the VSA operations.</w:t>
            </w:r>
          </w:p>
          <w:p w:rsidR="00E25CC6" w:rsidRPr="00DE4DBE" w:rsidRDefault="00E25CC6" w:rsidP="007E6077">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16 expected outcome is higher than the 2015</w:t>
            </w:r>
            <w:r>
              <w:rPr>
                <w:rFonts w:eastAsiaTheme="minorEastAsia"/>
              </w:rPr>
              <w:noBreakHyphen/>
            </w:r>
            <w:r w:rsidRPr="00DE4DBE">
              <w:rPr>
                <w:rFonts w:eastAsiaTheme="minorEastAsia"/>
              </w:rPr>
              <w:t>16 target due to strong demand for Victims Assistance Program services.</w:t>
            </w:r>
            <w:r>
              <w:rPr>
                <w:rFonts w:eastAsiaTheme="minorEastAsia"/>
              </w:rPr>
              <w:t xml:space="preserve"> </w:t>
            </w:r>
            <w:r w:rsidRPr="00DE4DBE">
              <w:rPr>
                <w:rFonts w:eastAsiaTheme="minorEastAsia"/>
              </w:rPr>
              <w:t xml:space="preserve"> The higher 2016</w:t>
            </w:r>
            <w:r>
              <w:rPr>
                <w:rFonts w:eastAsiaTheme="minorEastAsia"/>
              </w:rPr>
              <w:noBreakHyphen/>
            </w:r>
            <w:r w:rsidRPr="00DE4DBE">
              <w:rPr>
                <w:rFonts w:eastAsiaTheme="minorEastAsia"/>
              </w:rPr>
              <w:t xml:space="preserve">17 target reflects this increase in demand. </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Diversion initiatives established to support the Koori</w:t>
            </w:r>
            <w:r>
              <w:rPr>
                <w:rFonts w:eastAsiaTheme="minorEastAsia"/>
                <w:lang w:eastAsia="en-AU"/>
              </w:rPr>
              <w:t>e</w:t>
            </w:r>
            <w:r w:rsidRPr="00DE4DBE">
              <w:rPr>
                <w:rFonts w:eastAsiaTheme="minorEastAsia"/>
                <w:lang w:eastAsia="en-AU"/>
              </w:rPr>
              <w:t xml:space="preserve"> community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Enhancing Community Safety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Number of Working with Children Checks processed</w:t>
            </w:r>
          </w:p>
        </w:tc>
        <w:tc>
          <w:tcPr>
            <w:tcW w:w="907" w:type="dxa"/>
            <w:tcBorders>
              <w:top w:val="nil"/>
              <w:left w:val="nil"/>
              <w:bottom w:val="nil"/>
              <w:right w:val="nil"/>
            </w:tcBorders>
          </w:tcPr>
          <w:p w:rsidR="00E25CC6" w:rsidRPr="00DE4DBE" w:rsidRDefault="00E25CC6" w:rsidP="003873F1">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xml:space="preserve">number </w:t>
            </w:r>
            <w:r w:rsidRPr="00E074E1">
              <w:rPr>
                <w:rFonts w:ascii="Calibri" w:eastAsiaTheme="minorEastAsia" w:hAnsi="Calibri" w:cs="Calibri"/>
                <w:color w:val="000000"/>
                <w:sz w:val="18"/>
                <w:szCs w:val="18"/>
                <w:lang w:eastAsia="en-AU"/>
              </w:rPr>
              <w:t>(</w:t>
            </w:r>
            <w:r>
              <w:rPr>
                <w:rFonts w:ascii="Calibri" w:eastAsiaTheme="minorEastAsia" w:hAnsi="Calibri" w:cs="Calibri"/>
                <w:color w:val="000000"/>
                <w:sz w:val="18"/>
                <w:szCs w:val="18"/>
                <w:lang w:eastAsia="en-AU"/>
              </w:rPr>
              <w:t>000</w:t>
            </w:r>
            <w:r w:rsidRPr="00E074E1">
              <w:rPr>
                <w:rFonts w:ascii="Calibri" w:eastAsiaTheme="minorEastAsia" w:hAnsi="Calibri" w:cs="Calibri"/>
                <w:color w:val="000000"/>
                <w:sz w:val="18"/>
                <w:szCs w:val="18"/>
                <w:lang w:eastAsia="en-AU"/>
              </w:rPr>
              <w: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200</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250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235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200</w:t>
            </w:r>
            <w:r>
              <w:rPr>
                <w:rFonts w:ascii="Calibri" w:eastAsiaTheme="minorEastAsia" w:hAnsi="Calibri" w:cs="Calibri"/>
                <w:color w:val="000000"/>
                <w:sz w:val="19"/>
                <w:szCs w:val="22"/>
                <w:lang w:eastAsia="en-AU"/>
              </w:rPr>
              <w:noBreakHyphen/>
            </w:r>
            <w:r w:rsidRPr="00DE4DBE">
              <w:rPr>
                <w:rFonts w:ascii="Calibri" w:eastAsiaTheme="minorEastAsia" w:hAnsi="Calibri" w:cs="Calibri"/>
                <w:color w:val="000000"/>
                <w:sz w:val="19"/>
                <w:szCs w:val="22"/>
                <w:lang w:eastAsia="en-AU"/>
              </w:rPr>
              <w:t>250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235</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Enhancing Community Safety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Working with Children Checks: Assessment issued within three days of receiving CrimTrac clear notification</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98</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98</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Enhancing Community Safety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Working with Children Checks: Negative notices issued within three days of receiving the delegate</w:t>
            </w:r>
            <w:r>
              <w:rPr>
                <w:rFonts w:eastAsiaTheme="minorEastAsia"/>
                <w:lang w:eastAsia="en-AU"/>
              </w:rPr>
              <w:t>’</w:t>
            </w:r>
            <w:r w:rsidRPr="00DE4DBE">
              <w:rPr>
                <w:rFonts w:eastAsiaTheme="minorEastAsia"/>
                <w:lang w:eastAsia="en-AU"/>
              </w:rPr>
              <w:t>s decision</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Enhancing Community Safety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FE3923">
        <w:trPr>
          <w:cantSplit/>
        </w:trPr>
        <w:tc>
          <w:tcPr>
            <w:tcW w:w="3146" w:type="dxa"/>
            <w:tcBorders>
              <w:top w:val="nil"/>
              <w:left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100.8</w:t>
            </w:r>
          </w:p>
        </w:tc>
        <w:tc>
          <w:tcPr>
            <w:tcW w:w="992" w:type="dxa"/>
            <w:tcBorders>
              <w:top w:val="nil"/>
              <w:left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89.3</w:t>
            </w:r>
          </w:p>
        </w:tc>
        <w:tc>
          <w:tcPr>
            <w:tcW w:w="907" w:type="dxa"/>
            <w:tcBorders>
              <w:top w:val="nil"/>
              <w:left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84.0</w:t>
            </w:r>
          </w:p>
        </w:tc>
        <w:tc>
          <w:tcPr>
            <w:tcW w:w="908" w:type="dxa"/>
            <w:tcBorders>
              <w:top w:val="nil"/>
              <w:left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87.8</w:t>
            </w:r>
          </w:p>
        </w:tc>
      </w:tr>
      <w:tr w:rsidR="00E25CC6" w:rsidRPr="00DE4DBE" w:rsidTr="00FE3923">
        <w:trPr>
          <w:cantSplit/>
        </w:trPr>
        <w:tc>
          <w:tcPr>
            <w:tcW w:w="7767" w:type="dxa"/>
            <w:gridSpan w:val="6"/>
            <w:tcBorders>
              <w:top w:val="nil"/>
              <w:left w:val="nil"/>
              <w:bottom w:val="single" w:sz="12"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the reprioritisation of funding from the Infringements and Warrants output.</w:t>
            </w:r>
          </w:p>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is due to new funding for the Koori</w:t>
            </w:r>
            <w:r>
              <w:rPr>
                <w:rFonts w:eastAsiaTheme="minorEastAsia"/>
              </w:rPr>
              <w:t>e</w:t>
            </w:r>
            <w:r w:rsidRPr="00DE4DBE">
              <w:rPr>
                <w:rFonts w:eastAsiaTheme="minorEastAsia"/>
              </w:rPr>
              <w:t xml:space="preserve"> women</w:t>
            </w:r>
            <w:r>
              <w:rPr>
                <w:rFonts w:eastAsiaTheme="minorEastAsia"/>
              </w:rPr>
              <w:t>’</w:t>
            </w:r>
            <w:r w:rsidRPr="00DE4DBE">
              <w:rPr>
                <w:rFonts w:eastAsiaTheme="minorEastAsia"/>
              </w:rPr>
              <w:t>s diversion program and Enhancing awareness and early intervention. In addition, reprioritisation of funding from the Infringements and Warrants output to meet increased demand for Working with Children Checks, increased costs within the Victorian Institute of Forensic Medicine funded from external fees and charges and an increase in Capital Asset Charge associated with the State Coronial Services Centre redevelopment also contributes to the increase in the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w:t>
            </w:r>
          </w:p>
          <w:p w:rsidR="00E25CC6" w:rsidRPr="00DE4DBE" w:rsidRDefault="00E25CC6" w:rsidP="00BB54D2">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2015</w:t>
            </w:r>
            <w:r>
              <w:rPr>
                <w:rFonts w:eastAsiaTheme="minorEastAsia"/>
              </w:rPr>
              <w:noBreakHyphen/>
            </w:r>
            <w:r w:rsidRPr="00DE4DBE">
              <w:rPr>
                <w:rFonts w:eastAsiaTheme="minorEastAsia"/>
              </w:rPr>
              <w:t>16 target and 2015</w:t>
            </w:r>
            <w:r>
              <w:rPr>
                <w:rFonts w:eastAsiaTheme="minorEastAsia"/>
              </w:rPr>
              <w:noBreakHyphen/>
            </w:r>
            <w:r w:rsidRPr="00DE4DBE">
              <w:rPr>
                <w:rFonts w:eastAsiaTheme="minorEastAsia"/>
              </w:rPr>
              <w:t>16 expected outcome have been estimated based on a re</w:t>
            </w:r>
            <w:r>
              <w:rPr>
                <w:rFonts w:eastAsiaTheme="minorEastAsia"/>
              </w:rPr>
              <w:noBreakHyphen/>
            </w:r>
            <w:r w:rsidRPr="00DE4DBE">
              <w:rPr>
                <w:rFonts w:eastAsiaTheme="minorEastAsia"/>
              </w:rPr>
              <w:t>mapping of historical output costs.</w:t>
            </w:r>
          </w:p>
        </w:tc>
      </w:tr>
    </w:tbl>
    <w:p w:rsidR="00E25CC6" w:rsidRPr="00A57A8A" w:rsidRDefault="00E25CC6" w:rsidP="008370E1">
      <w:pPr>
        <w:pStyle w:val="Source"/>
        <w:rPr>
          <w:rFonts w:eastAsiaTheme="minorHAnsi"/>
        </w:rPr>
      </w:pPr>
      <w:r>
        <w:rPr>
          <w:rFonts w:eastAsiaTheme="minorHAnsi"/>
        </w:rPr>
        <w:t>Source: Department of Justice and Regulation</w:t>
      </w:r>
      <w:bookmarkEnd w:id="92"/>
      <w:r>
        <w:rPr>
          <w:rFonts w:eastAsiaTheme="minorHAnsi"/>
        </w:rPr>
        <w:t xml:space="preserve"> </w:t>
      </w:r>
      <w:r>
        <w:rPr>
          <w:rFonts w:eastAsiaTheme="minorHAnsi"/>
        </w:rPr>
        <w:fldChar w:fldCharType="begin"/>
      </w:r>
      <w:r>
        <w:instrText xml:space="preserve"> XE "</w:instrText>
      </w:r>
      <w:r w:rsidRPr="00C31B61">
        <w:instrText>Department of Justice and Regulation:Criminal Justice Services</w:instrText>
      </w:r>
      <w:r>
        <w:instrText xml:space="preserve">" \r "DJR_CrimJustSvces" </w:instrText>
      </w:r>
      <w:r>
        <w:rPr>
          <w:rFonts w:eastAsiaTheme="minorHAnsi"/>
        </w:rPr>
        <w:fldChar w:fldCharType="end"/>
      </w:r>
    </w:p>
    <w:p w:rsidR="00E25CC6" w:rsidRDefault="00E25CC6" w:rsidP="00A57A8A">
      <w:pPr>
        <w:pStyle w:val="OGText"/>
        <w:rPr>
          <w:rFonts w:eastAsiaTheme="minorHAnsi"/>
        </w:rPr>
      </w:pPr>
    </w:p>
    <w:p w:rsidR="00E25CC6" w:rsidRDefault="00E25CC6">
      <w:pPr>
        <w:spacing w:after="0"/>
        <w:rPr>
          <w:rFonts w:ascii="Calibri" w:eastAsiaTheme="minorHAnsi" w:hAnsi="Calibri"/>
          <w:b/>
          <w:sz w:val="32"/>
          <w:szCs w:val="28"/>
        </w:rPr>
      </w:pPr>
      <w:r>
        <w:rPr>
          <w:rFonts w:eastAsiaTheme="minorHAnsi"/>
        </w:rPr>
        <w:br w:type="page"/>
      </w:r>
    </w:p>
    <w:p w:rsidR="00E25CC6" w:rsidRPr="00A57A8A" w:rsidRDefault="00E25CC6" w:rsidP="00A57A8A">
      <w:pPr>
        <w:pStyle w:val="OGHeading1"/>
        <w:rPr>
          <w:rFonts w:eastAsiaTheme="minorHAnsi"/>
        </w:rPr>
      </w:pPr>
      <w:r w:rsidRPr="00A57A8A">
        <w:rPr>
          <w:rFonts w:eastAsiaTheme="minorHAnsi"/>
        </w:rPr>
        <w:t>Civil Justice Services</w:t>
      </w:r>
    </w:p>
    <w:p w:rsidR="00E25CC6" w:rsidRPr="00A57A8A" w:rsidRDefault="00E25CC6" w:rsidP="00A57A8A">
      <w:pPr>
        <w:pStyle w:val="OGText"/>
        <w:rPr>
          <w:rFonts w:eastAsiaTheme="minorHAnsi"/>
        </w:rPr>
      </w:pPr>
      <w:bookmarkStart w:id="93" w:name="DJR_CivilJustSvces"/>
      <w:r w:rsidRPr="00A57A8A">
        <w:rPr>
          <w:rFonts w:eastAsiaTheme="minorHAnsi"/>
        </w:rPr>
        <w:t>This output group delivers services that safeguard the Victorian community through the provision of services relating to rights and equal opportunity, life event registration, identity protection and advocacy and guardianship for Victorians with a disability or mental illness.</w:t>
      </w:r>
    </w:p>
    <w:p w:rsidR="00E25CC6" w:rsidRDefault="00E25CC6" w:rsidP="00A57A8A">
      <w:pPr>
        <w:pStyle w:val="OGText"/>
        <w:rPr>
          <w:rFonts w:eastAsiaTheme="minorHAnsi"/>
        </w:rPr>
      </w:pPr>
      <w:r w:rsidRPr="00A57A8A">
        <w:rPr>
          <w:rFonts w:eastAsiaTheme="minorHAnsi"/>
        </w:rPr>
        <w:t>This output group contributes to the Department</w:t>
      </w:r>
      <w:r>
        <w:rPr>
          <w:rFonts w:eastAsiaTheme="minorHAnsi"/>
        </w:rPr>
        <w:t>’</w:t>
      </w:r>
      <w:r w:rsidRPr="00A57A8A">
        <w:rPr>
          <w:rFonts w:eastAsiaTheme="minorHAnsi"/>
        </w:rPr>
        <w:t>s obj</w:t>
      </w:r>
      <w:r>
        <w:rPr>
          <w:rFonts w:eastAsiaTheme="minorHAnsi"/>
        </w:rPr>
        <w:t>ective of a</w:t>
      </w:r>
      <w:r w:rsidRPr="00A57A8A">
        <w:rPr>
          <w:rFonts w:eastAsiaTheme="minorHAnsi"/>
        </w:rPr>
        <w:t xml:space="preserve"> just and supportive society with increased confidence and equality in the Victorian community.</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DE4DBE" w:rsidTr="00BB54D2">
        <w:trPr>
          <w:cantSplit/>
          <w:tblHeader/>
        </w:trPr>
        <w:tc>
          <w:tcPr>
            <w:tcW w:w="3146"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b/>
                <w:bCs/>
                <w:color w:val="FFFFFF"/>
                <w:sz w:val="19"/>
                <w:szCs w:val="22"/>
                <w:lang w:eastAsia="en-AU"/>
              </w:rPr>
              <w:t>Major outputs/deliverables</w:t>
            </w:r>
          </w:p>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center"/>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15 actual</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Protection of Personal Identity and Individual / Community Rights</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This output protects personal identity through the registration of significant life events by the Victorian Registry of Births, Deaths and Marriages (BDM). It also protects individual and community rights through the work of the Victorian Equal Opportunity and Human Rights Commission (VEOHRC), the Office of the Public Advocate (OPA) and the Native Title Unit (NTU).</w:t>
            </w:r>
          </w:p>
          <w:p w:rsidR="00E25CC6" w:rsidRPr="00DE4DBE" w:rsidRDefault="00E25CC6" w:rsidP="00BB54D2">
            <w:pPr>
              <w:pStyle w:val="OGText"/>
              <w:rPr>
                <w:rFonts w:eastAsiaTheme="minorEastAsia"/>
                <w:lang w:eastAsia="en-AU"/>
              </w:rPr>
            </w:pPr>
            <w:r>
              <w:rPr>
                <w:rFonts w:eastAsiaTheme="minorEastAsia"/>
                <w:lang w:eastAsia="en-AU"/>
              </w:rPr>
              <w:t xml:space="preserve">The </w:t>
            </w:r>
            <w:r w:rsidRPr="00DE4DBE">
              <w:rPr>
                <w:rFonts w:eastAsiaTheme="minorEastAsia"/>
                <w:lang w:eastAsia="en-AU"/>
              </w:rPr>
              <w:t xml:space="preserve">VEOHRC provides education and capacity building, and assists parties to resolve disputes. </w:t>
            </w:r>
            <w:r>
              <w:rPr>
                <w:rFonts w:eastAsiaTheme="minorEastAsia"/>
                <w:lang w:eastAsia="en-AU"/>
              </w:rPr>
              <w:t xml:space="preserve">The </w:t>
            </w:r>
            <w:r w:rsidRPr="00DE4DBE">
              <w:rPr>
                <w:rFonts w:eastAsiaTheme="minorEastAsia"/>
                <w:lang w:eastAsia="en-AU"/>
              </w:rPr>
              <w:t xml:space="preserve">OPA protects the rights, interests and dignity of people with disabilities and mental illness. </w:t>
            </w:r>
            <w:r>
              <w:rPr>
                <w:rFonts w:eastAsiaTheme="minorEastAsia"/>
                <w:lang w:eastAsia="en-AU"/>
              </w:rPr>
              <w:t xml:space="preserve">The </w:t>
            </w:r>
            <w:r w:rsidRPr="00DE4DBE">
              <w:rPr>
                <w:rFonts w:eastAsiaTheme="minorEastAsia"/>
                <w:lang w:eastAsia="en-AU"/>
              </w:rPr>
              <w:t>NTU seeks to increase the economic, social and cultural development of traditional owner communities by negotiating comprehensive settlements of native title claims.</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Complaint files received and handled by VEOHRC</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6900">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050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200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1 050</w:t>
            </w:r>
          </w:p>
        </w:tc>
        <w:tc>
          <w:tcPr>
            <w:tcW w:w="907" w:type="dxa"/>
            <w:tcBorders>
              <w:top w:val="nil"/>
              <w:left w:val="nil"/>
              <w:bottom w:val="nil"/>
              <w:right w:val="nil"/>
            </w:tcBorders>
          </w:tcPr>
          <w:p w:rsidR="00E25CC6" w:rsidRPr="00DE4DBE" w:rsidRDefault="00E25CC6" w:rsidP="0098404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050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200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1 060</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Education and consultancy sessions delivered by VEOHRC</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450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450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450</w:t>
            </w:r>
            <w:r>
              <w:rPr>
                <w:rFonts w:ascii="Calibri" w:eastAsiaTheme="minorEastAsia" w:hAnsi="Calibri" w:cs="Calibri"/>
                <w:color w:val="000000"/>
                <w:sz w:val="19"/>
                <w:szCs w:val="22"/>
                <w:lang w:eastAsia="en-AU"/>
              </w:rPr>
              <w:t>–</w:t>
            </w:r>
            <w:r w:rsidRPr="00DE4DBE">
              <w:rPr>
                <w:rFonts w:ascii="Calibri" w:eastAsiaTheme="minorEastAsia" w:hAnsi="Calibri" w:cs="Calibri"/>
                <w:color w:val="000000"/>
                <w:sz w:val="19"/>
                <w:szCs w:val="22"/>
                <w:lang w:eastAsia="en-AU"/>
              </w:rPr>
              <w:t>500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Enquiries made by the community to VEOHRC for information and advice</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9 000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9 000</w:t>
            </w:r>
          </w:p>
        </w:tc>
        <w:tc>
          <w:tcPr>
            <w:tcW w:w="907" w:type="dxa"/>
            <w:tcBorders>
              <w:top w:val="nil"/>
              <w:left w:val="nil"/>
              <w:bottom w:val="nil"/>
              <w:right w:val="nil"/>
            </w:tcBorders>
          </w:tcPr>
          <w:p w:rsidR="00E25CC6" w:rsidRPr="00DE4DBE" w:rsidRDefault="00E25CC6" w:rsidP="0098404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500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9</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9 157</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increasing demand and is amended from a range for increased clarity.</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Proportion of finalised complaint files resolved through dispute resolution (VEOHRC)</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40.4</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Groups in negotiation towards resolution of Native Title claims (NTU)</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EB7DCA">
            <w:pPr>
              <w:pStyle w:val="OGTabText"/>
              <w:keepNext/>
              <w:rPr>
                <w:rFonts w:eastAsiaTheme="minorEastAsia"/>
                <w:lang w:eastAsia="en-AU"/>
              </w:rPr>
            </w:pPr>
            <w:r w:rsidRPr="00DE4DBE">
              <w:rPr>
                <w:rFonts w:eastAsiaTheme="minorEastAsia"/>
                <w:lang w:eastAsia="en-AU"/>
              </w:rPr>
              <w:t>People assisted through Public Advocate advice and education activities (OPA)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21 500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24 000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21 500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the implementation of the new </w:t>
            </w:r>
            <w:r w:rsidRPr="00E074E1">
              <w:rPr>
                <w:rFonts w:eastAsiaTheme="minorEastAsia"/>
                <w:i w:val="0"/>
              </w:rPr>
              <w:t xml:space="preserve">Power of Attorney Act </w:t>
            </w:r>
            <w:r w:rsidRPr="00742C99">
              <w:rPr>
                <w:rFonts w:eastAsiaTheme="minorEastAsia"/>
                <w:i w:val="0"/>
              </w:rPr>
              <w:t>2014</w:t>
            </w:r>
            <w:r w:rsidRPr="00DE4DBE">
              <w:rPr>
                <w:rFonts w:eastAsiaTheme="minorEastAsia"/>
              </w:rPr>
              <w:t xml:space="preserve">, which commenced on 1 September 2015. </w:t>
            </w:r>
            <w:r>
              <w:rPr>
                <w:rFonts w:eastAsiaTheme="minorEastAsia"/>
              </w:rPr>
              <w:t xml:space="preserve">The </w:t>
            </w:r>
            <w:r w:rsidRPr="00DE4DBE">
              <w:rPr>
                <w:rFonts w:eastAsiaTheme="minorEastAsia"/>
              </w:rPr>
              <w:t>D</w:t>
            </w:r>
            <w:r>
              <w:rPr>
                <w:rFonts w:eastAsiaTheme="minorEastAsia"/>
              </w:rPr>
              <w:t xml:space="preserve">epartment of </w:t>
            </w:r>
            <w:r w:rsidRPr="00DE4DBE">
              <w:rPr>
                <w:rFonts w:eastAsiaTheme="minorEastAsia"/>
              </w:rPr>
              <w:t>J</w:t>
            </w:r>
            <w:r>
              <w:rPr>
                <w:rFonts w:eastAsiaTheme="minorEastAsia"/>
              </w:rPr>
              <w:t xml:space="preserve">ustice and </w:t>
            </w:r>
            <w:r w:rsidRPr="00DE4DBE">
              <w:rPr>
                <w:rFonts w:eastAsiaTheme="minorEastAsia"/>
              </w:rPr>
              <w:t>R</w:t>
            </w:r>
            <w:r>
              <w:rPr>
                <w:rFonts w:eastAsiaTheme="minorEastAsia"/>
              </w:rPr>
              <w:t>egulation</w:t>
            </w:r>
            <w:r w:rsidRPr="00DE4DBE">
              <w:rPr>
                <w:rFonts w:eastAsiaTheme="minorEastAsia"/>
              </w:rPr>
              <w:t xml:space="preserve"> expects enquiry numbers and education activities to return to historical levels over the next </w:t>
            </w:r>
            <w:r>
              <w:rPr>
                <w:rFonts w:eastAsiaTheme="minorEastAsia"/>
              </w:rPr>
              <w:t>12</w:t>
            </w:r>
            <w:r w:rsidRPr="00DE4DBE">
              <w:rPr>
                <w:rFonts w:eastAsiaTheme="minorEastAsia"/>
              </w:rPr>
              <w:t xml:space="preserve"> months.</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Public Advocate auspiced volunteer interventions for people with a disability (OPA)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7 500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7 800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7 500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Public Advocate protective interventions for people with a disability (OPA)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2 600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2 600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2 510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2 643</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existing demand in line with the 2015</w:t>
            </w:r>
            <w:r>
              <w:rPr>
                <w:rFonts w:eastAsiaTheme="minorEastAsia"/>
              </w:rPr>
              <w:noBreakHyphen/>
            </w:r>
            <w:r w:rsidRPr="00DE4DBE">
              <w:rPr>
                <w:rFonts w:eastAsiaTheme="minorEastAsia"/>
              </w:rPr>
              <w:t>16 expected outcome.</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Births, Deaths and Marriages registration transaction accuracy rate (BDM)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99</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Customer satisfaction rating: Community education/training programs, services and events delivered by VEOHRC</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88</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Customer satisfaction rating: Dispute resolution services delivered by VEOHRC</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VEOHRC complaints finalised within six months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86</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F977E2">
            <w:pPr>
              <w:pStyle w:val="OGTabText"/>
              <w:rPr>
                <w:rFonts w:eastAsiaTheme="minorEastAsia"/>
                <w:lang w:eastAsia="en-AU"/>
              </w:rPr>
            </w:pPr>
            <w:r w:rsidRPr="00DE4DBE">
              <w:rPr>
                <w:rFonts w:eastAsiaTheme="minorEastAsia"/>
                <w:lang w:eastAsia="en-AU"/>
              </w:rPr>
              <w:t>Proportion of Native Title negotiations progressed in accordance with the Department</w:t>
            </w:r>
            <w:r>
              <w:rPr>
                <w:rFonts w:eastAsiaTheme="minorEastAsia"/>
                <w:lang w:eastAsia="en-AU"/>
              </w:rPr>
              <w:t>’</w:t>
            </w:r>
            <w:r w:rsidRPr="00DE4DBE">
              <w:rPr>
                <w:rFonts w:eastAsiaTheme="minorEastAsia"/>
                <w:lang w:eastAsia="en-AU"/>
              </w:rPr>
              <w:t>s</w:t>
            </w:r>
            <w:r>
              <w:rPr>
                <w:rFonts w:eastAsiaTheme="minorEastAsia"/>
                <w:lang w:eastAsia="en-AU"/>
              </w:rPr>
              <w:t> </w:t>
            </w:r>
            <w:r w:rsidRPr="00DE4DBE">
              <w:rPr>
                <w:rFonts w:eastAsiaTheme="minorEastAsia"/>
                <w:lang w:eastAsia="en-AU"/>
              </w:rPr>
              <w:t>annual work plan and timeframes monitored by the Federal Court (NTU)</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Complete applications for birth, death and marriage certificates processed within five days of receipt (BDM)</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94.4</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Average number of days a protective intervention required by VCAT is held on a wait list prior to being allocated to a delegated officer by the Public Advocate (OPA)</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30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correction of a mistake in the historical methodology for calculating this measure, and a consequent change in the historical and current data for this performance measure, which has informed a more accurate assessment of the target. The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has been adjusted to reflect this.</w:t>
            </w:r>
          </w:p>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Protecting Community Rights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48.4</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51.8</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44.3</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48.0</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mainly due to the internal reprioritisation from other outputs to fund the payments approved by the Appeal Cost Board under the </w:t>
            </w:r>
            <w:r w:rsidRPr="00984042">
              <w:rPr>
                <w:rFonts w:eastAsiaTheme="minorEastAsia"/>
                <w:i w:val="0"/>
              </w:rPr>
              <w:t>Appeal Costs Act</w:t>
            </w:r>
            <w:r w:rsidRPr="00DE4DBE">
              <w:rPr>
                <w:rFonts w:eastAsiaTheme="minorEastAsia"/>
              </w:rPr>
              <w:t xml:space="preserve"> </w:t>
            </w:r>
            <w:r w:rsidRPr="00742C99">
              <w:rPr>
                <w:rFonts w:eastAsiaTheme="minorEastAsia"/>
                <w:i w:val="0"/>
              </w:rPr>
              <w:t>1998</w:t>
            </w:r>
            <w:r w:rsidRPr="00DE4DBE">
              <w:rPr>
                <w:rFonts w:eastAsiaTheme="minorEastAsia"/>
              </w:rPr>
              <w:t xml:space="preserve"> and additional funding to meet increased demand within the Registry of Births, Deaths and Marriages.</w:t>
            </w:r>
          </w:p>
          <w:p w:rsidR="00E25CC6" w:rsidRPr="00DE4DBE" w:rsidRDefault="00E25CC6" w:rsidP="00BB54D2">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funds transferred from other outputs for support payments made under the </w:t>
            </w:r>
            <w:r w:rsidRPr="00D17255">
              <w:rPr>
                <w:rFonts w:eastAsiaTheme="minorEastAsia"/>
                <w:i w:val="0"/>
              </w:rPr>
              <w:t>Wrongs Act</w:t>
            </w:r>
            <w:r>
              <w:rPr>
                <w:rFonts w:eastAsiaTheme="minorEastAsia"/>
                <w:i w:val="0"/>
              </w:rPr>
              <w:t xml:space="preserve"> 1958</w:t>
            </w:r>
            <w:r w:rsidRPr="00D17255">
              <w:rPr>
                <w:rFonts w:eastAsiaTheme="minorEastAsia"/>
                <w:i w:val="0"/>
              </w:rPr>
              <w:t>,</w:t>
            </w:r>
            <w:r w:rsidRPr="00DE4DBE">
              <w:rPr>
                <w:rFonts w:eastAsiaTheme="minorEastAsia"/>
              </w:rPr>
              <w:t xml:space="preserve"> funding for reorganisation costs within the Victorian Equal Opportunity and Human Rights Commission and additional funding to meet increased demand within the Registry of Births, Deaths and Marriages.</w:t>
            </w:r>
          </w:p>
          <w:p w:rsidR="00E25CC6" w:rsidRPr="00DE4DBE" w:rsidRDefault="00E25CC6" w:rsidP="00BB54D2">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2015</w:t>
            </w:r>
            <w:r>
              <w:rPr>
                <w:rFonts w:eastAsiaTheme="minorEastAsia"/>
              </w:rPr>
              <w:noBreakHyphen/>
            </w:r>
            <w:r w:rsidRPr="00DE4DBE">
              <w:rPr>
                <w:rFonts w:eastAsiaTheme="minorEastAsia"/>
              </w:rPr>
              <w:t>16 target and 2015</w:t>
            </w:r>
            <w:r>
              <w:rPr>
                <w:rFonts w:eastAsiaTheme="minorEastAsia"/>
              </w:rPr>
              <w:noBreakHyphen/>
            </w:r>
            <w:r w:rsidRPr="00DE4DBE">
              <w:rPr>
                <w:rFonts w:eastAsiaTheme="minorEastAsia"/>
              </w:rPr>
              <w:t>16 expected outcome have been estimated based on a re</w:t>
            </w:r>
            <w:r>
              <w:rPr>
                <w:rFonts w:eastAsiaTheme="minorEastAsia"/>
              </w:rPr>
              <w:noBreakHyphen/>
            </w:r>
            <w:r w:rsidRPr="00DE4DBE">
              <w:rPr>
                <w:rFonts w:eastAsiaTheme="minorEastAsia"/>
              </w:rPr>
              <w:t>mapping of historical output costs.</w:t>
            </w:r>
          </w:p>
        </w:tc>
      </w:tr>
      <w:tr w:rsidR="00E25CC6" w:rsidRPr="00DE4DBE" w:rsidTr="00BB54D2">
        <w:trPr>
          <w:cantSplit/>
        </w:trPr>
        <w:tc>
          <w:tcPr>
            <w:tcW w:w="7767" w:type="dxa"/>
            <w:gridSpan w:val="6"/>
            <w:tcBorders>
              <w:top w:val="single" w:sz="6" w:space="0" w:color="auto"/>
              <w:left w:val="nil"/>
              <w:bottom w:val="nil"/>
              <w:right w:val="nil"/>
            </w:tcBorders>
          </w:tcPr>
          <w:p w:rsidR="00E25CC6" w:rsidRPr="00DE4DBE" w:rsidRDefault="00E25CC6" w:rsidP="00BB54D2">
            <w:pPr>
              <w:pStyle w:val="OGHeading2"/>
              <w:rPr>
                <w:rFonts w:eastAsiaTheme="minorEastAsia"/>
                <w:lang w:eastAsia="en-AU"/>
              </w:rPr>
            </w:pPr>
            <w:r w:rsidRPr="00DE4DBE">
              <w:rPr>
                <w:rFonts w:eastAsiaTheme="minorEastAsia"/>
                <w:lang w:eastAsia="en-AU"/>
              </w:rPr>
              <w:t>Dispute Resolution and Civil Justice Support Services</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Text"/>
              <w:rPr>
                <w:rFonts w:eastAsiaTheme="minorEastAsia"/>
                <w:lang w:eastAsia="en-AU"/>
              </w:rPr>
            </w:pPr>
            <w:r w:rsidRPr="00DE4DBE">
              <w:rPr>
                <w:rFonts w:eastAsiaTheme="minorEastAsia"/>
                <w:lang w:eastAsia="en-AU"/>
              </w:rPr>
              <w:t>This output provides dispute resolution and mediation services to members of the community through the Dispute Settlement Centre of Victoria (DSCV). DSCV</w:t>
            </w:r>
            <w:r>
              <w:rPr>
                <w:rFonts w:eastAsiaTheme="minorEastAsia"/>
                <w:lang w:eastAsia="en-AU"/>
              </w:rPr>
              <w:t>’</w:t>
            </w:r>
            <w:r w:rsidRPr="00DE4DBE">
              <w:rPr>
                <w:rFonts w:eastAsiaTheme="minorEastAsia"/>
                <w:lang w:eastAsia="en-AU"/>
              </w:rPr>
              <w:t>s services cover neighbourhood disputes, workplace disputes and disputes within committees, clubs and incorporated associations.</w:t>
            </w:r>
          </w:p>
          <w:p w:rsidR="00E25CC6" w:rsidRPr="00DE4DBE" w:rsidRDefault="00E25CC6" w:rsidP="00BB54D2">
            <w:pPr>
              <w:pStyle w:val="OGText"/>
              <w:rPr>
                <w:rFonts w:eastAsiaTheme="minorEastAsia"/>
                <w:lang w:eastAsia="en-AU"/>
              </w:rPr>
            </w:pPr>
            <w:r w:rsidRPr="00DE4DBE">
              <w:rPr>
                <w:rFonts w:eastAsiaTheme="minorEastAsia"/>
                <w:lang w:eastAsia="en-AU"/>
              </w:rPr>
              <w:t>The output also provides strategic advice and practical legal solutions to the Victorian Government and its statutory authorities through the Victorian Government Solicitor</w:t>
            </w:r>
            <w:r>
              <w:rPr>
                <w:rFonts w:eastAsiaTheme="minorEastAsia"/>
                <w:lang w:eastAsia="en-AU"/>
              </w:rPr>
              <w:t>’</w:t>
            </w:r>
            <w:r w:rsidRPr="00DE4DBE">
              <w:rPr>
                <w:rFonts w:eastAsiaTheme="minorEastAsia"/>
                <w:lang w:eastAsia="en-AU"/>
              </w:rPr>
              <w:t>s Office (VGSO).</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Dispute resolution services provided in the Dispute Settlement Centre of Victoria (DSCV)</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21 500</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21 600</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21 500</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22 311</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i/>
                <w:iCs/>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i/>
                <w:iCs/>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i/>
                <w:iCs/>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i/>
                <w:iCs/>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Overall client satisfaction rate (DSCV)</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Settlement rate of mediation (DSCV)</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Client satisfaction with quality of legal advice provided (VGSO)</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Intake and mediation services conducted within agreed timeframes by the DSCV</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86</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Client satisfaction with timeliness of legal advice provided (VGSO)</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r>
      <w:tr w:rsidR="00E25CC6" w:rsidRPr="00DE4DBE" w:rsidTr="00BB54D2">
        <w:trPr>
          <w:cantSplit/>
        </w:trPr>
        <w:tc>
          <w:tcPr>
            <w:tcW w:w="7767" w:type="dxa"/>
            <w:gridSpan w:val="6"/>
            <w:tcBorders>
              <w:top w:val="nil"/>
              <w:left w:val="nil"/>
              <w:bottom w:val="single" w:sz="6" w:space="0" w:color="auto"/>
              <w:right w:val="nil"/>
            </w:tcBorders>
          </w:tcPr>
          <w:p w:rsidR="00E25CC6" w:rsidRPr="00DE4DBE" w:rsidRDefault="00E25CC6" w:rsidP="00BB54D2">
            <w:pPr>
              <w:pStyle w:val="OGNotes"/>
              <w:rPr>
                <w:rFonts w:eastAsiaTheme="minorEastAsia"/>
              </w:rPr>
            </w:pPr>
            <w:r w:rsidRPr="00DE4DBE">
              <w:rPr>
                <w:rFonts w:eastAsiaTheme="minorEastAsia"/>
              </w:rPr>
              <w:t>This performance measure is transferred directly from the former Access to Justice and Support Services output.</w:t>
            </w:r>
          </w:p>
        </w:tc>
      </w:tr>
      <w:tr w:rsidR="00E25CC6" w:rsidRPr="00DE4DBE" w:rsidTr="00BB54D2">
        <w:trPr>
          <w:cantSplit/>
        </w:trPr>
        <w:tc>
          <w:tcPr>
            <w:tcW w:w="3146" w:type="dxa"/>
            <w:tcBorders>
              <w:top w:val="nil"/>
              <w:left w:val="nil"/>
              <w:bottom w:val="nil"/>
              <w:right w:val="nil"/>
            </w:tcBorders>
          </w:tcPr>
          <w:p w:rsidR="00E25CC6" w:rsidRPr="00DE4DBE" w:rsidRDefault="00E25CC6" w:rsidP="00BB54D2">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FE3923">
        <w:trPr>
          <w:cantSplit/>
        </w:trPr>
        <w:tc>
          <w:tcPr>
            <w:tcW w:w="3146" w:type="dxa"/>
            <w:tcBorders>
              <w:top w:val="nil"/>
              <w:left w:val="nil"/>
              <w:right w:val="nil"/>
            </w:tcBorders>
          </w:tcPr>
          <w:p w:rsidR="00E25CC6" w:rsidRPr="00DE4DBE" w:rsidRDefault="00E25CC6" w:rsidP="00BB54D2">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right w:val="nil"/>
            </w:tcBorders>
          </w:tcPr>
          <w:p w:rsidR="00E25CC6" w:rsidRPr="00DE4DBE" w:rsidRDefault="00E25CC6" w:rsidP="00BB54D2">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43.8</w:t>
            </w:r>
          </w:p>
        </w:tc>
        <w:tc>
          <w:tcPr>
            <w:tcW w:w="992" w:type="dxa"/>
            <w:tcBorders>
              <w:top w:val="nil"/>
              <w:left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46.1</w:t>
            </w:r>
          </w:p>
        </w:tc>
        <w:tc>
          <w:tcPr>
            <w:tcW w:w="907" w:type="dxa"/>
            <w:tcBorders>
              <w:top w:val="nil"/>
              <w:left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45.0</w:t>
            </w:r>
          </w:p>
        </w:tc>
        <w:tc>
          <w:tcPr>
            <w:tcW w:w="908" w:type="dxa"/>
            <w:tcBorders>
              <w:top w:val="nil"/>
              <w:left w:val="nil"/>
              <w:right w:val="nil"/>
            </w:tcBorders>
          </w:tcPr>
          <w:p w:rsidR="00E25CC6" w:rsidRPr="00DE4DBE" w:rsidRDefault="00E25CC6" w:rsidP="00BB54D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46.1</w:t>
            </w:r>
          </w:p>
        </w:tc>
      </w:tr>
      <w:tr w:rsidR="00E25CC6" w:rsidRPr="00DE4DBE" w:rsidTr="00FE3923">
        <w:trPr>
          <w:cantSplit/>
        </w:trPr>
        <w:tc>
          <w:tcPr>
            <w:tcW w:w="7767" w:type="dxa"/>
            <w:gridSpan w:val="6"/>
            <w:tcBorders>
              <w:top w:val="nil"/>
              <w:left w:val="nil"/>
              <w:bottom w:val="single" w:sz="12" w:space="0" w:color="auto"/>
              <w:right w:val="nil"/>
            </w:tcBorders>
          </w:tcPr>
          <w:p w:rsidR="00E25CC6" w:rsidRPr="00DE4DBE" w:rsidRDefault="00E25CC6" w:rsidP="00BB54D2">
            <w:pPr>
              <w:pStyle w:val="OGNotes"/>
              <w:rPr>
                <w:rFonts w:eastAsiaTheme="minorEastAsia"/>
              </w:rPr>
            </w:pPr>
            <w:r w:rsidRPr="00DE4DBE">
              <w:rPr>
                <w:rFonts w:eastAsiaTheme="minorEastAsia"/>
              </w:rPr>
              <w:t>The lower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is due to efficiencies and savings achieved in corporate non service delivery areas.</w:t>
            </w:r>
          </w:p>
          <w:p w:rsidR="00E25CC6" w:rsidRPr="00DE4DBE" w:rsidRDefault="00E25CC6" w:rsidP="00BB54D2">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2015</w:t>
            </w:r>
            <w:r>
              <w:rPr>
                <w:rFonts w:eastAsiaTheme="minorEastAsia"/>
              </w:rPr>
              <w:noBreakHyphen/>
            </w:r>
            <w:r w:rsidRPr="00DE4DBE">
              <w:rPr>
                <w:rFonts w:eastAsiaTheme="minorEastAsia"/>
              </w:rPr>
              <w:t>16 target and 2015</w:t>
            </w:r>
            <w:r>
              <w:rPr>
                <w:rFonts w:eastAsiaTheme="minorEastAsia"/>
              </w:rPr>
              <w:noBreakHyphen/>
            </w:r>
            <w:r w:rsidRPr="00DE4DBE">
              <w:rPr>
                <w:rFonts w:eastAsiaTheme="minorEastAsia"/>
              </w:rPr>
              <w:t>16 expected outcome have been estimated based on a re</w:t>
            </w:r>
            <w:r>
              <w:rPr>
                <w:rFonts w:eastAsiaTheme="minorEastAsia"/>
              </w:rPr>
              <w:noBreakHyphen/>
            </w:r>
            <w:r w:rsidRPr="00DE4DBE">
              <w:rPr>
                <w:rFonts w:eastAsiaTheme="minorEastAsia"/>
              </w:rPr>
              <w:t>mapping of historical output costs.</w:t>
            </w:r>
          </w:p>
        </w:tc>
      </w:tr>
    </w:tbl>
    <w:p w:rsidR="00E25CC6" w:rsidRPr="00A57A8A" w:rsidRDefault="00E25CC6" w:rsidP="002A3CA3">
      <w:pPr>
        <w:pStyle w:val="Source"/>
        <w:rPr>
          <w:rFonts w:eastAsiaTheme="minorHAnsi"/>
        </w:rPr>
      </w:pPr>
      <w:r>
        <w:rPr>
          <w:rFonts w:eastAsiaTheme="minorHAnsi"/>
        </w:rPr>
        <w:t>Source: Department of Justice and Regulation</w:t>
      </w:r>
      <w:bookmarkEnd w:id="93"/>
      <w:r>
        <w:rPr>
          <w:rFonts w:eastAsiaTheme="minorHAnsi"/>
        </w:rPr>
        <w:t xml:space="preserve"> </w:t>
      </w:r>
      <w:r>
        <w:rPr>
          <w:rFonts w:eastAsiaTheme="minorHAnsi"/>
        </w:rPr>
        <w:fldChar w:fldCharType="begin"/>
      </w:r>
      <w:r>
        <w:instrText xml:space="preserve"> XE "</w:instrText>
      </w:r>
      <w:r w:rsidRPr="00BA6630">
        <w:instrText>Department of Justice and Regulation:Civil Justice Services</w:instrText>
      </w:r>
      <w:r>
        <w:instrText xml:space="preserve">" \r "DJR_CivilJustSvces" </w:instrText>
      </w:r>
      <w:r>
        <w:rPr>
          <w:rFonts w:eastAsiaTheme="minorHAnsi"/>
        </w:rPr>
        <w:fldChar w:fldCharType="end"/>
      </w:r>
      <w:r>
        <w:rPr>
          <w:rFonts w:eastAsiaTheme="minorHAnsi"/>
        </w:rPr>
        <w:t xml:space="preserve"> </w:t>
      </w:r>
      <w:r>
        <w:rPr>
          <w:rFonts w:eastAsiaTheme="minorHAnsi"/>
        </w:rPr>
        <w:fldChar w:fldCharType="begin"/>
      </w:r>
      <w:r>
        <w:instrText xml:space="preserve"> XE "Communities</w:instrText>
      </w:r>
      <w:r w:rsidRPr="00BA6630">
        <w:instrText>:Civil Justice Services</w:instrText>
      </w:r>
      <w:r>
        <w:instrText xml:space="preserve">" \r "DJR_CivilJustSvces" </w:instrText>
      </w:r>
      <w:r>
        <w:rPr>
          <w:rFonts w:eastAsiaTheme="minorHAnsi"/>
        </w:rPr>
        <w:fldChar w:fldCharType="end"/>
      </w:r>
    </w:p>
    <w:p w:rsidR="00E25CC6" w:rsidRPr="00A57A8A" w:rsidRDefault="00E25CC6" w:rsidP="008370E1">
      <w:pPr>
        <w:pStyle w:val="Source"/>
        <w:rPr>
          <w:rFonts w:eastAsiaTheme="minorHAnsi"/>
        </w:rPr>
      </w:pPr>
    </w:p>
    <w:p w:rsidR="00E25CC6" w:rsidRDefault="00E25CC6" w:rsidP="00A57A8A">
      <w:pPr>
        <w:pStyle w:val="OGText"/>
        <w:rPr>
          <w:rFonts w:eastAsiaTheme="minorHAnsi"/>
        </w:rPr>
      </w:pPr>
    </w:p>
    <w:p w:rsidR="00E25CC6" w:rsidRDefault="00E25CC6" w:rsidP="00A57A8A">
      <w:pPr>
        <w:pStyle w:val="OGText"/>
        <w:rPr>
          <w:rFonts w:eastAsiaTheme="minorHAnsi"/>
        </w:rPr>
      </w:pPr>
    </w:p>
    <w:p w:rsidR="00E25CC6" w:rsidRDefault="00E25CC6">
      <w:pPr>
        <w:spacing w:after="0"/>
        <w:rPr>
          <w:rFonts w:ascii="Calibri" w:eastAsiaTheme="minorHAnsi" w:hAnsi="Calibri"/>
          <w:b/>
          <w:sz w:val="32"/>
          <w:szCs w:val="28"/>
        </w:rPr>
      </w:pPr>
      <w:r>
        <w:rPr>
          <w:rFonts w:eastAsiaTheme="minorHAnsi"/>
        </w:rPr>
        <w:br w:type="page"/>
      </w:r>
    </w:p>
    <w:p w:rsidR="00E25CC6" w:rsidRPr="00A57A8A" w:rsidRDefault="00E25CC6" w:rsidP="00A57A8A">
      <w:pPr>
        <w:pStyle w:val="OGHeading1"/>
        <w:rPr>
          <w:rFonts w:eastAsiaTheme="minorHAnsi"/>
        </w:rPr>
      </w:pPr>
      <w:r w:rsidRPr="00A57A8A">
        <w:rPr>
          <w:rFonts w:eastAsiaTheme="minorHAnsi"/>
        </w:rPr>
        <w:t>Emergency Management</w:t>
      </w:r>
    </w:p>
    <w:p w:rsidR="00E25CC6" w:rsidRPr="00A57A8A" w:rsidRDefault="00E25CC6" w:rsidP="00A57A8A">
      <w:pPr>
        <w:pStyle w:val="OGText"/>
        <w:rPr>
          <w:rFonts w:eastAsiaTheme="minorHAnsi"/>
        </w:rPr>
      </w:pPr>
      <w:bookmarkStart w:id="94" w:name="DJR_EmgncyMgmnt"/>
      <w:r w:rsidRPr="00A57A8A">
        <w:rPr>
          <w:rFonts w:eastAsiaTheme="minorHAnsi"/>
        </w:rPr>
        <w:t>This output group supports the delivery of a coordinated, all communities</w:t>
      </w:r>
      <w:r>
        <w:rPr>
          <w:rFonts w:eastAsiaTheme="minorHAnsi"/>
        </w:rPr>
        <w:t xml:space="preserve"> – </w:t>
      </w:r>
      <w:r w:rsidRPr="00A57A8A">
        <w:rPr>
          <w:rFonts w:eastAsiaTheme="minorHAnsi"/>
        </w:rPr>
        <w:t>all emergencies approach to emergency management, focusing on risk mitigation and active partnership with the Victorian community.</w:t>
      </w:r>
    </w:p>
    <w:p w:rsidR="00E25CC6" w:rsidRDefault="00E25CC6" w:rsidP="00A57A8A">
      <w:pPr>
        <w:pStyle w:val="OGText"/>
        <w:rPr>
          <w:rFonts w:eastAsiaTheme="minorHAnsi"/>
        </w:rPr>
      </w:pPr>
      <w:r w:rsidRPr="00A57A8A">
        <w:rPr>
          <w:rFonts w:eastAsiaTheme="minorHAnsi"/>
        </w:rPr>
        <w:t>This output group contributes to the Department</w:t>
      </w:r>
      <w:r>
        <w:rPr>
          <w:rFonts w:eastAsiaTheme="minorHAnsi"/>
        </w:rPr>
        <w:t>’</w:t>
      </w:r>
      <w:r w:rsidRPr="00A57A8A">
        <w:rPr>
          <w:rFonts w:eastAsiaTheme="minorHAnsi"/>
        </w:rPr>
        <w:t xml:space="preserve">s objective of </w:t>
      </w:r>
      <w:r>
        <w:rPr>
          <w:rFonts w:eastAsiaTheme="minorHAnsi"/>
        </w:rPr>
        <w:t>‘</w:t>
      </w:r>
      <w:r w:rsidRPr="00A57A8A">
        <w:rPr>
          <w:rFonts w:eastAsiaTheme="minorHAnsi"/>
        </w:rPr>
        <w:t>Reduce the impact of, and consequences from, natural disasters and other emergencies on people, infrastructure, the economy and the environment</w:t>
      </w:r>
      <w:r>
        <w:rPr>
          <w:rFonts w:eastAsiaTheme="minorHAnsi"/>
        </w:rPr>
        <w:t>’</w:t>
      </w:r>
      <w:r w:rsidRPr="00A57A8A">
        <w:rPr>
          <w:rFonts w:eastAsiaTheme="minorHAnsi"/>
        </w:rPr>
        <w:t>.</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DE4DBE" w:rsidTr="00BB54D2">
        <w:trPr>
          <w:cantSplit/>
          <w:tblHeader/>
        </w:trPr>
        <w:tc>
          <w:tcPr>
            <w:tcW w:w="3146"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b/>
                <w:bCs/>
                <w:color w:val="FFFFFF"/>
                <w:sz w:val="19"/>
                <w:szCs w:val="22"/>
                <w:lang w:eastAsia="en-AU"/>
              </w:rPr>
              <w:t>Major outputs/deliverables</w:t>
            </w:r>
          </w:p>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center"/>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15 actual</w:t>
            </w:r>
          </w:p>
        </w:tc>
      </w:tr>
      <w:tr w:rsidR="00E25CC6" w:rsidRPr="00DE4DBE" w:rsidTr="00757724">
        <w:trPr>
          <w:cantSplit/>
        </w:trPr>
        <w:tc>
          <w:tcPr>
            <w:tcW w:w="7767" w:type="dxa"/>
            <w:gridSpan w:val="6"/>
            <w:tcBorders>
              <w:top w:val="single" w:sz="6" w:space="0" w:color="auto"/>
              <w:left w:val="nil"/>
              <w:bottom w:val="nil"/>
              <w:right w:val="nil"/>
            </w:tcBorders>
          </w:tcPr>
          <w:p w:rsidR="00E25CC6" w:rsidRPr="00DE4DBE" w:rsidRDefault="00E25CC6" w:rsidP="00757724">
            <w:pPr>
              <w:pStyle w:val="OGHeading2"/>
              <w:rPr>
                <w:rFonts w:eastAsiaTheme="minorEastAsia"/>
                <w:lang w:eastAsia="en-AU"/>
              </w:rPr>
            </w:pPr>
            <w:r w:rsidRPr="00DE4DBE">
              <w:rPr>
                <w:rFonts w:eastAsiaTheme="minorEastAsia"/>
                <w:lang w:eastAsia="en-AU"/>
              </w:rPr>
              <w:t>Emergency Management Capability</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Text"/>
              <w:rPr>
                <w:rFonts w:eastAsiaTheme="minorEastAsia"/>
                <w:lang w:eastAsia="en-AU"/>
              </w:rPr>
            </w:pPr>
            <w:r w:rsidRPr="00DE4DBE">
              <w:rPr>
                <w:rFonts w:eastAsiaTheme="minorEastAsia"/>
                <w:lang w:eastAsia="en-AU"/>
              </w:rPr>
              <w:t>This output provides for the management of emergencies by developing and adopting emergency prevention and mitigation strategies, providing fire suppression and road crash rescue services and supporting local government and communities in disaster mitigation and recovery.</w:t>
            </w:r>
            <w:r>
              <w:rPr>
                <w:rFonts w:eastAsiaTheme="minorEastAsia"/>
                <w:lang w:eastAsia="en-AU"/>
              </w:rPr>
              <w:t xml:space="preserve"> </w:t>
            </w:r>
          </w:p>
          <w:p w:rsidR="00E25CC6" w:rsidRPr="00DE4DBE" w:rsidRDefault="00E25CC6" w:rsidP="00757724">
            <w:pPr>
              <w:pStyle w:val="OGText"/>
              <w:rPr>
                <w:rFonts w:eastAsiaTheme="minorEastAsia"/>
                <w:lang w:eastAsia="en-AU"/>
              </w:rPr>
            </w:pPr>
            <w:r w:rsidRPr="00DE4DBE">
              <w:rPr>
                <w:rFonts w:eastAsiaTheme="minorEastAsia"/>
                <w:lang w:eastAsia="en-AU"/>
              </w:rPr>
              <w:t>Key components of this output reduce the level of risk to the community of emergencies occurring and the adverse effects of emergency events, such as death and injury rates.</w:t>
            </w:r>
          </w:p>
        </w:tc>
      </w:tr>
      <w:tr w:rsidR="00E25CC6" w:rsidRPr="00DE4DBE" w:rsidTr="008A0163">
        <w:trPr>
          <w:cantSplit/>
        </w:trPr>
        <w:tc>
          <w:tcPr>
            <w:tcW w:w="3146" w:type="dxa"/>
            <w:tcBorders>
              <w:top w:val="nil"/>
              <w:left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8A0163">
        <w:trPr>
          <w:cantSplit/>
        </w:trPr>
        <w:tc>
          <w:tcPr>
            <w:tcW w:w="3146" w:type="dxa"/>
            <w:tcBorders>
              <w:top w:val="nil"/>
              <w:left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Permanent operational staff</w:t>
            </w:r>
          </w:p>
        </w:tc>
        <w:tc>
          <w:tcPr>
            <w:tcW w:w="907" w:type="dxa"/>
            <w:tcBorders>
              <w:top w:val="nil"/>
              <w:left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3 203</w:t>
            </w:r>
          </w:p>
        </w:tc>
        <w:tc>
          <w:tcPr>
            <w:tcW w:w="992"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3 094</w:t>
            </w:r>
          </w:p>
        </w:tc>
        <w:tc>
          <w:tcPr>
            <w:tcW w:w="907"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2 991</w:t>
            </w:r>
          </w:p>
        </w:tc>
        <w:tc>
          <w:tcPr>
            <w:tcW w:w="908"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2 906</w:t>
            </w:r>
          </w:p>
        </w:tc>
      </w:tr>
      <w:tr w:rsidR="00E25CC6" w:rsidRPr="00DE4DBE" w:rsidTr="008A0163">
        <w:trPr>
          <w:cantSplit/>
        </w:trPr>
        <w:tc>
          <w:tcPr>
            <w:tcW w:w="7767" w:type="dxa"/>
            <w:gridSpan w:val="6"/>
            <w:tcBorders>
              <w:left w:val="nil"/>
              <w:bottom w:val="single" w:sz="4" w:space="0" w:color="auto"/>
              <w:right w:val="nil"/>
            </w:tcBorders>
          </w:tcPr>
          <w:p w:rsidR="00E25CC6" w:rsidRPr="008A0163" w:rsidRDefault="00E25CC6" w:rsidP="008A0163">
            <w:pPr>
              <w:pStyle w:val="OGNotes"/>
              <w:rPr>
                <w:rFonts w:eastAsiaTheme="minorEastAsia"/>
              </w:rPr>
            </w:pPr>
            <w:r>
              <w:rPr>
                <w:rFonts w:eastAsiaTheme="minorEastAsia"/>
              </w:rPr>
              <w:t>The higher 2016-17 target reflects increased funding for additional firefighters.</w:t>
            </w:r>
          </w:p>
        </w:tc>
      </w:tr>
      <w:tr w:rsidR="00E25CC6" w:rsidRPr="00DE4DBE" w:rsidTr="00DD63BE">
        <w:trPr>
          <w:cantSplit/>
        </w:trPr>
        <w:tc>
          <w:tcPr>
            <w:tcW w:w="3146" w:type="dxa"/>
            <w:tcBorders>
              <w:top w:val="single" w:sz="4" w:space="0" w:color="auto"/>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Permanent support staff</w:t>
            </w:r>
          </w:p>
        </w:tc>
        <w:tc>
          <w:tcPr>
            <w:tcW w:w="907" w:type="dxa"/>
            <w:tcBorders>
              <w:top w:val="single" w:sz="4" w:space="0" w:color="auto"/>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4" w:space="0" w:color="auto"/>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1 359</w:t>
            </w:r>
          </w:p>
        </w:tc>
        <w:tc>
          <w:tcPr>
            <w:tcW w:w="992" w:type="dxa"/>
            <w:tcBorders>
              <w:top w:val="single" w:sz="4" w:space="0" w:color="auto"/>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1 354</w:t>
            </w:r>
          </w:p>
        </w:tc>
        <w:tc>
          <w:tcPr>
            <w:tcW w:w="907" w:type="dxa"/>
            <w:tcBorders>
              <w:top w:val="single" w:sz="4" w:space="0" w:color="auto"/>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1 385</w:t>
            </w:r>
          </w:p>
        </w:tc>
        <w:tc>
          <w:tcPr>
            <w:tcW w:w="908" w:type="dxa"/>
            <w:tcBorders>
              <w:top w:val="single" w:sz="4" w:space="0" w:color="auto"/>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1 401</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of 1 401 has been adjusted from that published in the D</w:t>
            </w:r>
            <w:r>
              <w:rPr>
                <w:rFonts w:eastAsiaTheme="minorEastAsia"/>
              </w:rPr>
              <w:t xml:space="preserve">epartment of </w:t>
            </w:r>
            <w:r w:rsidRPr="00DE4DBE">
              <w:rPr>
                <w:rFonts w:eastAsiaTheme="minorEastAsia"/>
              </w:rPr>
              <w:t>J</w:t>
            </w:r>
            <w:r>
              <w:rPr>
                <w:rFonts w:eastAsiaTheme="minorEastAsia"/>
              </w:rPr>
              <w:t xml:space="preserve">ustice and </w:t>
            </w:r>
            <w:r w:rsidRPr="00DE4DBE">
              <w:rPr>
                <w:rFonts w:eastAsiaTheme="minorEastAsia"/>
              </w:rPr>
              <w:t>R</w:t>
            </w:r>
            <w:r>
              <w:rPr>
                <w:rFonts w:eastAsiaTheme="minorEastAsia"/>
              </w:rPr>
              <w:t>egulation’s</w:t>
            </w:r>
            <w:r w:rsidRPr="00DE4DBE">
              <w:rPr>
                <w:rFonts w:eastAsiaTheme="minorEastAsia"/>
              </w:rPr>
              <w:t xml:space="preserve"> Annual Report of 1 356</w:t>
            </w:r>
            <w:r>
              <w:rPr>
                <w:rFonts w:eastAsiaTheme="minorEastAsia"/>
              </w:rPr>
              <w:t xml:space="preserve"> </w:t>
            </w:r>
            <w:r w:rsidRPr="00DE4DBE">
              <w:rPr>
                <w:rFonts w:eastAsiaTheme="minorEastAsia"/>
              </w:rPr>
              <w:t>due to an error identified after publication.</w:t>
            </w:r>
          </w:p>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several factors including reclassification of staff from support to operational and changes in corporate service delivery staff numbers. </w:t>
            </w:r>
          </w:p>
          <w:p w:rsidR="00E25CC6" w:rsidRPr="00DE4DBE" w:rsidRDefault="00E25CC6" w:rsidP="00757724">
            <w:pPr>
              <w:pStyle w:val="OGNotes"/>
              <w:rPr>
                <w:rFonts w:eastAsiaTheme="minorEastAsia"/>
              </w:rPr>
            </w:pPr>
            <w:r w:rsidRPr="00DE4DBE">
              <w:rPr>
                <w:rFonts w:eastAsiaTheme="minorEastAsia"/>
              </w:rPr>
              <w:t>The lower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this, however the decrease is slightly offset by additional funding provided for program delivery.</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Volunteers</w:t>
            </w:r>
            <w:r>
              <w:rPr>
                <w:rFonts w:eastAsiaTheme="minorEastAsia"/>
                <w:lang w:eastAsia="en-AU"/>
              </w:rPr>
              <w:t xml:space="preserve"> – </w:t>
            </w:r>
            <w:r w:rsidRPr="00DE4DBE">
              <w:rPr>
                <w:rFonts w:eastAsiaTheme="minorEastAsia"/>
                <w:lang w:eastAsia="en-AU"/>
              </w:rPr>
              <w:t>Operational</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F977E2">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43</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44</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38 683</w:t>
            </w:r>
          </w:p>
        </w:tc>
        <w:tc>
          <w:tcPr>
            <w:tcW w:w="907" w:type="dxa"/>
            <w:tcBorders>
              <w:top w:val="nil"/>
              <w:left w:val="nil"/>
              <w:bottom w:val="nil"/>
              <w:right w:val="nil"/>
            </w:tcBorders>
          </w:tcPr>
          <w:p w:rsidR="00E25CC6" w:rsidRPr="00DE4DBE" w:rsidRDefault="00E25CC6" w:rsidP="00B6768A">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43</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44</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38 799</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A76952">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continuing improvements in data quality for volunteers.</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Volunteers</w:t>
            </w:r>
            <w:r>
              <w:rPr>
                <w:rFonts w:eastAsiaTheme="minorEastAsia"/>
                <w:lang w:eastAsia="en-AU"/>
              </w:rPr>
              <w:t xml:space="preserve"> – </w:t>
            </w:r>
            <w:r w:rsidRPr="00DE4DBE">
              <w:rPr>
                <w:rFonts w:eastAsiaTheme="minorEastAsia"/>
                <w:lang w:eastAsia="en-AU"/>
              </w:rPr>
              <w:t>Support</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B6768A">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18</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19</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18 551</w:t>
            </w:r>
          </w:p>
        </w:tc>
        <w:tc>
          <w:tcPr>
            <w:tcW w:w="907" w:type="dxa"/>
            <w:tcBorders>
              <w:top w:val="nil"/>
              <w:left w:val="nil"/>
              <w:bottom w:val="nil"/>
              <w:right w:val="nil"/>
            </w:tcBorders>
          </w:tcPr>
          <w:p w:rsidR="00E25CC6" w:rsidRPr="00DE4DBE" w:rsidRDefault="00E25CC6" w:rsidP="00B6768A">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18</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r>
              <w:rPr>
                <w:rFonts w:ascii="Calibri" w:eastAsiaTheme="minorEastAsia" w:hAnsi="Calibri" w:cs="Calibri"/>
                <w:color w:val="000000"/>
                <w:sz w:val="19"/>
                <w:szCs w:val="22"/>
                <w:lang w:eastAsia="en-AU"/>
              </w:rPr>
              <w:t>–</w:t>
            </w:r>
            <w:r>
              <w:rPr>
                <w:rFonts w:ascii="Calibri" w:eastAsiaTheme="minorEastAsia" w:hAnsi="Calibri" w:cs="Calibri"/>
                <w:color w:val="000000"/>
                <w:sz w:val="19"/>
                <w:szCs w:val="22"/>
                <w:lang w:eastAsia="en-AU"/>
              </w:rPr>
              <w:br/>
            </w:r>
            <w:r w:rsidRPr="00DE4DBE">
              <w:rPr>
                <w:rFonts w:ascii="Calibri" w:eastAsiaTheme="minorEastAsia" w:hAnsi="Calibri" w:cs="Calibri"/>
                <w:color w:val="000000"/>
                <w:sz w:val="19"/>
                <w:szCs w:val="22"/>
                <w:lang w:eastAsia="en-AU"/>
              </w:rPr>
              <w:t>19</w:t>
            </w:r>
            <w:r>
              <w:rPr>
                <w:rFonts w:ascii="Calibri" w:eastAsiaTheme="minorEastAsia" w:hAnsi="Calibri" w:cs="Calibri"/>
                <w:color w:val="000000"/>
                <w:sz w:val="19"/>
                <w:szCs w:val="22"/>
                <w:lang w:eastAsia="en-AU"/>
              </w:rPr>
              <w:t xml:space="preserve"> </w:t>
            </w:r>
            <w:r w:rsidRPr="00DE4DBE">
              <w:rPr>
                <w:rFonts w:ascii="Calibri" w:eastAsiaTheme="minorEastAsia" w:hAnsi="Calibri" w:cs="Calibri"/>
                <w:color w:val="000000"/>
                <w:sz w:val="19"/>
                <w:szCs w:val="22"/>
                <w:lang w:eastAsia="en-AU"/>
              </w:rPr>
              <w:t>000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22 570</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2014</w:t>
            </w:r>
            <w:r>
              <w:rPr>
                <w:rFonts w:eastAsiaTheme="minorEastAsia"/>
              </w:rPr>
              <w:noBreakHyphen/>
            </w:r>
            <w:r w:rsidRPr="00DE4DBE">
              <w:rPr>
                <w:rFonts w:eastAsiaTheme="minorEastAsia"/>
              </w:rPr>
              <w:t>15 actual of 22 570 has been adjusted from that published in the D</w:t>
            </w:r>
            <w:r>
              <w:rPr>
                <w:rFonts w:eastAsiaTheme="minorEastAsia"/>
              </w:rPr>
              <w:t xml:space="preserve">epartment of </w:t>
            </w:r>
            <w:r w:rsidRPr="00DE4DBE">
              <w:rPr>
                <w:rFonts w:eastAsiaTheme="minorEastAsia"/>
              </w:rPr>
              <w:t>J</w:t>
            </w:r>
            <w:r>
              <w:rPr>
                <w:rFonts w:eastAsiaTheme="minorEastAsia"/>
              </w:rPr>
              <w:t xml:space="preserve">ustice and </w:t>
            </w:r>
            <w:r w:rsidRPr="00DE4DBE">
              <w:rPr>
                <w:rFonts w:eastAsiaTheme="minorEastAsia"/>
              </w:rPr>
              <w:t>R</w:t>
            </w:r>
            <w:r>
              <w:rPr>
                <w:rFonts w:eastAsiaTheme="minorEastAsia"/>
              </w:rPr>
              <w:t>egulation’s</w:t>
            </w:r>
            <w:r w:rsidRPr="00DE4DBE">
              <w:rPr>
                <w:rFonts w:eastAsiaTheme="minorEastAsia"/>
              </w:rPr>
              <w:t xml:space="preserve"> Annual Report of 25 376 due to an error identified after publication.</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Level 3 Incident Controller trained staff and volunteers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129</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154</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129</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152</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the incident management team training program project successfully qualifying more than the minimum number of people required.</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Road crash rescue accredited brigades/units</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130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130</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130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130</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F977E2">
            <w:pPr>
              <w:pStyle w:val="OGTabText"/>
              <w:rPr>
                <w:rFonts w:eastAsiaTheme="minorEastAsia"/>
                <w:lang w:eastAsia="en-AU"/>
              </w:rPr>
            </w:pPr>
            <w:r w:rsidRPr="00DE4DBE">
              <w:rPr>
                <w:rFonts w:eastAsiaTheme="minorEastAsia"/>
                <w:lang w:eastAsia="en-AU"/>
              </w:rPr>
              <w:t>Structural fire confined to room of</w:t>
            </w:r>
            <w:r>
              <w:rPr>
                <w:rFonts w:eastAsiaTheme="minorEastAsia"/>
                <w:lang w:eastAsia="en-AU"/>
              </w:rPr>
              <w:t> </w:t>
            </w:r>
            <w:r w:rsidRPr="00DE4DBE">
              <w:rPr>
                <w:rFonts w:eastAsiaTheme="minorEastAsia"/>
                <w:lang w:eastAsia="en-AU"/>
              </w:rPr>
              <w:t>origin</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79</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84.3</w:t>
            </w:r>
          </w:p>
        </w:tc>
      </w:tr>
      <w:tr w:rsidR="00E25CC6" w:rsidRPr="00DE4DBE" w:rsidTr="00757724">
        <w:trPr>
          <w:cantSplit/>
        </w:trPr>
        <w:tc>
          <w:tcPr>
            <w:tcW w:w="3146" w:type="dxa"/>
            <w:tcBorders>
              <w:top w:val="nil"/>
              <w:left w:val="nil"/>
              <w:bottom w:val="nil"/>
              <w:right w:val="nil"/>
            </w:tcBorders>
          </w:tcPr>
          <w:p w:rsidR="00E25CC6" w:rsidRPr="00DE4DBE" w:rsidRDefault="00E25CC6" w:rsidP="0060100A">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60100A">
            <w:pPr>
              <w:keepNext/>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60100A">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60100A">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60100A">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60100A">
            <w:pPr>
              <w:keepNext/>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Emergency response times meeting benchmarks</w:t>
            </w:r>
            <w:r>
              <w:rPr>
                <w:rFonts w:eastAsiaTheme="minorEastAsia"/>
                <w:lang w:eastAsia="en-AU"/>
              </w:rPr>
              <w:t xml:space="preserve"> – </w:t>
            </w:r>
            <w:r w:rsidRPr="00DE4DBE">
              <w:rPr>
                <w:rFonts w:eastAsiaTheme="minorEastAsia"/>
                <w:lang w:eastAsia="en-AU"/>
              </w:rPr>
              <w:t>emergency medical response</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94.2</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operational performance exceeding the baseline target.</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Emergency response times meeting benchmarks</w:t>
            </w:r>
            <w:r>
              <w:rPr>
                <w:rFonts w:eastAsiaTheme="minorEastAsia"/>
                <w:lang w:eastAsia="en-AU"/>
              </w:rPr>
              <w:t xml:space="preserve"> – </w:t>
            </w:r>
            <w:r w:rsidRPr="00DE4DBE">
              <w:rPr>
                <w:rFonts w:eastAsiaTheme="minorEastAsia"/>
                <w:lang w:eastAsia="en-AU"/>
              </w:rPr>
              <w:t>road accident rescue response</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87.3</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92.9</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Emergency response times meeting benchmarks</w:t>
            </w:r>
            <w:r>
              <w:rPr>
                <w:rFonts w:eastAsiaTheme="minorEastAsia"/>
                <w:lang w:eastAsia="en-AU"/>
              </w:rPr>
              <w:t xml:space="preserve"> – </w:t>
            </w:r>
            <w:r w:rsidRPr="00DE4DBE">
              <w:rPr>
                <w:rFonts w:eastAsiaTheme="minorEastAsia"/>
                <w:lang w:eastAsia="en-AU"/>
              </w:rPr>
              <w:t>structural fires</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89</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87.7</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FE3923">
        <w:trPr>
          <w:cantSplit/>
        </w:trPr>
        <w:tc>
          <w:tcPr>
            <w:tcW w:w="3146" w:type="dxa"/>
            <w:tcBorders>
              <w:top w:val="nil"/>
              <w:left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1 095.0</w:t>
            </w:r>
          </w:p>
        </w:tc>
        <w:tc>
          <w:tcPr>
            <w:tcW w:w="992"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1 059.3</w:t>
            </w:r>
          </w:p>
        </w:tc>
        <w:tc>
          <w:tcPr>
            <w:tcW w:w="907"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955.4</w:t>
            </w:r>
          </w:p>
        </w:tc>
        <w:tc>
          <w:tcPr>
            <w:tcW w:w="908" w:type="dxa"/>
            <w:tcBorders>
              <w:top w:val="nil"/>
              <w:left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952.2</w:t>
            </w:r>
          </w:p>
        </w:tc>
      </w:tr>
      <w:tr w:rsidR="00E25CC6" w:rsidRPr="00DE4DBE" w:rsidTr="00FE3923">
        <w:trPr>
          <w:cantSplit/>
        </w:trPr>
        <w:tc>
          <w:tcPr>
            <w:tcW w:w="7767" w:type="dxa"/>
            <w:gridSpan w:val="6"/>
            <w:tcBorders>
              <w:top w:val="nil"/>
              <w:left w:val="nil"/>
              <w:bottom w:val="single" w:sz="12" w:space="0" w:color="auto"/>
              <w:right w:val="nil"/>
            </w:tcBorders>
          </w:tcPr>
          <w:p w:rsidR="00E25CC6" w:rsidRPr="00385BF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mainly due to the transfer of appropriation from </w:t>
            </w:r>
            <w:r w:rsidRPr="00410A55">
              <w:rPr>
                <w:rFonts w:eastAsiaTheme="minorEastAsia"/>
              </w:rPr>
              <w:t xml:space="preserve">capital to output for </w:t>
            </w:r>
            <w:r>
              <w:rPr>
                <w:rFonts w:eastAsiaTheme="minorEastAsia"/>
              </w:rPr>
              <w:t xml:space="preserve">the </w:t>
            </w:r>
            <w:r w:rsidRPr="00410A55">
              <w:rPr>
                <w:rFonts w:eastAsiaTheme="minorEastAsia"/>
              </w:rPr>
              <w:t>C</w:t>
            </w:r>
            <w:r>
              <w:rPr>
                <w:rFonts w:eastAsiaTheme="minorEastAsia"/>
              </w:rPr>
              <w:t xml:space="preserve">ountry </w:t>
            </w:r>
            <w:r w:rsidRPr="00410A55">
              <w:rPr>
                <w:rFonts w:eastAsiaTheme="minorEastAsia"/>
              </w:rPr>
              <w:t>F</w:t>
            </w:r>
            <w:r>
              <w:rPr>
                <w:rFonts w:eastAsiaTheme="minorEastAsia"/>
              </w:rPr>
              <w:t xml:space="preserve">ire </w:t>
            </w:r>
            <w:r w:rsidRPr="00410A55">
              <w:rPr>
                <w:rFonts w:eastAsiaTheme="minorEastAsia"/>
              </w:rPr>
              <w:t>A</w:t>
            </w:r>
            <w:r>
              <w:rPr>
                <w:rFonts w:eastAsiaTheme="minorEastAsia"/>
              </w:rPr>
              <w:t>uthority’s</w:t>
            </w:r>
            <w:r w:rsidRPr="00410A55">
              <w:rPr>
                <w:rFonts w:eastAsiaTheme="minorEastAsia"/>
              </w:rPr>
              <w:t xml:space="preserve"> depreciation costs and additional funding for Emergency Services Telecommunication </w:t>
            </w:r>
            <w:r w:rsidRPr="00385BFE">
              <w:rPr>
                <w:rFonts w:eastAsiaTheme="minorEastAsia"/>
              </w:rPr>
              <w:t xml:space="preserve">Authority (ESTA) </w:t>
            </w:r>
            <w:r>
              <w:rPr>
                <w:rFonts w:eastAsiaTheme="minorEastAsia"/>
              </w:rPr>
              <w:t>– growth funding</w:t>
            </w:r>
            <w:r w:rsidRPr="00385BFE">
              <w:rPr>
                <w:rFonts w:eastAsiaTheme="minorEastAsia"/>
              </w:rPr>
              <w:t>.</w:t>
            </w:r>
          </w:p>
          <w:p w:rsidR="00E25CC6" w:rsidRPr="00C018BE" w:rsidRDefault="00E25CC6" w:rsidP="002C5C9E">
            <w:pPr>
              <w:pStyle w:val="OGNotes"/>
              <w:rPr>
                <w:rFonts w:eastAsiaTheme="minorEastAsia"/>
              </w:rPr>
            </w:pPr>
            <w:r w:rsidRPr="00DD63BE">
              <w:rPr>
                <w:rFonts w:eastAsiaTheme="minorHAnsi"/>
              </w:rPr>
              <w:t>The higher 2016</w:t>
            </w:r>
            <w:r w:rsidRPr="00DD63BE">
              <w:rPr>
                <w:rFonts w:eastAsiaTheme="minorHAnsi"/>
              </w:rPr>
              <w:noBreakHyphen/>
              <w:t xml:space="preserve">17 target reflects new funding announced in the </w:t>
            </w:r>
            <w:r w:rsidRPr="00DD63BE">
              <w:rPr>
                <w:rFonts w:eastAsiaTheme="minorHAnsi"/>
                <w:i w:val="0"/>
              </w:rPr>
              <w:t>2016</w:t>
            </w:r>
            <w:r w:rsidRPr="00DD63BE">
              <w:rPr>
                <w:rFonts w:eastAsiaTheme="minorHAnsi"/>
                <w:i w:val="0"/>
              </w:rPr>
              <w:noBreakHyphen/>
              <w:t xml:space="preserve">17 Budget </w:t>
            </w:r>
            <w:r w:rsidRPr="00DD63BE">
              <w:rPr>
                <w:rFonts w:eastAsiaTheme="minorHAnsi"/>
              </w:rPr>
              <w:t>including Emergency Services Telecommunications Authority (ESTA) – growth funding</w:t>
            </w:r>
            <w:r>
              <w:rPr>
                <w:rFonts w:eastAsiaTheme="minorHAnsi"/>
              </w:rPr>
              <w:t>,</w:t>
            </w:r>
            <w:r w:rsidRPr="00DD63BE">
              <w:rPr>
                <w:rFonts w:eastAsiaTheme="minorHAnsi"/>
              </w:rPr>
              <w:t xml:space="preserve"> Fiskville and Regional Victorian</w:t>
            </w:r>
            <w:r w:rsidRPr="00410A55">
              <w:rPr>
                <w:rFonts w:eastAsiaTheme="minorHAnsi"/>
              </w:rPr>
              <w:t xml:space="preserve"> Emergency Management Training Centres Remediation</w:t>
            </w:r>
            <w:r>
              <w:rPr>
                <w:rFonts w:eastAsiaTheme="minorHAnsi"/>
              </w:rPr>
              <w:t xml:space="preserve"> and incremental funding for additional firefighters.</w:t>
            </w:r>
          </w:p>
        </w:tc>
      </w:tr>
    </w:tbl>
    <w:p w:rsidR="00E25CC6" w:rsidRPr="00A57A8A" w:rsidRDefault="00E25CC6" w:rsidP="008370E1">
      <w:pPr>
        <w:pStyle w:val="Source"/>
        <w:rPr>
          <w:rFonts w:eastAsiaTheme="minorHAnsi"/>
        </w:rPr>
      </w:pPr>
      <w:r>
        <w:rPr>
          <w:rFonts w:eastAsiaTheme="minorHAnsi"/>
        </w:rPr>
        <w:t>Source: Department of Justice and Regulation</w:t>
      </w:r>
      <w:bookmarkEnd w:id="94"/>
      <w:r>
        <w:rPr>
          <w:rFonts w:eastAsiaTheme="minorHAnsi"/>
        </w:rPr>
        <w:t xml:space="preserve"> </w:t>
      </w:r>
      <w:r>
        <w:rPr>
          <w:rFonts w:eastAsiaTheme="minorHAnsi"/>
        </w:rPr>
        <w:fldChar w:fldCharType="begin"/>
      </w:r>
      <w:r>
        <w:instrText xml:space="preserve"> XE "</w:instrText>
      </w:r>
      <w:r w:rsidRPr="00F334FC">
        <w:instrText>Department of Justice and Regulation:Emergency Management</w:instrText>
      </w:r>
      <w:r>
        <w:instrText xml:space="preserve">" \r "DJR_EmgncyMgmnt" </w:instrText>
      </w:r>
      <w:r>
        <w:rPr>
          <w:rFonts w:eastAsiaTheme="minorHAnsi"/>
        </w:rPr>
        <w:fldChar w:fldCharType="end"/>
      </w:r>
    </w:p>
    <w:p w:rsidR="00E25CC6" w:rsidRDefault="00E25CC6" w:rsidP="00A57A8A">
      <w:pPr>
        <w:pStyle w:val="OGText"/>
        <w:rPr>
          <w:rFonts w:eastAsiaTheme="minorHAnsi"/>
        </w:rPr>
      </w:pPr>
    </w:p>
    <w:p w:rsidR="00E25CC6" w:rsidRDefault="00E25CC6">
      <w:pPr>
        <w:spacing w:after="0"/>
        <w:rPr>
          <w:rFonts w:ascii="Calibri" w:eastAsiaTheme="minorHAnsi" w:hAnsi="Calibri"/>
          <w:b/>
          <w:sz w:val="32"/>
          <w:szCs w:val="28"/>
        </w:rPr>
      </w:pPr>
      <w:r>
        <w:rPr>
          <w:rFonts w:eastAsiaTheme="minorHAnsi"/>
        </w:rPr>
        <w:br w:type="page"/>
      </w:r>
    </w:p>
    <w:p w:rsidR="00E25CC6" w:rsidRPr="00A57A8A" w:rsidRDefault="00E25CC6" w:rsidP="00A57A8A">
      <w:pPr>
        <w:pStyle w:val="OGHeading1"/>
        <w:rPr>
          <w:rFonts w:eastAsiaTheme="minorHAnsi"/>
        </w:rPr>
      </w:pPr>
      <w:r w:rsidRPr="00A57A8A">
        <w:rPr>
          <w:rFonts w:eastAsiaTheme="minorHAnsi"/>
        </w:rPr>
        <w:t>Industry Regulation and Support</w:t>
      </w:r>
    </w:p>
    <w:p w:rsidR="00E25CC6" w:rsidRPr="00A57A8A" w:rsidRDefault="00E25CC6" w:rsidP="00A57A8A">
      <w:pPr>
        <w:pStyle w:val="OGText"/>
        <w:rPr>
          <w:rFonts w:eastAsiaTheme="minorHAnsi"/>
        </w:rPr>
      </w:pPr>
      <w:bookmarkStart w:id="95" w:name="DJR_IndustRegulat"/>
      <w:r w:rsidRPr="00A57A8A">
        <w:rPr>
          <w:rFonts w:eastAsiaTheme="minorHAnsi"/>
        </w:rPr>
        <w:t>This output group delivers activities relating to regulating the gambling and liquor industries, harm minimisation, and support and development of the racing industry. This output group also promotes the empowerment of consumers and businesses to know their rights and responsibilities to promote a well</w:t>
      </w:r>
      <w:r>
        <w:rPr>
          <w:rFonts w:eastAsiaTheme="minorHAnsi"/>
        </w:rPr>
        <w:noBreakHyphen/>
      </w:r>
      <w:r w:rsidRPr="00A57A8A">
        <w:rPr>
          <w:rFonts w:eastAsiaTheme="minorHAnsi"/>
        </w:rPr>
        <w:t>functioning market economy through regulation and support to consumers and businesses. There is a specific focus on the needs of vulnerable and disadvantaged consumers.</w:t>
      </w:r>
    </w:p>
    <w:p w:rsidR="00E25CC6" w:rsidRDefault="00E25CC6" w:rsidP="00A57A8A">
      <w:pPr>
        <w:pStyle w:val="OGText"/>
        <w:rPr>
          <w:rFonts w:eastAsiaTheme="minorHAnsi"/>
        </w:rPr>
      </w:pPr>
      <w:r w:rsidRPr="00A57A8A">
        <w:rPr>
          <w:rFonts w:eastAsiaTheme="minorHAnsi"/>
        </w:rPr>
        <w:t xml:space="preserve">This output group contributes to the </w:t>
      </w:r>
      <w:r w:rsidRPr="00385BFE">
        <w:rPr>
          <w:rFonts w:eastAsiaTheme="minorHAnsi"/>
        </w:rPr>
        <w:t>Department</w:t>
      </w:r>
      <w:r>
        <w:rPr>
          <w:rFonts w:eastAsiaTheme="minorHAnsi"/>
        </w:rPr>
        <w:t>’</w:t>
      </w:r>
      <w:r w:rsidRPr="00385BFE">
        <w:rPr>
          <w:rFonts w:eastAsiaTheme="minorHAnsi"/>
        </w:rPr>
        <w:t xml:space="preserve">s objective of </w:t>
      </w:r>
      <w:r>
        <w:rPr>
          <w:rFonts w:eastAsiaTheme="minorHAnsi"/>
        </w:rPr>
        <w:t>‘</w:t>
      </w:r>
      <w:r w:rsidRPr="00385BFE">
        <w:rPr>
          <w:rFonts w:eastAsiaTheme="minorHAnsi"/>
        </w:rPr>
        <w:t xml:space="preserve">A fair market </w:t>
      </w:r>
      <w:r w:rsidRPr="00A57A8A">
        <w:rPr>
          <w:rFonts w:eastAsiaTheme="minorHAnsi"/>
        </w:rPr>
        <w:t>place for Victorian consumers and businesses with responsible and sustainable liquor, gambling and racing sectors.</w:t>
      </w:r>
      <w:r>
        <w:rPr>
          <w:rFonts w:eastAsiaTheme="minorHAnsi"/>
        </w:rPr>
        <w:t>’</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DE4DBE" w:rsidTr="00BB54D2">
        <w:trPr>
          <w:cantSplit/>
          <w:tblHeader/>
        </w:trPr>
        <w:tc>
          <w:tcPr>
            <w:tcW w:w="3146"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b/>
                <w:bCs/>
                <w:color w:val="FFFFFF"/>
                <w:sz w:val="19"/>
                <w:szCs w:val="22"/>
                <w:lang w:eastAsia="en-AU"/>
              </w:rPr>
              <w:t>Major outputs/deliverables</w:t>
            </w:r>
          </w:p>
          <w:p w:rsidR="00E25CC6" w:rsidRPr="00DE4DBE" w:rsidRDefault="00E25CC6" w:rsidP="00BB54D2">
            <w:pPr>
              <w:autoSpaceDE w:val="0"/>
              <w:autoSpaceDN w:val="0"/>
              <w:adjustRightInd w:val="0"/>
              <w:spacing w:after="0"/>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center"/>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DE4DBE" w:rsidRDefault="00E25CC6" w:rsidP="00BB54D2">
            <w:pPr>
              <w:autoSpaceDE w:val="0"/>
              <w:autoSpaceDN w:val="0"/>
              <w:adjustRightInd w:val="0"/>
              <w:spacing w:after="0"/>
              <w:jc w:val="right"/>
              <w:rPr>
                <w:rFonts w:ascii="Calibri" w:eastAsiaTheme="minorEastAsia" w:hAnsi="Calibri" w:cs="Calibri"/>
                <w:i/>
                <w:iCs/>
                <w:color w:val="FFFFFF"/>
                <w:sz w:val="19"/>
                <w:szCs w:val="22"/>
                <w:lang w:eastAsia="en-AU"/>
              </w:rPr>
            </w:pPr>
            <w:r w:rsidRPr="00DE4DBE">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DE4DBE">
              <w:rPr>
                <w:rFonts w:ascii="Calibri" w:eastAsiaTheme="minorEastAsia" w:hAnsi="Calibri" w:cs="Calibri"/>
                <w:i/>
                <w:iCs/>
                <w:color w:val="FFFFFF"/>
                <w:sz w:val="19"/>
                <w:szCs w:val="22"/>
                <w:lang w:eastAsia="en-AU"/>
              </w:rPr>
              <w:t>15 actual</w:t>
            </w:r>
          </w:p>
        </w:tc>
      </w:tr>
      <w:tr w:rsidR="00E25CC6" w:rsidRPr="00DE4DBE" w:rsidTr="00757724">
        <w:trPr>
          <w:cantSplit/>
        </w:trPr>
        <w:tc>
          <w:tcPr>
            <w:tcW w:w="7767" w:type="dxa"/>
            <w:gridSpan w:val="6"/>
            <w:tcBorders>
              <w:top w:val="single" w:sz="6" w:space="0" w:color="auto"/>
              <w:left w:val="nil"/>
              <w:bottom w:val="nil"/>
              <w:right w:val="nil"/>
            </w:tcBorders>
          </w:tcPr>
          <w:p w:rsidR="00E25CC6" w:rsidRPr="00DE4DBE" w:rsidRDefault="00E25CC6" w:rsidP="00757724">
            <w:pPr>
              <w:pStyle w:val="OGHeading2"/>
              <w:rPr>
                <w:rFonts w:eastAsiaTheme="minorEastAsia"/>
                <w:lang w:eastAsia="en-AU"/>
              </w:rPr>
            </w:pPr>
            <w:r w:rsidRPr="00DE4DBE">
              <w:rPr>
                <w:rFonts w:eastAsiaTheme="minorEastAsia"/>
                <w:lang w:eastAsia="en-AU"/>
              </w:rPr>
              <w:t>Gambling, Liquor and Racing</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Text"/>
              <w:rPr>
                <w:rFonts w:eastAsiaTheme="minorEastAsia"/>
                <w:lang w:eastAsia="en-AU"/>
              </w:rPr>
            </w:pPr>
            <w:r w:rsidRPr="00DE4DBE">
              <w:rPr>
                <w:rFonts w:eastAsiaTheme="minorEastAsia"/>
                <w:lang w:eastAsia="en-AU"/>
              </w:rPr>
              <w:t>This output provides for monitoring and regulation of gambling and liquor activities in Victoria, including the operations of the Victorian Commission for Gambling and Liquor Regulation (VCGLR) and the Victorian Responsible Gambling Foundation (VRGF). It also provides leadership and strategic policy advice to the Minister for Liquor and Gaming Regulation and the Minister for Racing on the regulation of the gambling, liquor and racing industries, problem gambling and harm minimisation in relation to liquor and gambling, as well as development support for the racing industry.</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Liquor and gambling approvals, licence, permit applications and variations determined by the VCGLR</w:t>
            </w:r>
          </w:p>
        </w:tc>
        <w:tc>
          <w:tcPr>
            <w:tcW w:w="907"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46 000</w:t>
            </w:r>
          </w:p>
        </w:tc>
        <w:tc>
          <w:tcPr>
            <w:tcW w:w="992"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46 020</w:t>
            </w:r>
          </w:p>
        </w:tc>
        <w:tc>
          <w:tcPr>
            <w:tcW w:w="907"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46 000</w:t>
            </w:r>
          </w:p>
        </w:tc>
        <w:tc>
          <w:tcPr>
            <w:tcW w:w="908"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46 020</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Liquor and gambling information and advice (VCGLR)</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128 000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133 104</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128 000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133 104</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Liquor and gambling inspections completed by the VCGLR</w:t>
            </w:r>
            <w:r>
              <w:rPr>
                <w:rFonts w:eastAsiaTheme="minorEastAsia"/>
                <w:lang w:eastAsia="en-AU"/>
              </w:rPr>
              <w:t xml:space="preserve"> – </w:t>
            </w:r>
            <w:r w:rsidRPr="00DE4DBE">
              <w:rPr>
                <w:rFonts w:eastAsiaTheme="minorEastAsia"/>
                <w:lang w:eastAsia="en-AU"/>
              </w:rPr>
              <w:t>metropolitan</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11 400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11 400</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11 400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Liquor and gambling inspections completed by the VCGLR</w:t>
            </w:r>
            <w:r>
              <w:rPr>
                <w:rFonts w:eastAsiaTheme="minorEastAsia"/>
                <w:lang w:eastAsia="en-AU"/>
              </w:rPr>
              <w:t xml:space="preserve"> – </w:t>
            </w:r>
            <w:r w:rsidRPr="00DE4DBE">
              <w:rPr>
                <w:rFonts w:eastAsiaTheme="minorEastAsia"/>
                <w:lang w:eastAsia="en-AU"/>
              </w:rPr>
              <w:t>regional</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1 600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1 600</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1 600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Office of Liquor, Gaming and Racing briefings processed</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700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700</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700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648</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Operations with co</w:t>
            </w:r>
            <w:r>
              <w:rPr>
                <w:rFonts w:eastAsiaTheme="minorEastAsia"/>
                <w:lang w:eastAsia="en-AU"/>
              </w:rPr>
              <w:noBreakHyphen/>
            </w:r>
            <w:r w:rsidRPr="00DE4DBE">
              <w:rPr>
                <w:rFonts w:eastAsiaTheme="minorEastAsia"/>
                <w:lang w:eastAsia="en-AU"/>
              </w:rPr>
              <w:t>regulators to identify licensees supplying alcohol to minors or persons who are intoxicated</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Racing industry development initiatives delivered by the Victorian Racing Industry Fund</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7</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Racing matters processed (including licences, permits and grant applications)</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274</w:t>
            </w:r>
          </w:p>
        </w:tc>
        <w:tc>
          <w:tcPr>
            <w:tcW w:w="992"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269</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274</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269</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Liquor and gambling licensing client satisfaction (VCGLR)</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84</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84</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consistent positive feedback from industry participants in the annual survey of the VCGLR operations.</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i/>
                <w:iCs/>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i/>
                <w:iCs/>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i/>
                <w:iCs/>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i/>
                <w:iCs/>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Calls to VCGLR client services answered within 60 seconds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96</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96</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385BFE" w:rsidRDefault="00E25CC6" w:rsidP="00565F3E">
            <w:pPr>
              <w:pStyle w:val="OGNotes"/>
              <w:rPr>
                <w:rFonts w:eastAsiaTheme="minorEastAsia"/>
              </w:rPr>
            </w:pPr>
            <w:r w:rsidRPr="00385BFE">
              <w:rPr>
                <w:rFonts w:eastAsiaTheme="minorEastAsia"/>
              </w:rPr>
              <w:t>The 2015</w:t>
            </w:r>
            <w:r w:rsidRPr="00385BFE">
              <w:rPr>
                <w:rFonts w:eastAsiaTheme="minorEastAsia"/>
              </w:rPr>
              <w:noBreakHyphen/>
              <w:t>16 expected outcome is lower than the 2015</w:t>
            </w:r>
            <w:r w:rsidRPr="00385BFE">
              <w:rPr>
                <w:rFonts w:eastAsiaTheme="minorEastAsia"/>
              </w:rPr>
              <w:noBreakHyphen/>
              <w:t>16 target due to a higher volume, complexity of calls and resources available than initially forecast.</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Gamblers Help Service clients who receive a service within five days of referral (VRGF)</w:t>
            </w:r>
          </w:p>
        </w:tc>
        <w:tc>
          <w:tcPr>
            <w:tcW w:w="907" w:type="dxa"/>
            <w:tcBorders>
              <w:top w:val="single" w:sz="6" w:space="0" w:color="auto"/>
              <w:left w:val="nil"/>
              <w:bottom w:val="single" w:sz="6" w:space="0" w:color="auto"/>
              <w:right w:val="nil"/>
            </w:tcBorders>
          </w:tcPr>
          <w:p w:rsidR="00E25CC6" w:rsidRPr="00385BFE" w:rsidRDefault="00E25CC6" w:rsidP="00757724">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98</w:t>
            </w:r>
          </w:p>
        </w:tc>
        <w:tc>
          <w:tcPr>
            <w:tcW w:w="992" w:type="dxa"/>
            <w:tcBorders>
              <w:top w:val="single" w:sz="6" w:space="0" w:color="auto"/>
              <w:left w:val="nil"/>
              <w:bottom w:val="single" w:sz="6" w:space="0" w:color="auto"/>
              <w:right w:val="nil"/>
            </w:tcBorders>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98</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98</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100</w:t>
            </w:r>
          </w:p>
        </w:tc>
      </w:tr>
      <w:tr w:rsidR="00E25CC6" w:rsidRPr="00DE4DBE" w:rsidTr="00757724">
        <w:trPr>
          <w:cantSplit/>
        </w:trPr>
        <w:tc>
          <w:tcPr>
            <w:tcW w:w="3146" w:type="dxa"/>
            <w:tcBorders>
              <w:top w:val="single" w:sz="6" w:space="0" w:color="auto"/>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Liquor and gambling approvals, licence, permit applications and variations completed within set time (VCGLR)</w:t>
            </w:r>
          </w:p>
        </w:tc>
        <w:tc>
          <w:tcPr>
            <w:tcW w:w="907" w:type="dxa"/>
            <w:tcBorders>
              <w:top w:val="single" w:sz="6" w:space="0" w:color="auto"/>
              <w:left w:val="nil"/>
              <w:bottom w:val="single" w:sz="6" w:space="0" w:color="auto"/>
              <w:right w:val="nil"/>
            </w:tcBorders>
          </w:tcPr>
          <w:p w:rsidR="00E25CC6" w:rsidRPr="00385BFE" w:rsidRDefault="00E25CC6" w:rsidP="00757724">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80</w:t>
            </w:r>
          </w:p>
        </w:tc>
        <w:tc>
          <w:tcPr>
            <w:tcW w:w="992" w:type="dxa"/>
            <w:tcBorders>
              <w:top w:val="single" w:sz="6" w:space="0" w:color="auto"/>
              <w:left w:val="nil"/>
              <w:bottom w:val="single" w:sz="6" w:space="0" w:color="auto"/>
              <w:right w:val="nil"/>
            </w:tcBorders>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80</w:t>
            </w:r>
          </w:p>
        </w:tc>
        <w:tc>
          <w:tcPr>
            <w:tcW w:w="907"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80</w:t>
            </w:r>
          </w:p>
        </w:tc>
        <w:tc>
          <w:tcPr>
            <w:tcW w:w="908" w:type="dxa"/>
            <w:tcBorders>
              <w:top w:val="single" w:sz="6" w:space="0" w:color="auto"/>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385BFE" w:rsidRDefault="00E25CC6" w:rsidP="00757724">
            <w:pPr>
              <w:autoSpaceDE w:val="0"/>
              <w:autoSpaceDN w:val="0"/>
              <w:adjustRightInd w:val="0"/>
              <w:spacing w:after="0"/>
              <w:jc w:val="center"/>
              <w:rPr>
                <w:rFonts w:ascii="Calibri" w:eastAsiaTheme="minorEastAsia" w:hAnsi="Calibri" w:cs="Calibri"/>
                <w:sz w:val="19"/>
                <w:szCs w:val="22"/>
                <w:lang w:eastAsia="en-AU"/>
              </w:rPr>
            </w:pPr>
          </w:p>
        </w:tc>
        <w:tc>
          <w:tcPr>
            <w:tcW w:w="907" w:type="dxa"/>
            <w:tcBorders>
              <w:top w:val="single" w:sz="6" w:space="0" w:color="auto"/>
              <w:left w:val="nil"/>
              <w:right w:val="nil"/>
            </w:tcBorders>
            <w:shd w:val="clear" w:color="auto" w:fill="DCDCDC"/>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bottom w:val="nil"/>
              <w:right w:val="nil"/>
            </w:tcBorders>
          </w:tcPr>
          <w:p w:rsidR="00E25CC6" w:rsidRPr="00385BFE" w:rsidRDefault="00E25CC6" w:rsidP="00757724">
            <w:pPr>
              <w:autoSpaceDE w:val="0"/>
              <w:autoSpaceDN w:val="0"/>
              <w:adjustRightInd w:val="0"/>
              <w:spacing w:after="0"/>
              <w:jc w:val="center"/>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119.4</w:t>
            </w:r>
          </w:p>
        </w:tc>
        <w:tc>
          <w:tcPr>
            <w:tcW w:w="992" w:type="dxa"/>
            <w:tcBorders>
              <w:top w:val="nil"/>
              <w:left w:val="nil"/>
              <w:bottom w:val="nil"/>
              <w:right w:val="nil"/>
            </w:tcBorders>
          </w:tcPr>
          <w:p w:rsidR="00E25CC6" w:rsidRPr="00385BFE" w:rsidRDefault="00E25CC6" w:rsidP="00757724">
            <w:pPr>
              <w:autoSpaceDE w:val="0"/>
              <w:autoSpaceDN w:val="0"/>
              <w:adjustRightInd w:val="0"/>
              <w:spacing w:after="0"/>
              <w:jc w:val="right"/>
              <w:rPr>
                <w:rFonts w:ascii="Calibri" w:eastAsiaTheme="minorEastAsia" w:hAnsi="Calibri" w:cs="Calibri"/>
                <w:sz w:val="19"/>
                <w:szCs w:val="22"/>
                <w:lang w:eastAsia="en-AU"/>
              </w:rPr>
            </w:pPr>
            <w:r w:rsidRPr="00385BFE">
              <w:rPr>
                <w:rFonts w:ascii="Calibri" w:eastAsiaTheme="minorEastAsia" w:hAnsi="Calibri" w:cs="Calibri"/>
                <w:sz w:val="19"/>
                <w:szCs w:val="22"/>
                <w:lang w:eastAsia="en-AU"/>
              </w:rPr>
              <w:t>120.2</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127.5</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115.1</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385BFE" w:rsidRDefault="00E25CC6" w:rsidP="00757724">
            <w:pPr>
              <w:pStyle w:val="OGNotes"/>
              <w:rPr>
                <w:rFonts w:eastAsiaTheme="minorEastAsia"/>
              </w:rPr>
            </w:pPr>
            <w:r w:rsidRPr="00385BFE">
              <w:rPr>
                <w:rFonts w:eastAsiaTheme="minorEastAsia"/>
              </w:rPr>
              <w:t>The 2015</w:t>
            </w:r>
            <w:r w:rsidRPr="00385BFE">
              <w:rPr>
                <w:rFonts w:eastAsiaTheme="minorEastAsia"/>
              </w:rPr>
              <w:noBreakHyphen/>
              <w:t>16 expected outcome is lower than the 2015</w:t>
            </w:r>
            <w:r w:rsidRPr="00385BFE">
              <w:rPr>
                <w:rFonts w:eastAsiaTheme="minorEastAsia"/>
              </w:rPr>
              <w:noBreakHyphen/>
              <w:t>16 target due to funds rephased into future years to align with expected timing of racing grants.</w:t>
            </w:r>
          </w:p>
          <w:p w:rsidR="00E25CC6" w:rsidRPr="00385BFE" w:rsidRDefault="00E25CC6" w:rsidP="0093439D">
            <w:pPr>
              <w:pStyle w:val="OGNotes"/>
              <w:rPr>
                <w:rFonts w:eastAsiaTheme="minorEastAsia"/>
              </w:rPr>
            </w:pPr>
            <w:r w:rsidRPr="00385BFE">
              <w:rPr>
                <w:rFonts w:eastAsiaTheme="minorEastAsia"/>
              </w:rPr>
              <w:t>The lower 2016</w:t>
            </w:r>
            <w:r w:rsidRPr="00385BFE">
              <w:rPr>
                <w:rFonts w:eastAsiaTheme="minorEastAsia"/>
              </w:rPr>
              <w:noBreakHyphen/>
              <w:t>17 target reflects a rephasing of funds to align with the expected timing of racing grants.</w:t>
            </w:r>
          </w:p>
        </w:tc>
      </w:tr>
      <w:tr w:rsidR="00E25CC6" w:rsidRPr="00DE4DBE" w:rsidTr="00757724">
        <w:trPr>
          <w:cantSplit/>
        </w:trPr>
        <w:tc>
          <w:tcPr>
            <w:tcW w:w="7767" w:type="dxa"/>
            <w:gridSpan w:val="6"/>
            <w:tcBorders>
              <w:top w:val="single" w:sz="6" w:space="0" w:color="auto"/>
              <w:left w:val="nil"/>
              <w:bottom w:val="nil"/>
              <w:right w:val="nil"/>
            </w:tcBorders>
          </w:tcPr>
          <w:p w:rsidR="00E25CC6" w:rsidRPr="00DE4DBE" w:rsidRDefault="00E25CC6" w:rsidP="00757724">
            <w:pPr>
              <w:pStyle w:val="OGHeading2"/>
              <w:rPr>
                <w:rFonts w:eastAsiaTheme="minorEastAsia"/>
                <w:lang w:eastAsia="en-AU"/>
              </w:rPr>
            </w:pPr>
            <w:r w:rsidRPr="00DE4DBE">
              <w:rPr>
                <w:rFonts w:eastAsiaTheme="minorEastAsia"/>
                <w:lang w:eastAsia="en-AU"/>
              </w:rPr>
              <w:t>Regulation of the Victorian Consumer Marketplace</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Text"/>
              <w:rPr>
                <w:rFonts w:eastAsiaTheme="minorEastAsia"/>
                <w:lang w:eastAsia="en-AU"/>
              </w:rPr>
            </w:pPr>
            <w:r w:rsidRPr="00DE4DBE">
              <w:rPr>
                <w:rFonts w:eastAsiaTheme="minorEastAsia"/>
                <w:lang w:eastAsia="en-AU"/>
              </w:rPr>
              <w:t>This output upholds a fair and competitive Victorian marketplace. As Victoria</w:t>
            </w:r>
            <w:r>
              <w:rPr>
                <w:rFonts w:eastAsiaTheme="minorEastAsia"/>
                <w:lang w:eastAsia="en-AU"/>
              </w:rPr>
              <w:t>’</w:t>
            </w:r>
            <w:r w:rsidRPr="00DE4DBE">
              <w:rPr>
                <w:rFonts w:eastAsiaTheme="minorEastAsia"/>
                <w:lang w:eastAsia="en-AU"/>
              </w:rPr>
              <w:t>s consumer regulator, Consumer Affairs Victoria (CAV) works to ensure that the market works effectively by detecting and addressing non</w:t>
            </w:r>
            <w:r>
              <w:rPr>
                <w:rFonts w:eastAsiaTheme="minorEastAsia"/>
                <w:lang w:eastAsia="en-AU"/>
              </w:rPr>
              <w:noBreakHyphen/>
            </w:r>
            <w:r w:rsidRPr="00DE4DBE">
              <w:rPr>
                <w:rFonts w:eastAsiaTheme="minorEastAsia"/>
                <w:lang w:eastAsia="en-AU"/>
              </w:rPr>
              <w:t>compliance with the law. The output provides for informing consumers and businesses about their rights and responsibilities under the law, engaging with business to ensure compliance, registration and occupational licensing for individuals and organisations and regulation of the residential tenancies market.</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Compliance activities, from compliance assistance through to court actions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9 600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9 017</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9 600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11 344</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a shift from compliance assistance to inspections in the regions.</w:t>
            </w:r>
          </w:p>
        </w:tc>
      </w:tr>
      <w:tr w:rsidR="00E25CC6" w:rsidRPr="00DE4DBE" w:rsidTr="00757724">
        <w:trPr>
          <w:cantSplit/>
        </w:trPr>
        <w:tc>
          <w:tcPr>
            <w:tcW w:w="3146" w:type="dxa"/>
            <w:tcBorders>
              <w:top w:val="nil"/>
              <w:left w:val="nil"/>
              <w:bottom w:val="nil"/>
              <w:right w:val="nil"/>
            </w:tcBorders>
          </w:tcPr>
          <w:p w:rsidR="00E25CC6" w:rsidRPr="00DE4DBE" w:rsidRDefault="00E25CC6" w:rsidP="00EB7DCA">
            <w:pPr>
              <w:pStyle w:val="OGTabText"/>
              <w:keepNext/>
              <w:rPr>
                <w:rFonts w:eastAsiaTheme="minorEastAsia"/>
                <w:lang w:eastAsia="en-AU"/>
              </w:rPr>
            </w:pPr>
            <w:r w:rsidRPr="00DE4DBE">
              <w:rPr>
                <w:rFonts w:eastAsiaTheme="minorEastAsia"/>
                <w:lang w:eastAsia="en-AU"/>
              </w:rPr>
              <w:t>Information and advice provided to consumers, tenants and businesses: through other services including written correspondence, face to face and dispute assistance</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124 300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127 198</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123 000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129 430</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an increase in written correspondence through the Consumer Affairs Victoria website. </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Information and advice provided to consumers, tenants and businesses: through telephone service</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354 500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349 934</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346 500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352 369</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the expected increase in telephone contacts in response to the next phase of the implementation of the myCAV online transaction system.</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Transactions undertaken: Residential Tenancies Bonds Authority (RTBA) transactions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457 000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444 968</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433 500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432 569</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the increase in demand for bond lodgement and repayment services.</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Transactions undertaken: registration and licensing transactions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84 000</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80 642</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69 500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70 679</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extra activity generated by the myCAV online transaction system. </w:t>
            </w:r>
          </w:p>
          <w:p w:rsidR="00E25CC6" w:rsidRPr="00DE4DBE" w:rsidRDefault="00E25CC6" w:rsidP="00757724">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target reflects this increased activity. </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single" w:sz="6" w:space="0" w:color="auto"/>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Rate of compliance with key consumer laws</w:t>
            </w:r>
          </w:p>
        </w:tc>
        <w:tc>
          <w:tcPr>
            <w:tcW w:w="907"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92"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7"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95</w:t>
            </w:r>
          </w:p>
        </w:tc>
        <w:tc>
          <w:tcPr>
            <w:tcW w:w="908" w:type="dxa"/>
            <w:tcBorders>
              <w:top w:val="nil"/>
              <w:left w:val="nil"/>
              <w:bottom w:val="single" w:sz="6" w:space="0" w:color="auto"/>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Regulatory functions delivered within agreed timeframes</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93</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96</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90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nm</w:t>
            </w:r>
          </w:p>
        </w:tc>
      </w:tr>
      <w:tr w:rsidR="00E25CC6" w:rsidRPr="00DE4DBE" w:rsidTr="00757724">
        <w:trPr>
          <w:cantSplit/>
        </w:trPr>
        <w:tc>
          <w:tcPr>
            <w:tcW w:w="7767" w:type="dxa"/>
            <w:gridSpan w:val="6"/>
            <w:tcBorders>
              <w:top w:val="nil"/>
              <w:left w:val="nil"/>
              <w:bottom w:val="single" w:sz="6" w:space="0" w:color="auto"/>
              <w:right w:val="nil"/>
            </w:tcBorders>
          </w:tcPr>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higher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reduced processing times as a result of the introduction of the myCAV online transaction system. 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w:t>
            </w:r>
            <w:r>
              <w:rPr>
                <w:rFonts w:eastAsiaTheme="minorEastAsia"/>
              </w:rPr>
              <w:t xml:space="preserve"> </w:t>
            </w:r>
            <w:r w:rsidRPr="00DE4DBE">
              <w:rPr>
                <w:rFonts w:eastAsiaTheme="minorEastAsia"/>
              </w:rPr>
              <w:t xml:space="preserve">reduced processing times. </w:t>
            </w: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DE4DBE">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DE4DBE" w:rsidTr="00757724">
        <w:trPr>
          <w:cantSplit/>
        </w:trPr>
        <w:tc>
          <w:tcPr>
            <w:tcW w:w="3146" w:type="dxa"/>
            <w:tcBorders>
              <w:top w:val="nil"/>
              <w:left w:val="nil"/>
              <w:bottom w:val="nil"/>
              <w:right w:val="nil"/>
            </w:tcBorders>
          </w:tcPr>
          <w:p w:rsidR="00E25CC6" w:rsidRPr="00DE4DBE" w:rsidRDefault="00E25CC6" w:rsidP="00757724">
            <w:pPr>
              <w:pStyle w:val="OGTabText"/>
              <w:rPr>
                <w:rFonts w:eastAsiaTheme="minorEastAsia"/>
                <w:lang w:eastAsia="en-AU"/>
              </w:rPr>
            </w:pPr>
            <w:r w:rsidRPr="00DE4DBE">
              <w:rPr>
                <w:rFonts w:eastAsiaTheme="minorEastAsia"/>
                <w:lang w:eastAsia="en-AU"/>
              </w:rPr>
              <w:t>Total output cost</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center"/>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126.3</w:t>
            </w:r>
          </w:p>
        </w:tc>
        <w:tc>
          <w:tcPr>
            <w:tcW w:w="992"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122.3</w:t>
            </w:r>
          </w:p>
        </w:tc>
        <w:tc>
          <w:tcPr>
            <w:tcW w:w="907"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125.0</w:t>
            </w:r>
          </w:p>
        </w:tc>
        <w:tc>
          <w:tcPr>
            <w:tcW w:w="908" w:type="dxa"/>
            <w:tcBorders>
              <w:top w:val="nil"/>
              <w:left w:val="nil"/>
              <w:bottom w:val="nil"/>
              <w:right w:val="nil"/>
            </w:tcBorders>
          </w:tcPr>
          <w:p w:rsidR="00E25CC6" w:rsidRPr="00DE4DBE" w:rsidRDefault="00E25CC6" w:rsidP="00757724">
            <w:pPr>
              <w:autoSpaceDE w:val="0"/>
              <w:autoSpaceDN w:val="0"/>
              <w:adjustRightInd w:val="0"/>
              <w:spacing w:after="0"/>
              <w:jc w:val="right"/>
              <w:rPr>
                <w:rFonts w:ascii="Calibri" w:eastAsiaTheme="minorEastAsia" w:hAnsi="Calibri" w:cs="Calibri"/>
                <w:color w:val="000000"/>
                <w:sz w:val="19"/>
                <w:szCs w:val="22"/>
                <w:lang w:eastAsia="en-AU"/>
              </w:rPr>
            </w:pPr>
            <w:r w:rsidRPr="00DE4DBE">
              <w:rPr>
                <w:rFonts w:ascii="Calibri" w:eastAsiaTheme="minorEastAsia" w:hAnsi="Calibri" w:cs="Calibri"/>
                <w:color w:val="000000"/>
                <w:sz w:val="19"/>
                <w:szCs w:val="22"/>
                <w:lang w:eastAsia="en-AU"/>
              </w:rPr>
              <w:t>119.1</w:t>
            </w:r>
          </w:p>
        </w:tc>
      </w:tr>
      <w:tr w:rsidR="00E25CC6" w:rsidRPr="00DE4DBE" w:rsidTr="00757724">
        <w:trPr>
          <w:cantSplit/>
        </w:trPr>
        <w:tc>
          <w:tcPr>
            <w:tcW w:w="7767" w:type="dxa"/>
            <w:gridSpan w:val="6"/>
            <w:tcBorders>
              <w:top w:val="nil"/>
              <w:left w:val="nil"/>
              <w:bottom w:val="single" w:sz="12" w:space="0" w:color="auto"/>
              <w:right w:val="nil"/>
            </w:tcBorders>
          </w:tcPr>
          <w:p w:rsidR="00E25CC6" w:rsidRPr="00DE4DBE" w:rsidRDefault="00E25CC6" w:rsidP="00757724">
            <w:pPr>
              <w:pStyle w:val="OGNotes"/>
              <w:rPr>
                <w:rFonts w:eastAsiaTheme="minorEastAsia"/>
              </w:rPr>
            </w:pPr>
            <w:r w:rsidRPr="00DE4DBE">
              <w:rPr>
                <w:rFonts w:eastAsiaTheme="minorEastAsia"/>
              </w:rPr>
              <w:t>The 2015</w:t>
            </w:r>
            <w:r>
              <w:rPr>
                <w:rFonts w:eastAsiaTheme="minorEastAsia"/>
              </w:rPr>
              <w:noBreakHyphen/>
            </w:r>
            <w:r w:rsidRPr="00DE4DBE">
              <w:rPr>
                <w:rFonts w:eastAsiaTheme="minorEastAsia"/>
              </w:rPr>
              <w:t xml:space="preserve">16 </w:t>
            </w:r>
            <w:r w:rsidRPr="00E074E1">
              <w:rPr>
                <w:rFonts w:eastAsiaTheme="minorEastAsia"/>
              </w:rPr>
              <w:t>expected outcome</w:t>
            </w:r>
            <w:r w:rsidRPr="00DE4DBE">
              <w:rPr>
                <w:rFonts w:eastAsiaTheme="minorEastAsia"/>
              </w:rPr>
              <w:t xml:space="preserve"> is lower than the 2015</w:t>
            </w:r>
            <w:r>
              <w:rPr>
                <w:rFonts w:eastAsiaTheme="minorEastAsia"/>
              </w:rPr>
              <w:noBreakHyphen/>
            </w:r>
            <w:r w:rsidRPr="00DE4DBE">
              <w:rPr>
                <w:rFonts w:eastAsiaTheme="minorEastAsia"/>
              </w:rPr>
              <w:t xml:space="preserve">16 </w:t>
            </w:r>
            <w:r>
              <w:rPr>
                <w:rFonts w:eastAsiaTheme="minorEastAsia"/>
              </w:rPr>
              <w:t>target</w:t>
            </w:r>
            <w:r w:rsidRPr="00DE4DBE">
              <w:rPr>
                <w:rFonts w:eastAsiaTheme="minorEastAsia"/>
              </w:rPr>
              <w:t xml:space="preserve"> due to the estimated carryover of funding from 2015</w:t>
            </w:r>
            <w:r>
              <w:rPr>
                <w:rFonts w:eastAsiaTheme="minorEastAsia"/>
              </w:rPr>
              <w:noBreakHyphen/>
            </w:r>
            <w:r w:rsidRPr="00DE4DBE">
              <w:rPr>
                <w:rFonts w:eastAsiaTheme="minorEastAsia"/>
              </w:rPr>
              <w:t>16 into 2016</w:t>
            </w:r>
            <w:r>
              <w:rPr>
                <w:rFonts w:eastAsiaTheme="minorEastAsia"/>
              </w:rPr>
              <w:noBreakHyphen/>
            </w:r>
            <w:r w:rsidRPr="00DE4DBE">
              <w:rPr>
                <w:rFonts w:eastAsiaTheme="minorEastAsia"/>
              </w:rPr>
              <w:t>17.</w:t>
            </w:r>
          </w:p>
          <w:p w:rsidR="00E25CC6" w:rsidRPr="00DE4DBE" w:rsidRDefault="00E25CC6" w:rsidP="00757724">
            <w:pPr>
              <w:pStyle w:val="OGNotes"/>
              <w:rPr>
                <w:rFonts w:eastAsiaTheme="minorEastAsia"/>
              </w:rPr>
            </w:pPr>
            <w:r w:rsidRPr="00DE4DBE">
              <w:rPr>
                <w:rFonts w:eastAsiaTheme="minorEastAsia"/>
              </w:rPr>
              <w:t>The higher 2016</w:t>
            </w:r>
            <w:r>
              <w:rPr>
                <w:rFonts w:eastAsiaTheme="minorEastAsia"/>
              </w:rPr>
              <w:noBreakHyphen/>
            </w:r>
            <w:r w:rsidRPr="00DE4DBE">
              <w:rPr>
                <w:rFonts w:eastAsiaTheme="minorEastAsia"/>
              </w:rPr>
              <w:t xml:space="preserve">17 </w:t>
            </w:r>
            <w:r>
              <w:rPr>
                <w:rFonts w:eastAsiaTheme="minorEastAsia"/>
              </w:rPr>
              <w:t>target</w:t>
            </w:r>
            <w:r w:rsidRPr="00DE4DBE">
              <w:rPr>
                <w:rFonts w:eastAsiaTheme="minorEastAsia"/>
              </w:rPr>
              <w:t xml:space="preserve"> reflects growth in existing costs partially offset by savings and efficiencies.</w:t>
            </w:r>
          </w:p>
        </w:tc>
      </w:tr>
    </w:tbl>
    <w:p w:rsidR="00E25CC6" w:rsidRPr="00A57A8A" w:rsidRDefault="00E25CC6" w:rsidP="008370E1">
      <w:pPr>
        <w:pStyle w:val="Source"/>
        <w:rPr>
          <w:rFonts w:eastAsiaTheme="minorHAnsi"/>
        </w:rPr>
      </w:pPr>
      <w:r>
        <w:rPr>
          <w:rFonts w:eastAsiaTheme="minorHAnsi"/>
        </w:rPr>
        <w:t>Source: Department of Justice and Regulation</w:t>
      </w:r>
      <w:bookmarkEnd w:id="95"/>
      <w:r>
        <w:rPr>
          <w:rFonts w:eastAsiaTheme="minorHAnsi"/>
        </w:rPr>
        <w:t xml:space="preserve"> </w:t>
      </w:r>
      <w:r>
        <w:rPr>
          <w:rFonts w:eastAsiaTheme="minorHAnsi"/>
        </w:rPr>
        <w:fldChar w:fldCharType="begin"/>
      </w:r>
      <w:r>
        <w:instrText xml:space="preserve"> XE "</w:instrText>
      </w:r>
      <w:r w:rsidRPr="00911913">
        <w:instrText>Department of Justice and Regulation:Industry Regulation and Support</w:instrText>
      </w:r>
      <w:r>
        <w:instrText xml:space="preserve">" \r "DJR_IndustRegulat" </w:instrText>
      </w:r>
      <w:r>
        <w:rPr>
          <w:rFonts w:eastAsiaTheme="minorHAnsi"/>
        </w:rPr>
        <w:fldChar w:fldCharType="end"/>
      </w:r>
      <w:r>
        <w:rPr>
          <w:rFonts w:eastAsiaTheme="minorHAnsi"/>
        </w:rPr>
        <w:t xml:space="preserve"> </w:t>
      </w:r>
      <w:r>
        <w:rPr>
          <w:rFonts w:eastAsiaTheme="minorHAnsi"/>
        </w:rPr>
        <w:fldChar w:fldCharType="begin"/>
      </w:r>
      <w:r>
        <w:instrText xml:space="preserve"> XE "</w:instrText>
      </w:r>
      <w:r w:rsidRPr="00DE3DBF">
        <w:instrText>Industry Regulation and Support</w:instrText>
      </w:r>
      <w:r>
        <w:instrText xml:space="preserve">" \r "DJR_IndustRegulat" </w:instrText>
      </w:r>
      <w:r>
        <w:rPr>
          <w:rFonts w:eastAsiaTheme="minorHAnsi"/>
        </w:rPr>
        <w:fldChar w:fldCharType="end"/>
      </w:r>
    </w:p>
    <w:p w:rsidR="00E25CC6" w:rsidRDefault="00E25CC6" w:rsidP="00A57A8A">
      <w:pPr>
        <w:pStyle w:val="OGText"/>
        <w:rPr>
          <w:rFonts w:eastAsiaTheme="minorHAnsi"/>
        </w:rPr>
      </w:pPr>
    </w:p>
    <w:p w:rsidR="00E25CC6" w:rsidRDefault="00E25CC6" w:rsidP="00243370">
      <w:pPr>
        <w:rPr>
          <w:rFonts w:eastAsiaTheme="minorHAnsi"/>
        </w:rPr>
        <w:sectPr w:rsidR="00E25CC6" w:rsidSect="00E25CC6">
          <w:footerReference w:type="even" r:id="rId37"/>
          <w:footerReference w:type="default" r:id="rId38"/>
          <w:pgSz w:w="9979" w:h="14181" w:code="138"/>
          <w:pgMar w:top="1140" w:right="1140" w:bottom="1140" w:left="1140" w:header="720" w:footer="431" w:gutter="0"/>
          <w:cols w:space="708"/>
          <w:docGrid w:linePitch="360"/>
        </w:sectPr>
      </w:pPr>
    </w:p>
    <w:p w:rsidR="00E25CC6" w:rsidRDefault="00E25CC6" w:rsidP="009B15FF">
      <w:pPr>
        <w:pStyle w:val="Heading1"/>
      </w:pPr>
      <w:bookmarkStart w:id="96" w:name="_Toc449109443"/>
      <w:r>
        <w:t>Department of Premier and Cabinet</w:t>
      </w:r>
      <w:bookmarkEnd w:id="96"/>
    </w:p>
    <w:p w:rsidR="00E25CC6" w:rsidRDefault="00E25CC6" w:rsidP="00503FD0">
      <w:pPr>
        <w:pStyle w:val="Heading2"/>
        <w:rPr>
          <w:rFonts w:eastAsiaTheme="minorHAnsi"/>
        </w:rPr>
      </w:pPr>
      <w:r>
        <w:rPr>
          <w:rFonts w:eastAsiaTheme="minorHAnsi"/>
        </w:rPr>
        <w:t>Ministerial portfolios</w:t>
      </w:r>
    </w:p>
    <w:p w:rsidR="00E25CC6" w:rsidRDefault="00E25CC6" w:rsidP="00520DA1">
      <w:pPr>
        <w:rPr>
          <w:rFonts w:eastAsiaTheme="minorHAnsi"/>
        </w:rPr>
      </w:pPr>
      <w:r w:rsidRPr="005A7158">
        <w:t>The Department supports the ministerial portfolios of the Premier, Deputy Premier, Special Minister of State, Aboriginal Affairs, Equality, Multicultural Affairs, Veterans, Women and the Prevention of Family Violence.</w:t>
      </w:r>
      <w:r>
        <w:t xml:space="preserve"> </w:t>
      </w:r>
      <w:r>
        <w:rPr>
          <w:rFonts w:eastAsiaTheme="minorEastAsia"/>
          <w:lang w:eastAsia="en-AU"/>
        </w:rPr>
        <w:fldChar w:fldCharType="begin"/>
      </w:r>
      <w:r>
        <w:instrText xml:space="preserve"> XE "</w:instrText>
      </w:r>
      <w:r w:rsidRPr="002C17F5">
        <w:instrText>Veterans Affairs</w:instrText>
      </w:r>
      <w:r>
        <w:instrText xml:space="preserve">" </w:instrText>
      </w:r>
      <w:r>
        <w:rPr>
          <w:rFonts w:eastAsiaTheme="minorEastAsia"/>
          <w:lang w:eastAsia="en-AU"/>
        </w:rPr>
        <w:fldChar w:fldCharType="end"/>
      </w:r>
    </w:p>
    <w:p w:rsidR="00E25CC6" w:rsidRDefault="00E25CC6" w:rsidP="00503FD0">
      <w:pPr>
        <w:pStyle w:val="Heading2"/>
        <w:rPr>
          <w:rFonts w:eastAsiaTheme="minorHAnsi"/>
        </w:rPr>
      </w:pPr>
      <w:r>
        <w:rPr>
          <w:rFonts w:eastAsiaTheme="minorHAnsi"/>
        </w:rPr>
        <w:t>Departmental mission statement</w:t>
      </w:r>
    </w:p>
    <w:p w:rsidR="00E25CC6" w:rsidRDefault="00E25CC6" w:rsidP="00520DA1">
      <w:pPr>
        <w:rPr>
          <w:rFonts w:eastAsiaTheme="minorHAnsi"/>
        </w:rPr>
      </w:pPr>
      <w:r w:rsidRPr="005A7158">
        <w:t>The Department works for the people of Victoria by helping the Government achieve its strategic objectives. The Department leads the Victorian Public Service by setting clear expectations, driving the Government</w:t>
      </w:r>
      <w:r>
        <w:t>’</w:t>
      </w:r>
      <w:r w:rsidRPr="005A7158">
        <w:t>s objectives, providing unifying intelligence within the Victorian Government, and pursuing excellence in whole</w:t>
      </w:r>
      <w:r>
        <w:t xml:space="preserve"> </w:t>
      </w:r>
      <w:r w:rsidRPr="005A7158">
        <w:t>of</w:t>
      </w:r>
      <w:r>
        <w:t xml:space="preserve"> </w:t>
      </w:r>
      <w:r w:rsidRPr="005A7158">
        <w:t>government outcomes in delivery and reform.</w:t>
      </w:r>
    </w:p>
    <w:p w:rsidR="00E25CC6" w:rsidRDefault="00E25CC6" w:rsidP="00503FD0">
      <w:pPr>
        <w:pStyle w:val="Heading2"/>
        <w:rPr>
          <w:rFonts w:eastAsiaTheme="minorHAnsi"/>
        </w:rPr>
      </w:pPr>
      <w:r>
        <w:rPr>
          <w:rFonts w:eastAsiaTheme="minorHAnsi"/>
        </w:rPr>
        <w:t>Departmental objectives, indicators and outputs</w:t>
      </w:r>
    </w:p>
    <w:p w:rsidR="00E25CC6" w:rsidRDefault="00E25CC6" w:rsidP="00520DA1">
      <w:r w:rsidRPr="005A7158">
        <w:t>The Department of Premier and Cabinet</w:t>
      </w:r>
      <w:r>
        <w:t>’</w:t>
      </w:r>
      <w:r w:rsidRPr="005A7158">
        <w:t>s objectives, indicators, and linked outputs are listed below.</w:t>
      </w:r>
    </w:p>
    <w:tbl>
      <w:tblPr>
        <w:tblW w:w="7844" w:type="dxa"/>
        <w:tblInd w:w="29" w:type="dxa"/>
        <w:tblBorders>
          <w:bottom w:val="single" w:sz="12" w:space="0" w:color="auto"/>
          <w:insideH w:val="single" w:sz="6" w:space="0" w:color="auto"/>
        </w:tblBorders>
        <w:tblLayout w:type="fixed"/>
        <w:tblCellMar>
          <w:left w:w="43" w:type="dxa"/>
          <w:right w:w="43" w:type="dxa"/>
        </w:tblCellMar>
        <w:tblLook w:val="04A0" w:firstRow="1" w:lastRow="0" w:firstColumn="1" w:lastColumn="0" w:noHBand="0" w:noVBand="1"/>
      </w:tblPr>
      <w:tblGrid>
        <w:gridCol w:w="2614"/>
        <w:gridCol w:w="2615"/>
        <w:gridCol w:w="2615"/>
      </w:tblGrid>
      <w:tr w:rsidR="00E25CC6" w:rsidTr="00520DA1">
        <w:trPr>
          <w:cantSplit/>
          <w:trHeight w:val="240"/>
          <w:tblHeader/>
        </w:trPr>
        <w:tc>
          <w:tcPr>
            <w:tcW w:w="2614" w:type="dxa"/>
            <w:shd w:val="clear" w:color="auto" w:fill="000000"/>
          </w:tcPr>
          <w:p w:rsidR="00E25CC6" w:rsidRPr="00975E17" w:rsidRDefault="00E25CC6" w:rsidP="009148AF">
            <w:pPr>
              <w:pStyle w:val="TabletextheadingLeft0"/>
            </w:pPr>
            <w:r w:rsidRPr="00975E17">
              <w:t>Departmental objectives</w:t>
            </w:r>
          </w:p>
        </w:tc>
        <w:tc>
          <w:tcPr>
            <w:tcW w:w="2615" w:type="dxa"/>
            <w:shd w:val="clear" w:color="auto" w:fill="000000"/>
          </w:tcPr>
          <w:p w:rsidR="00E25CC6" w:rsidRPr="00975E17" w:rsidRDefault="00E25CC6" w:rsidP="009148AF">
            <w:pPr>
              <w:pStyle w:val="TabletextheadingLeft0"/>
            </w:pPr>
            <w:r w:rsidRPr="00975E17">
              <w:t>Indicators</w:t>
            </w:r>
          </w:p>
        </w:tc>
        <w:tc>
          <w:tcPr>
            <w:tcW w:w="2615" w:type="dxa"/>
            <w:shd w:val="clear" w:color="auto" w:fill="000000" w:themeFill="text1"/>
          </w:tcPr>
          <w:p w:rsidR="00E25CC6" w:rsidRPr="00DD1288" w:rsidRDefault="00E25CC6" w:rsidP="008468D4">
            <w:pPr>
              <w:pStyle w:val="TabletextheadingLeft0"/>
            </w:pPr>
            <w:r>
              <w:rPr>
                <w:color w:val="FFFFFF" w:themeColor="background1"/>
              </w:rPr>
              <w:t>Outputs</w:t>
            </w:r>
          </w:p>
        </w:tc>
      </w:tr>
      <w:tr w:rsidR="00E25CC6" w:rsidRPr="00520DA1" w:rsidTr="00520DA1">
        <w:trPr>
          <w:cantSplit/>
          <w:trHeight w:val="1139"/>
        </w:trPr>
        <w:tc>
          <w:tcPr>
            <w:tcW w:w="2614" w:type="dxa"/>
            <w:tcBorders>
              <w:bottom w:val="single" w:sz="6" w:space="0" w:color="auto"/>
            </w:tcBorders>
            <w:shd w:val="clear" w:color="auto" w:fill="auto"/>
          </w:tcPr>
          <w:p w:rsidR="00E25CC6" w:rsidRPr="00520DA1" w:rsidRDefault="00E25CC6" w:rsidP="009148AF">
            <w:pPr>
              <w:pStyle w:val="Tabletextnoindent"/>
              <w:rPr>
                <w:i/>
                <w:szCs w:val="16"/>
              </w:rPr>
            </w:pPr>
            <w:r w:rsidRPr="00520DA1">
              <w:rPr>
                <w:b/>
              </w:rPr>
              <w:t>Strong policy outcomes</w:t>
            </w:r>
            <w:r>
              <w:rPr>
                <w:b/>
              </w:rPr>
              <w:t> </w:t>
            </w:r>
            <w:r w:rsidRPr="00520DA1">
              <w:rPr>
                <w:b/>
                <w:szCs w:val="16"/>
                <w:vertAlign w:val="superscript"/>
              </w:rPr>
              <w:t>(a)</w:t>
            </w:r>
          </w:p>
          <w:p w:rsidR="00E25CC6" w:rsidRPr="00520DA1" w:rsidRDefault="00E25CC6" w:rsidP="009148AF">
            <w:pPr>
              <w:pStyle w:val="Tabletextnoindent"/>
            </w:pPr>
            <w:r w:rsidRPr="00520DA1">
              <w:t>Pursue policy and service delivery excellence and reform</w:t>
            </w:r>
          </w:p>
          <w:p w:rsidR="00E25CC6" w:rsidRPr="00520DA1" w:rsidRDefault="00E25CC6" w:rsidP="009148AF">
            <w:pPr>
              <w:pStyle w:val="Tabletextnoindent"/>
            </w:pPr>
            <w:r w:rsidRPr="00520DA1">
              <w:t>Lead the public sector response to significant state issues, policy challenges and projects</w:t>
            </w:r>
          </w:p>
          <w:p w:rsidR="00E25CC6" w:rsidRPr="00520DA1" w:rsidRDefault="00E25CC6" w:rsidP="00534C00">
            <w:pPr>
              <w:pStyle w:val="Tabletextnoindent"/>
            </w:pPr>
            <w:r w:rsidRPr="00520DA1">
              <w:t xml:space="preserve">Support the effective administration of government </w:t>
            </w:r>
          </w:p>
        </w:tc>
        <w:tc>
          <w:tcPr>
            <w:tcW w:w="2615" w:type="dxa"/>
            <w:tcBorders>
              <w:bottom w:val="single" w:sz="6" w:space="0" w:color="auto"/>
            </w:tcBorders>
            <w:shd w:val="clear" w:color="auto" w:fill="auto"/>
          </w:tcPr>
          <w:p w:rsidR="00E25CC6" w:rsidRPr="00520DA1" w:rsidRDefault="00E25CC6" w:rsidP="009148AF">
            <w:pPr>
              <w:pStyle w:val="Tabletextnoindent"/>
            </w:pPr>
            <w:r w:rsidRPr="00520DA1">
              <w:t>DPC</w:t>
            </w:r>
            <w:r>
              <w:t>’</w:t>
            </w:r>
            <w:r w:rsidRPr="00520DA1">
              <w:t>s policy advice and its support for Cabinet, committee members and the Executive Council is valued and informs decisions</w:t>
            </w:r>
          </w:p>
          <w:p w:rsidR="00E25CC6" w:rsidRPr="00520DA1" w:rsidRDefault="00E25CC6" w:rsidP="009148AF">
            <w:pPr>
              <w:pStyle w:val="Tabletextnoindent"/>
            </w:pPr>
          </w:p>
        </w:tc>
        <w:tc>
          <w:tcPr>
            <w:tcW w:w="2615" w:type="dxa"/>
            <w:tcBorders>
              <w:bottom w:val="single" w:sz="6" w:space="0" w:color="auto"/>
            </w:tcBorders>
            <w:shd w:val="clear" w:color="auto" w:fill="auto"/>
          </w:tcPr>
          <w:p w:rsidR="00E25CC6" w:rsidRPr="00520DA1" w:rsidRDefault="00E25CC6" w:rsidP="009148AF">
            <w:pPr>
              <w:pStyle w:val="Tabletextnoindent"/>
            </w:pPr>
            <w:r w:rsidRPr="00520DA1">
              <w:t>Government</w:t>
            </w:r>
            <w:r>
              <w:noBreakHyphen/>
            </w:r>
            <w:r w:rsidRPr="00520DA1">
              <w:t>wide leadership, reform and implementation</w:t>
            </w:r>
          </w:p>
          <w:p w:rsidR="00E25CC6" w:rsidRPr="00520DA1" w:rsidRDefault="00E25CC6" w:rsidP="009148AF">
            <w:pPr>
              <w:pStyle w:val="Tabletextnoindent"/>
            </w:pPr>
            <w:r w:rsidRPr="00520DA1">
              <w:t>Strategic Advice and Government Support</w:t>
            </w:r>
          </w:p>
          <w:p w:rsidR="00E25CC6" w:rsidRPr="00520DA1" w:rsidRDefault="00E25CC6" w:rsidP="009148AF">
            <w:pPr>
              <w:pStyle w:val="Tabletextnoindent"/>
            </w:pPr>
          </w:p>
        </w:tc>
      </w:tr>
      <w:tr w:rsidR="00E25CC6" w:rsidRPr="00520DA1" w:rsidTr="00520DA1">
        <w:trPr>
          <w:cantSplit/>
          <w:trHeight w:val="733"/>
        </w:trPr>
        <w:tc>
          <w:tcPr>
            <w:tcW w:w="2614" w:type="dxa"/>
            <w:tcBorders>
              <w:top w:val="single" w:sz="6" w:space="0" w:color="auto"/>
              <w:bottom w:val="single" w:sz="4" w:space="0" w:color="auto"/>
            </w:tcBorders>
            <w:shd w:val="clear" w:color="auto" w:fill="auto"/>
          </w:tcPr>
          <w:p w:rsidR="00E25CC6" w:rsidRPr="00520DA1" w:rsidRDefault="00E25CC6" w:rsidP="009148AF">
            <w:pPr>
              <w:pStyle w:val="Tabletextnoindent"/>
              <w:spacing w:before="30"/>
              <w:rPr>
                <w:b/>
                <w:szCs w:val="16"/>
              </w:rPr>
            </w:pPr>
            <w:r>
              <w:rPr>
                <w:b/>
              </w:rPr>
              <w:t xml:space="preserve">Productivity and </w:t>
            </w:r>
            <w:r w:rsidRPr="00520DA1">
              <w:rPr>
                <w:b/>
              </w:rPr>
              <w:t>competitiveness</w:t>
            </w:r>
            <w:r>
              <w:rPr>
                <w:b/>
              </w:rPr>
              <w:t> </w:t>
            </w:r>
            <w:r w:rsidRPr="00520DA1">
              <w:rPr>
                <w:b/>
                <w:szCs w:val="16"/>
                <w:vertAlign w:val="superscript"/>
              </w:rPr>
              <w:t>(b)</w:t>
            </w:r>
          </w:p>
          <w:p w:rsidR="00E25CC6" w:rsidRPr="00520DA1" w:rsidRDefault="00E25CC6" w:rsidP="00534C00">
            <w:pPr>
              <w:pStyle w:val="Tabletextnoindent"/>
            </w:pPr>
            <w:r w:rsidRPr="00520DA1">
              <w:t>Support the delivery of policy and projects that enables increased productivity and competitiveness in Victoria</w:t>
            </w:r>
          </w:p>
        </w:tc>
        <w:tc>
          <w:tcPr>
            <w:tcW w:w="2615" w:type="dxa"/>
            <w:tcBorders>
              <w:top w:val="single" w:sz="6" w:space="0" w:color="auto"/>
              <w:bottom w:val="single" w:sz="4" w:space="0" w:color="auto"/>
            </w:tcBorders>
            <w:shd w:val="clear" w:color="auto" w:fill="auto"/>
          </w:tcPr>
          <w:p w:rsidR="00E25CC6" w:rsidRPr="00520DA1" w:rsidRDefault="00E25CC6" w:rsidP="009148AF">
            <w:pPr>
              <w:pStyle w:val="Tabletextnoindent"/>
            </w:pPr>
            <w:r w:rsidRPr="00520DA1">
              <w:t>Quality infrastructure drives economic activity in Victoria</w:t>
            </w:r>
          </w:p>
          <w:p w:rsidR="00E25CC6" w:rsidRPr="00520DA1" w:rsidRDefault="00E25CC6" w:rsidP="00534C00">
            <w:pPr>
              <w:pStyle w:val="Tabletextnoindent"/>
            </w:pPr>
            <w:r w:rsidRPr="00520DA1">
              <w:t>The development and effective use of technology supports productivity and competitiveness</w:t>
            </w:r>
          </w:p>
        </w:tc>
        <w:tc>
          <w:tcPr>
            <w:tcW w:w="2615" w:type="dxa"/>
            <w:tcBorders>
              <w:top w:val="single" w:sz="6" w:space="0" w:color="auto"/>
              <w:bottom w:val="single" w:sz="4" w:space="0" w:color="auto"/>
            </w:tcBorders>
            <w:shd w:val="clear" w:color="auto" w:fill="auto"/>
          </w:tcPr>
          <w:p w:rsidR="00E25CC6" w:rsidRPr="00520DA1" w:rsidRDefault="00E25CC6" w:rsidP="009148AF">
            <w:pPr>
              <w:pStyle w:val="Tabletextnoindent"/>
            </w:pPr>
            <w:r w:rsidRPr="00520DA1">
              <w:t>Infrastructure Victoria</w:t>
            </w:r>
          </w:p>
          <w:p w:rsidR="00E25CC6" w:rsidRPr="00520DA1" w:rsidRDefault="00E25CC6" w:rsidP="009148AF">
            <w:pPr>
              <w:pStyle w:val="Tabletextnoindent"/>
            </w:pPr>
            <w:r w:rsidRPr="00520DA1">
              <w:t>Public Sector ICT and Digital Government</w:t>
            </w:r>
          </w:p>
          <w:p w:rsidR="00E25CC6" w:rsidRPr="00520DA1" w:rsidRDefault="00E25CC6" w:rsidP="009148AF">
            <w:pPr>
              <w:pStyle w:val="Tabletextnoindent"/>
            </w:pPr>
            <w:r w:rsidRPr="00520DA1">
              <w:t>Office of the Victorian Government Architect</w:t>
            </w:r>
          </w:p>
        </w:tc>
      </w:tr>
      <w:tr w:rsidR="00E25CC6" w:rsidRPr="00520DA1" w:rsidTr="00520DA1">
        <w:trPr>
          <w:cantSplit/>
          <w:trHeight w:val="733"/>
        </w:trPr>
        <w:tc>
          <w:tcPr>
            <w:tcW w:w="2614" w:type="dxa"/>
            <w:tcBorders>
              <w:top w:val="single" w:sz="4" w:space="0" w:color="auto"/>
              <w:bottom w:val="single" w:sz="6" w:space="0" w:color="auto"/>
            </w:tcBorders>
            <w:shd w:val="clear" w:color="auto" w:fill="auto"/>
          </w:tcPr>
          <w:p w:rsidR="00E25CC6" w:rsidRPr="00520DA1" w:rsidRDefault="00E25CC6" w:rsidP="009148AF">
            <w:pPr>
              <w:pStyle w:val="Tabletextnoindent"/>
              <w:rPr>
                <w:b/>
              </w:rPr>
            </w:pPr>
            <w:r w:rsidRPr="00520DA1">
              <w:rPr>
                <w:b/>
              </w:rPr>
              <w:t>Engaged citizens</w:t>
            </w:r>
            <w:r>
              <w:rPr>
                <w:b/>
              </w:rPr>
              <w:t> </w:t>
            </w:r>
            <w:r w:rsidRPr="00520DA1">
              <w:rPr>
                <w:b/>
                <w:szCs w:val="16"/>
                <w:vertAlign w:val="superscript"/>
              </w:rPr>
              <w:t>(c)</w:t>
            </w:r>
          </w:p>
          <w:p w:rsidR="00E25CC6" w:rsidRPr="00520DA1" w:rsidRDefault="00E25CC6" w:rsidP="009148AF">
            <w:pPr>
              <w:pStyle w:val="Tabletextnoindent"/>
            </w:pPr>
            <w:r w:rsidRPr="00520DA1">
              <w:t>Support and promote full participation in strong and vibrant communities</w:t>
            </w:r>
          </w:p>
          <w:p w:rsidR="00E25CC6" w:rsidRPr="00520DA1" w:rsidRDefault="00E25CC6" w:rsidP="009148AF">
            <w:pPr>
              <w:pStyle w:val="Tabletextnoindent"/>
            </w:pPr>
            <w:r w:rsidRPr="00520DA1">
              <w:t>Empower citizens to participate in policy</w:t>
            </w:r>
            <w:r>
              <w:t xml:space="preserve"> </w:t>
            </w:r>
            <w:r w:rsidRPr="00520DA1">
              <w:t>making and service design</w:t>
            </w:r>
          </w:p>
          <w:p w:rsidR="00E25CC6" w:rsidRPr="00520DA1" w:rsidRDefault="00E25CC6" w:rsidP="00534C00">
            <w:pPr>
              <w:pStyle w:val="Tabletextnoindent"/>
            </w:pPr>
            <w:r w:rsidRPr="00520DA1">
              <w:t>Ensure a holistic approach to social policy and service delivery</w:t>
            </w:r>
          </w:p>
        </w:tc>
        <w:tc>
          <w:tcPr>
            <w:tcW w:w="2615" w:type="dxa"/>
            <w:tcBorders>
              <w:top w:val="single" w:sz="4" w:space="0" w:color="auto"/>
              <w:bottom w:val="single" w:sz="6" w:space="0" w:color="auto"/>
            </w:tcBorders>
            <w:shd w:val="clear" w:color="auto" w:fill="auto"/>
          </w:tcPr>
          <w:p w:rsidR="00E25CC6" w:rsidRPr="00C17937" w:rsidRDefault="00E25CC6" w:rsidP="00534C00">
            <w:pPr>
              <w:pStyle w:val="Tabletextnoindent"/>
            </w:pPr>
            <w:r w:rsidRPr="00C17937">
              <w:t>Increased opportunities for participation by members of the Victorian community in the social, cultural, economic and democratic life of Victoria</w:t>
            </w:r>
          </w:p>
        </w:tc>
        <w:tc>
          <w:tcPr>
            <w:tcW w:w="2615" w:type="dxa"/>
            <w:tcBorders>
              <w:top w:val="single" w:sz="4" w:space="0" w:color="auto"/>
              <w:bottom w:val="single" w:sz="6" w:space="0" w:color="auto"/>
            </w:tcBorders>
            <w:shd w:val="clear" w:color="auto" w:fill="auto"/>
          </w:tcPr>
          <w:p w:rsidR="00E25CC6" w:rsidRPr="00C17937" w:rsidRDefault="00E25CC6" w:rsidP="009148AF">
            <w:pPr>
              <w:pStyle w:val="Tabletextnoindent"/>
            </w:pPr>
            <w:r w:rsidRPr="00C17937">
              <w:t>Aboriginal Policy, Strengthening Aboriginal Cultural Heritage and Communities</w:t>
            </w:r>
          </w:p>
          <w:p w:rsidR="00E25CC6" w:rsidRPr="00C17937" w:rsidRDefault="00E25CC6" w:rsidP="009148AF">
            <w:pPr>
              <w:pStyle w:val="Tabletextnoindent"/>
            </w:pPr>
            <w:r w:rsidRPr="00C17937">
              <w:t>Multicultural Affairs Policy and Programs</w:t>
            </w:r>
          </w:p>
          <w:p w:rsidR="00E25CC6" w:rsidRPr="00C17937" w:rsidRDefault="00E25CC6" w:rsidP="009148AF">
            <w:pPr>
              <w:pStyle w:val="Tabletextnoindent"/>
            </w:pPr>
            <w:r w:rsidRPr="00C17937">
              <w:t>Support to Veterans in Victoria</w:t>
            </w:r>
          </w:p>
          <w:p w:rsidR="00E25CC6" w:rsidRPr="00C17937" w:rsidRDefault="00E25CC6" w:rsidP="00C472F2">
            <w:pPr>
              <w:pStyle w:val="Tabletextnoindent"/>
            </w:pPr>
            <w:r w:rsidRPr="00C17937">
              <w:t>Women, the Prevention of Family Violence and LGBTI Equality Policy and Programs</w:t>
            </w:r>
          </w:p>
        </w:tc>
      </w:tr>
      <w:tr w:rsidR="00E25CC6" w:rsidRPr="00520DA1" w:rsidTr="00520DA1">
        <w:trPr>
          <w:cantSplit/>
          <w:trHeight w:val="733"/>
        </w:trPr>
        <w:tc>
          <w:tcPr>
            <w:tcW w:w="2614" w:type="dxa"/>
            <w:tcBorders>
              <w:top w:val="single" w:sz="6" w:space="0" w:color="auto"/>
              <w:bottom w:val="single" w:sz="12" w:space="0" w:color="auto"/>
            </w:tcBorders>
            <w:shd w:val="clear" w:color="auto" w:fill="auto"/>
          </w:tcPr>
          <w:p w:rsidR="00E25CC6" w:rsidRPr="00520DA1" w:rsidRDefault="00E25CC6" w:rsidP="009148AF">
            <w:pPr>
              <w:pStyle w:val="Tabletextnoindent"/>
              <w:spacing w:before="30"/>
              <w:rPr>
                <w:b/>
              </w:rPr>
            </w:pPr>
            <w:r w:rsidRPr="00520DA1">
              <w:rPr>
                <w:b/>
              </w:rPr>
              <w:t>Professional public administration</w:t>
            </w:r>
            <w:r>
              <w:rPr>
                <w:b/>
              </w:rPr>
              <w:t> </w:t>
            </w:r>
            <w:r w:rsidRPr="00520DA1">
              <w:rPr>
                <w:b/>
                <w:szCs w:val="16"/>
                <w:vertAlign w:val="superscript"/>
              </w:rPr>
              <w:t>(d)</w:t>
            </w:r>
          </w:p>
          <w:p w:rsidR="00E25CC6" w:rsidRPr="00520DA1" w:rsidRDefault="00E25CC6" w:rsidP="009148AF">
            <w:pPr>
              <w:pStyle w:val="Tabletextnoindent"/>
            </w:pPr>
            <w:r w:rsidRPr="00520DA1">
              <w:t>Foster and promote a high</w:t>
            </w:r>
            <w:r>
              <w:noBreakHyphen/>
            </w:r>
            <w:r w:rsidRPr="00520DA1">
              <w:t>performing public service</w:t>
            </w:r>
          </w:p>
          <w:p w:rsidR="00E25CC6" w:rsidRPr="00520DA1" w:rsidRDefault="00E25CC6" w:rsidP="009148AF">
            <w:pPr>
              <w:pStyle w:val="Tabletextnoindent"/>
            </w:pPr>
            <w:r w:rsidRPr="00520DA1">
              <w:t>Ensure effective whole</w:t>
            </w:r>
            <w:r>
              <w:t xml:space="preserve"> </w:t>
            </w:r>
            <w:r w:rsidRPr="00520DA1">
              <w:t>of</w:t>
            </w:r>
            <w:r>
              <w:t xml:space="preserve"> </w:t>
            </w:r>
            <w:r w:rsidRPr="00520DA1">
              <w:t>government performance and outcomes</w:t>
            </w:r>
          </w:p>
          <w:p w:rsidR="00E25CC6" w:rsidRPr="00520DA1" w:rsidRDefault="00E25CC6" w:rsidP="00534C00">
            <w:pPr>
              <w:pStyle w:val="Tabletextnoindent"/>
            </w:pPr>
            <w:r w:rsidRPr="00520DA1">
              <w:t>Protect the values of good public governance, integrity and accountability in support of public trust</w:t>
            </w:r>
          </w:p>
        </w:tc>
        <w:tc>
          <w:tcPr>
            <w:tcW w:w="2615" w:type="dxa"/>
            <w:tcBorders>
              <w:top w:val="single" w:sz="6" w:space="0" w:color="auto"/>
              <w:bottom w:val="single" w:sz="12" w:space="0" w:color="auto"/>
            </w:tcBorders>
            <w:shd w:val="clear" w:color="auto" w:fill="auto"/>
          </w:tcPr>
          <w:p w:rsidR="00E25CC6" w:rsidRPr="00C17937" w:rsidRDefault="00E25CC6" w:rsidP="00534C00">
            <w:pPr>
              <w:pStyle w:val="Tabletextnoindent"/>
            </w:pPr>
            <w:r w:rsidRPr="00C17937">
              <w:t>A values</w:t>
            </w:r>
            <w:r w:rsidRPr="00C17937">
              <w:noBreakHyphen/>
              <w:t>driven, high</w:t>
            </w:r>
            <w:r w:rsidRPr="00C17937">
              <w:noBreakHyphen/>
              <w:t>integrity public service characterised by employees who collaborate across government and in partnership with the community and other sectors, and who use evidence to support decisions which drive the progress of Victoria socially and economically</w:t>
            </w:r>
          </w:p>
        </w:tc>
        <w:tc>
          <w:tcPr>
            <w:tcW w:w="2615" w:type="dxa"/>
            <w:tcBorders>
              <w:top w:val="single" w:sz="6" w:space="0" w:color="auto"/>
              <w:bottom w:val="single" w:sz="12" w:space="0" w:color="auto"/>
            </w:tcBorders>
            <w:shd w:val="clear" w:color="auto" w:fill="auto"/>
          </w:tcPr>
          <w:p w:rsidR="00E25CC6" w:rsidRPr="00C17937" w:rsidRDefault="00E25CC6" w:rsidP="009148AF">
            <w:pPr>
              <w:pStyle w:val="Tabletextnoindent"/>
            </w:pPr>
            <w:r w:rsidRPr="00C17937">
              <w:t>Advice and Support to the Governor</w:t>
            </w:r>
          </w:p>
          <w:p w:rsidR="00E25CC6" w:rsidRPr="00C17937" w:rsidRDefault="00E25CC6" w:rsidP="009148AF">
            <w:pPr>
              <w:pStyle w:val="Tabletextnoindent"/>
            </w:pPr>
            <w:r w:rsidRPr="00C17937">
              <w:t>Chief Parliamentary Counsel Services</w:t>
            </w:r>
          </w:p>
          <w:p w:rsidR="00E25CC6" w:rsidRPr="00C17937" w:rsidRDefault="00E25CC6" w:rsidP="009148AF">
            <w:pPr>
              <w:pStyle w:val="Tabletextnoindent"/>
            </w:pPr>
            <w:r w:rsidRPr="00C17937">
              <w:t>Management of Victoria</w:t>
            </w:r>
            <w:r>
              <w:t>’</w:t>
            </w:r>
            <w:r w:rsidRPr="00C17937">
              <w:t>s Public Records</w:t>
            </w:r>
          </w:p>
          <w:p w:rsidR="00E25CC6" w:rsidRPr="00C17937" w:rsidRDefault="00E25CC6" w:rsidP="009148AF">
            <w:pPr>
              <w:pStyle w:val="Tabletextnoindent"/>
            </w:pPr>
            <w:r w:rsidRPr="00C17937">
              <w:t>Public Administration Advice and Support</w:t>
            </w:r>
          </w:p>
          <w:p w:rsidR="00E25CC6" w:rsidRPr="00C17937" w:rsidRDefault="00E25CC6" w:rsidP="009148AF">
            <w:pPr>
              <w:pStyle w:val="Tabletextnoindent"/>
            </w:pPr>
            <w:r w:rsidRPr="00C17937">
              <w:t>Public Sector Integrity</w:t>
            </w:r>
          </w:p>
          <w:p w:rsidR="00E25CC6" w:rsidRPr="00C17937" w:rsidRDefault="00E25CC6" w:rsidP="009148AF">
            <w:pPr>
              <w:pStyle w:val="Tabletextnoindent"/>
            </w:pPr>
            <w:r w:rsidRPr="00C17937">
              <w:t>State Electoral Roll and Electoral Events</w:t>
            </w:r>
          </w:p>
        </w:tc>
      </w:tr>
    </w:tbl>
    <w:p w:rsidR="00E25CC6" w:rsidRPr="00520DA1" w:rsidRDefault="00E25CC6" w:rsidP="00520DA1">
      <w:pPr>
        <w:pStyle w:val="Source"/>
        <w:rPr>
          <w:rFonts w:eastAsiaTheme="minorHAnsi"/>
        </w:rPr>
      </w:pPr>
      <w:r w:rsidRPr="00520DA1">
        <w:rPr>
          <w:rFonts w:eastAsiaTheme="minorHAnsi"/>
        </w:rPr>
        <w:t>Source: Department of Premier and Cabinet</w:t>
      </w:r>
    </w:p>
    <w:p w:rsidR="00E25CC6" w:rsidRPr="00520DA1" w:rsidRDefault="00E25CC6" w:rsidP="00520DA1">
      <w:pPr>
        <w:pStyle w:val="Notes"/>
        <w:rPr>
          <w:rFonts w:eastAsiaTheme="minorHAnsi"/>
        </w:rPr>
      </w:pPr>
      <w:r w:rsidRPr="00520DA1">
        <w:rPr>
          <w:rFonts w:eastAsiaTheme="minorHAnsi"/>
        </w:rPr>
        <w:t>Notes:</w:t>
      </w:r>
    </w:p>
    <w:p w:rsidR="00E25CC6" w:rsidRPr="00520DA1" w:rsidRDefault="00E25CC6" w:rsidP="00520DA1">
      <w:pPr>
        <w:pStyle w:val="Notes"/>
        <w:rPr>
          <w:rFonts w:eastAsiaTheme="minorHAnsi"/>
        </w:rPr>
      </w:pPr>
      <w:r w:rsidRPr="00520DA1">
        <w:rPr>
          <w:rFonts w:eastAsiaTheme="minorHAnsi"/>
        </w:rPr>
        <w:t>(a)</w:t>
      </w:r>
      <w:r w:rsidRPr="00520DA1">
        <w:rPr>
          <w:rFonts w:eastAsiaTheme="minorHAnsi"/>
        </w:rPr>
        <w:tab/>
        <w:t>This departmental objective renames the 2015</w:t>
      </w:r>
      <w:r>
        <w:rPr>
          <w:rFonts w:eastAsiaTheme="minorHAnsi"/>
        </w:rPr>
        <w:noBreakHyphen/>
      </w:r>
      <w:r w:rsidRPr="00520DA1">
        <w:rPr>
          <w:rFonts w:eastAsiaTheme="minorHAnsi"/>
        </w:rPr>
        <w:t xml:space="preserve">16 departmental objective </w:t>
      </w:r>
      <w:r>
        <w:rPr>
          <w:rFonts w:eastAsiaTheme="minorHAnsi"/>
        </w:rPr>
        <w:t>‘</w:t>
      </w:r>
      <w:r w:rsidRPr="00520DA1">
        <w:rPr>
          <w:rFonts w:eastAsiaTheme="minorHAnsi"/>
        </w:rPr>
        <w:t>Strengthen public policy outcomes and high</w:t>
      </w:r>
      <w:r>
        <w:rPr>
          <w:rFonts w:eastAsiaTheme="minorHAnsi"/>
        </w:rPr>
        <w:noBreakHyphen/>
      </w:r>
      <w:r w:rsidRPr="00520DA1">
        <w:rPr>
          <w:rFonts w:eastAsiaTheme="minorHAnsi"/>
        </w:rPr>
        <w:t>quality government decision</w:t>
      </w:r>
      <w:r>
        <w:rPr>
          <w:rFonts w:eastAsiaTheme="minorHAnsi"/>
        </w:rPr>
        <w:noBreakHyphen/>
      </w:r>
      <w:r w:rsidRPr="00520DA1">
        <w:rPr>
          <w:rFonts w:eastAsiaTheme="minorHAnsi"/>
        </w:rPr>
        <w:t>making</w:t>
      </w:r>
      <w:r>
        <w:rPr>
          <w:rFonts w:eastAsiaTheme="minorHAnsi"/>
        </w:rPr>
        <w:t>’</w:t>
      </w:r>
      <w:r w:rsidRPr="00520DA1">
        <w:rPr>
          <w:rFonts w:eastAsiaTheme="minorHAnsi"/>
        </w:rPr>
        <w:t>. It has been amended to be more concise, clearer and easier to understand. The new objectives reports on the previous activities.</w:t>
      </w:r>
    </w:p>
    <w:p w:rsidR="00E25CC6" w:rsidRPr="00520DA1" w:rsidRDefault="00E25CC6" w:rsidP="00520DA1">
      <w:pPr>
        <w:pStyle w:val="Notes"/>
        <w:rPr>
          <w:rFonts w:eastAsiaTheme="minorHAnsi"/>
        </w:rPr>
      </w:pPr>
      <w:r w:rsidRPr="00520DA1">
        <w:rPr>
          <w:rFonts w:eastAsiaTheme="minorHAnsi"/>
        </w:rPr>
        <w:t>(b)</w:t>
      </w:r>
      <w:r w:rsidRPr="00520DA1">
        <w:rPr>
          <w:rFonts w:eastAsiaTheme="minorHAnsi"/>
        </w:rPr>
        <w:tab/>
        <w:t>This departmental objective renames the 2015</w:t>
      </w:r>
      <w:r>
        <w:rPr>
          <w:rFonts w:eastAsiaTheme="minorHAnsi"/>
        </w:rPr>
        <w:noBreakHyphen/>
      </w:r>
      <w:r w:rsidRPr="00520DA1">
        <w:rPr>
          <w:rFonts w:eastAsiaTheme="minorHAnsi"/>
        </w:rPr>
        <w:t xml:space="preserve">16 departmental objective </w:t>
      </w:r>
      <w:r>
        <w:rPr>
          <w:rFonts w:eastAsiaTheme="minorHAnsi"/>
        </w:rPr>
        <w:t>‘</w:t>
      </w:r>
      <w:r w:rsidRPr="00520DA1">
        <w:rPr>
          <w:rFonts w:eastAsiaTheme="minorHAnsi"/>
        </w:rPr>
        <w:t>Increase Victoria</w:t>
      </w:r>
      <w:r>
        <w:rPr>
          <w:rFonts w:eastAsiaTheme="minorHAnsi"/>
        </w:rPr>
        <w:t>’</w:t>
      </w:r>
      <w:r w:rsidRPr="00520DA1">
        <w:rPr>
          <w:rFonts w:eastAsiaTheme="minorHAnsi"/>
        </w:rPr>
        <w:t>s competitiveness and productivity</w:t>
      </w:r>
      <w:r>
        <w:rPr>
          <w:rFonts w:eastAsiaTheme="minorHAnsi"/>
        </w:rPr>
        <w:t>’</w:t>
      </w:r>
      <w:r w:rsidRPr="00520DA1">
        <w:rPr>
          <w:rFonts w:eastAsiaTheme="minorHAnsi"/>
        </w:rPr>
        <w:t>. It has been amended to be more concise, clearer and easier to understand. The new objectives reports on the previous activities.</w:t>
      </w:r>
    </w:p>
    <w:p w:rsidR="00E25CC6" w:rsidRPr="00520DA1" w:rsidRDefault="00E25CC6" w:rsidP="00520DA1">
      <w:pPr>
        <w:pStyle w:val="Notes"/>
        <w:rPr>
          <w:rFonts w:eastAsiaTheme="minorHAnsi"/>
        </w:rPr>
      </w:pPr>
      <w:r w:rsidRPr="00520DA1">
        <w:rPr>
          <w:rFonts w:eastAsiaTheme="minorHAnsi"/>
        </w:rPr>
        <w:t>(c)</w:t>
      </w:r>
      <w:r w:rsidRPr="00520DA1">
        <w:rPr>
          <w:rFonts w:eastAsiaTheme="minorHAnsi"/>
        </w:rPr>
        <w:tab/>
        <w:t>This departmental objective renames the 2015</w:t>
      </w:r>
      <w:r>
        <w:rPr>
          <w:rFonts w:eastAsiaTheme="minorHAnsi"/>
        </w:rPr>
        <w:noBreakHyphen/>
      </w:r>
      <w:r w:rsidRPr="00520DA1">
        <w:rPr>
          <w:rFonts w:eastAsiaTheme="minorHAnsi"/>
        </w:rPr>
        <w:t xml:space="preserve">16 departmental objective </w:t>
      </w:r>
      <w:r>
        <w:rPr>
          <w:rFonts w:eastAsiaTheme="minorHAnsi"/>
        </w:rPr>
        <w:t>‘</w:t>
      </w:r>
      <w:r w:rsidRPr="00520DA1">
        <w:rPr>
          <w:rFonts w:eastAsiaTheme="minorHAnsi"/>
        </w:rPr>
        <w:t>Promote and strengthen active citizenship</w:t>
      </w:r>
      <w:r>
        <w:rPr>
          <w:rFonts w:eastAsiaTheme="minorHAnsi"/>
        </w:rPr>
        <w:t>’</w:t>
      </w:r>
      <w:r w:rsidRPr="00520DA1">
        <w:rPr>
          <w:rFonts w:eastAsiaTheme="minorHAnsi"/>
        </w:rPr>
        <w:t>. It has been amended to be more concise, clearer and easier to understand. The new objectives reports on the previous activities.</w:t>
      </w:r>
    </w:p>
    <w:p w:rsidR="00E25CC6" w:rsidRDefault="00E25CC6" w:rsidP="00520DA1">
      <w:pPr>
        <w:pStyle w:val="Notes"/>
        <w:rPr>
          <w:rFonts w:eastAsiaTheme="minorHAnsi"/>
        </w:rPr>
      </w:pPr>
      <w:r w:rsidRPr="00520DA1">
        <w:rPr>
          <w:rFonts w:eastAsiaTheme="minorHAnsi"/>
        </w:rPr>
        <w:t>(d)</w:t>
      </w:r>
      <w:r w:rsidRPr="00520DA1">
        <w:rPr>
          <w:rFonts w:eastAsiaTheme="minorHAnsi"/>
        </w:rPr>
        <w:tab/>
        <w:t>This departmental objective renames the 2015</w:t>
      </w:r>
      <w:r>
        <w:rPr>
          <w:rFonts w:eastAsiaTheme="minorHAnsi"/>
        </w:rPr>
        <w:noBreakHyphen/>
      </w:r>
      <w:r w:rsidRPr="00520DA1">
        <w:rPr>
          <w:rFonts w:eastAsiaTheme="minorHAnsi"/>
        </w:rPr>
        <w:t xml:space="preserve">16 departmental objective </w:t>
      </w:r>
      <w:r>
        <w:rPr>
          <w:rFonts w:eastAsiaTheme="minorHAnsi"/>
        </w:rPr>
        <w:t>‘</w:t>
      </w:r>
      <w:r w:rsidRPr="00520DA1">
        <w:rPr>
          <w:rFonts w:eastAsiaTheme="minorHAnsi"/>
        </w:rPr>
        <w:t>Ensure an innovative, accountable and professional public administration</w:t>
      </w:r>
      <w:r>
        <w:rPr>
          <w:rFonts w:eastAsiaTheme="minorHAnsi"/>
        </w:rPr>
        <w:t>’</w:t>
      </w:r>
      <w:r w:rsidRPr="00520DA1">
        <w:rPr>
          <w:rFonts w:eastAsiaTheme="minorHAnsi"/>
        </w:rPr>
        <w:t>. It has been amended to be more concise, clearer and easier to understand. The new objectives reports on the previous activities.</w:t>
      </w: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503FD0">
      <w:pPr>
        <w:pStyle w:val="Heading2"/>
        <w:rPr>
          <w:rFonts w:eastAsiaTheme="minorHAnsi"/>
        </w:rPr>
      </w:pPr>
      <w:r>
        <w:rPr>
          <w:rFonts w:eastAsiaTheme="minorHAnsi"/>
        </w:rPr>
        <w:t>Changes to the output structure</w:t>
      </w:r>
    </w:p>
    <w:p w:rsidR="00E25CC6" w:rsidRDefault="00E25CC6" w:rsidP="00520DA1">
      <w:r w:rsidRPr="00B954C8">
        <w:t>The Department has made changes to its output structure for 201</w:t>
      </w:r>
      <w:r>
        <w:t>6</w:t>
      </w:r>
      <w:r>
        <w:noBreakHyphen/>
      </w:r>
      <w:r w:rsidRPr="00B954C8">
        <w:t>1</w:t>
      </w:r>
      <w:r>
        <w:t>7</w:t>
      </w:r>
      <w:r w:rsidRPr="00B954C8">
        <w:t xml:space="preserve"> as shown in the table below:</w:t>
      </w:r>
    </w:p>
    <w:tbl>
      <w:tblPr>
        <w:tblW w:w="7664" w:type="dxa"/>
        <w:tblInd w:w="29" w:type="dxa"/>
        <w:tblBorders>
          <w:bottom w:val="single" w:sz="12" w:space="0" w:color="auto"/>
        </w:tblBorders>
        <w:tblLayout w:type="fixed"/>
        <w:tblCellMar>
          <w:left w:w="43" w:type="dxa"/>
          <w:right w:w="43" w:type="dxa"/>
        </w:tblCellMar>
        <w:tblLook w:val="04A0" w:firstRow="1" w:lastRow="0" w:firstColumn="1" w:lastColumn="0" w:noHBand="0" w:noVBand="1"/>
      </w:tblPr>
      <w:tblGrid>
        <w:gridCol w:w="2554"/>
        <w:gridCol w:w="2555"/>
        <w:gridCol w:w="2555"/>
      </w:tblGrid>
      <w:tr w:rsidR="00E25CC6" w:rsidTr="009148AF">
        <w:trPr>
          <w:cantSplit/>
          <w:tblHeader/>
        </w:trPr>
        <w:tc>
          <w:tcPr>
            <w:tcW w:w="2554" w:type="dxa"/>
            <w:tcBorders>
              <w:bottom w:val="nil"/>
            </w:tcBorders>
            <w:shd w:val="clear" w:color="auto" w:fill="000000"/>
          </w:tcPr>
          <w:p w:rsidR="00E25CC6" w:rsidRDefault="00E25CC6" w:rsidP="009148AF">
            <w:pPr>
              <w:pStyle w:val="TabletextheadingLeft0"/>
              <w:keepNext/>
            </w:pPr>
            <w:r>
              <w:t>2015</w:t>
            </w:r>
            <w:r>
              <w:noBreakHyphen/>
              <w:t>16 outputs</w:t>
            </w:r>
          </w:p>
        </w:tc>
        <w:tc>
          <w:tcPr>
            <w:tcW w:w="2555" w:type="dxa"/>
            <w:tcBorders>
              <w:bottom w:val="nil"/>
            </w:tcBorders>
            <w:shd w:val="clear" w:color="auto" w:fill="000000"/>
          </w:tcPr>
          <w:p w:rsidR="00E25CC6" w:rsidRDefault="00E25CC6" w:rsidP="009148AF">
            <w:pPr>
              <w:pStyle w:val="TabletextheadingLeft0"/>
              <w:keepNext/>
            </w:pPr>
            <w:r>
              <w:t>Reason</w:t>
            </w:r>
          </w:p>
        </w:tc>
        <w:tc>
          <w:tcPr>
            <w:tcW w:w="2555" w:type="dxa"/>
            <w:tcBorders>
              <w:bottom w:val="nil"/>
            </w:tcBorders>
            <w:shd w:val="clear" w:color="auto" w:fill="000000"/>
          </w:tcPr>
          <w:p w:rsidR="00E25CC6" w:rsidRDefault="00E25CC6" w:rsidP="009148AF">
            <w:pPr>
              <w:pStyle w:val="TabletextheadingLeft0"/>
              <w:keepNext/>
            </w:pPr>
            <w:r w:rsidRPr="002B7D48">
              <w:rPr>
                <w:color w:val="FFFFFF" w:themeColor="background1"/>
              </w:rPr>
              <w:t>201</w:t>
            </w:r>
            <w:r>
              <w:rPr>
                <w:color w:val="FFFFFF" w:themeColor="background1"/>
              </w:rPr>
              <w:t>6</w:t>
            </w:r>
            <w:r>
              <w:rPr>
                <w:color w:val="FFFFFF" w:themeColor="background1"/>
              </w:rPr>
              <w:noBreakHyphen/>
            </w:r>
            <w:r w:rsidRPr="002B7D48">
              <w:rPr>
                <w:color w:val="FFFFFF" w:themeColor="background1"/>
              </w:rPr>
              <w:t>1</w:t>
            </w:r>
            <w:r>
              <w:rPr>
                <w:color w:val="FFFFFF" w:themeColor="background1"/>
              </w:rPr>
              <w:t>7</w:t>
            </w:r>
            <w:r w:rsidRPr="002B7D48">
              <w:rPr>
                <w:color w:val="FFFFFF" w:themeColor="background1"/>
              </w:rPr>
              <w:t xml:space="preserve"> outputs</w:t>
            </w:r>
          </w:p>
        </w:tc>
      </w:tr>
      <w:tr w:rsidR="00E25CC6" w:rsidRPr="00600AA8" w:rsidTr="00520DA1">
        <w:trPr>
          <w:cantSplit/>
        </w:trPr>
        <w:tc>
          <w:tcPr>
            <w:tcW w:w="2554" w:type="dxa"/>
            <w:tcBorders>
              <w:top w:val="nil"/>
              <w:bottom w:val="single" w:sz="4" w:space="0" w:color="auto"/>
            </w:tcBorders>
            <w:shd w:val="clear" w:color="auto" w:fill="auto"/>
          </w:tcPr>
          <w:p w:rsidR="00E25CC6" w:rsidRPr="00600AA8" w:rsidRDefault="00E25CC6" w:rsidP="009148AF">
            <w:pPr>
              <w:pStyle w:val="Tabletextnoindent"/>
            </w:pPr>
            <w:r w:rsidRPr="00600AA8">
              <w:t>Business Environment Policy Advice</w:t>
            </w:r>
          </w:p>
        </w:tc>
        <w:tc>
          <w:tcPr>
            <w:tcW w:w="2555" w:type="dxa"/>
            <w:tcBorders>
              <w:top w:val="nil"/>
              <w:bottom w:val="single" w:sz="4" w:space="0" w:color="auto"/>
            </w:tcBorders>
            <w:shd w:val="clear" w:color="auto" w:fill="auto"/>
          </w:tcPr>
          <w:p w:rsidR="00E25CC6" w:rsidRPr="00600AA8" w:rsidRDefault="00E25CC6" w:rsidP="00534C00">
            <w:pPr>
              <w:pStyle w:val="Tabletextnoindent"/>
            </w:pPr>
            <w:r w:rsidRPr="00600AA8">
              <w:t>This output has been transferred to the Department of Treasury and Finance and re</w:t>
            </w:r>
            <w:r>
              <w:noBreakHyphen/>
            </w:r>
            <w:r w:rsidRPr="00600AA8">
              <w:t xml:space="preserve">configured to the new </w:t>
            </w:r>
            <w:r>
              <w:t>O</w:t>
            </w:r>
            <w:r w:rsidRPr="00600AA8">
              <w:t>ffice of the Commissioner for Better Regulation</w:t>
            </w:r>
          </w:p>
        </w:tc>
        <w:tc>
          <w:tcPr>
            <w:tcW w:w="2555" w:type="dxa"/>
            <w:tcBorders>
              <w:top w:val="nil"/>
              <w:bottom w:val="single" w:sz="4" w:space="0" w:color="auto"/>
            </w:tcBorders>
            <w:shd w:val="clear" w:color="auto" w:fill="auto"/>
          </w:tcPr>
          <w:p w:rsidR="00E25CC6" w:rsidRPr="00600AA8" w:rsidRDefault="00E25CC6" w:rsidP="009148AF">
            <w:pPr>
              <w:pStyle w:val="Tabletextnoindent"/>
              <w:rPr>
                <w:highlight w:val="yellow"/>
              </w:rPr>
            </w:pPr>
            <w:r>
              <w:t>n</w:t>
            </w:r>
            <w:r w:rsidRPr="00600AA8">
              <w:t>a</w:t>
            </w:r>
          </w:p>
        </w:tc>
      </w:tr>
      <w:tr w:rsidR="00E25CC6" w:rsidRPr="00600AA8" w:rsidTr="000B7441">
        <w:trPr>
          <w:cantSplit/>
        </w:trPr>
        <w:tc>
          <w:tcPr>
            <w:tcW w:w="2554" w:type="dxa"/>
            <w:tcBorders>
              <w:top w:val="single" w:sz="4" w:space="0" w:color="auto"/>
              <w:bottom w:val="single" w:sz="4" w:space="0" w:color="auto"/>
            </w:tcBorders>
            <w:shd w:val="clear" w:color="auto" w:fill="auto"/>
          </w:tcPr>
          <w:p w:rsidR="00E25CC6" w:rsidRPr="00600AA8" w:rsidRDefault="00E25CC6" w:rsidP="00E47424">
            <w:pPr>
              <w:pStyle w:val="Tabletextnoindent"/>
            </w:pPr>
            <w:r>
              <w:t>na</w:t>
            </w:r>
          </w:p>
        </w:tc>
        <w:tc>
          <w:tcPr>
            <w:tcW w:w="2555" w:type="dxa"/>
            <w:tcBorders>
              <w:top w:val="single" w:sz="4" w:space="0" w:color="auto"/>
              <w:bottom w:val="single" w:sz="4" w:space="0" w:color="auto"/>
            </w:tcBorders>
            <w:shd w:val="clear" w:color="auto" w:fill="auto"/>
          </w:tcPr>
          <w:p w:rsidR="00E25CC6" w:rsidRPr="00600AA8" w:rsidRDefault="00E25CC6" w:rsidP="00534C00">
            <w:pPr>
              <w:pStyle w:val="Tabletextnoindent"/>
            </w:pPr>
            <w:r>
              <w:t>This output has been transferred from the Department of Environment, Land, Water and Planning as a result of machinery of government changes</w:t>
            </w:r>
          </w:p>
        </w:tc>
        <w:tc>
          <w:tcPr>
            <w:tcW w:w="2555" w:type="dxa"/>
            <w:tcBorders>
              <w:top w:val="single" w:sz="4" w:space="0" w:color="auto"/>
              <w:bottom w:val="single" w:sz="4" w:space="0" w:color="auto"/>
            </w:tcBorders>
            <w:shd w:val="clear" w:color="auto" w:fill="auto"/>
          </w:tcPr>
          <w:p w:rsidR="00E25CC6" w:rsidRPr="00600AA8" w:rsidRDefault="00E25CC6" w:rsidP="009148AF">
            <w:pPr>
              <w:pStyle w:val="Tabletextnoindent"/>
            </w:pPr>
            <w:r>
              <w:t>Office of Victorian Government Architect</w:t>
            </w:r>
          </w:p>
        </w:tc>
      </w:tr>
      <w:tr w:rsidR="00E25CC6" w:rsidRPr="00C17937" w:rsidTr="00520DA1">
        <w:trPr>
          <w:cantSplit/>
        </w:trPr>
        <w:tc>
          <w:tcPr>
            <w:tcW w:w="2554" w:type="dxa"/>
            <w:tcBorders>
              <w:top w:val="single" w:sz="4" w:space="0" w:color="auto"/>
              <w:bottom w:val="single" w:sz="12" w:space="0" w:color="auto"/>
            </w:tcBorders>
            <w:shd w:val="clear" w:color="auto" w:fill="auto"/>
          </w:tcPr>
          <w:p w:rsidR="00E25CC6" w:rsidRPr="00C17937" w:rsidRDefault="00E25CC6" w:rsidP="00E47424">
            <w:pPr>
              <w:pStyle w:val="Tabletextnoindent"/>
            </w:pPr>
            <w:r w:rsidRPr="00C17937">
              <w:t>Women and Equality Policy and Programs</w:t>
            </w:r>
          </w:p>
        </w:tc>
        <w:tc>
          <w:tcPr>
            <w:tcW w:w="2555" w:type="dxa"/>
            <w:tcBorders>
              <w:top w:val="single" w:sz="4" w:space="0" w:color="auto"/>
              <w:bottom w:val="single" w:sz="12" w:space="0" w:color="auto"/>
            </w:tcBorders>
            <w:shd w:val="clear" w:color="auto" w:fill="auto"/>
          </w:tcPr>
          <w:p w:rsidR="00E25CC6" w:rsidRPr="00C17937" w:rsidRDefault="00E25CC6" w:rsidP="00534C00">
            <w:pPr>
              <w:pStyle w:val="Tabletextnoindent"/>
            </w:pPr>
            <w:r w:rsidRPr="00C17937">
              <w:t>This output has been renamed to improve clarity</w:t>
            </w:r>
          </w:p>
        </w:tc>
        <w:tc>
          <w:tcPr>
            <w:tcW w:w="2555" w:type="dxa"/>
            <w:tcBorders>
              <w:top w:val="single" w:sz="4" w:space="0" w:color="auto"/>
              <w:bottom w:val="single" w:sz="12" w:space="0" w:color="auto"/>
            </w:tcBorders>
            <w:shd w:val="clear" w:color="auto" w:fill="auto"/>
          </w:tcPr>
          <w:p w:rsidR="00E25CC6" w:rsidRPr="00C17937" w:rsidRDefault="00E25CC6" w:rsidP="009148AF">
            <w:pPr>
              <w:pStyle w:val="Tabletextnoindent"/>
            </w:pPr>
            <w:r w:rsidRPr="00C17937">
              <w:t>Women, th</w:t>
            </w:r>
            <w:r>
              <w:t>e Prevention of Family Violence</w:t>
            </w:r>
            <w:r w:rsidRPr="00C17937">
              <w:t xml:space="preserve"> and LGBTI Equality Policy and Programs</w:t>
            </w:r>
          </w:p>
        </w:tc>
      </w:tr>
    </w:tbl>
    <w:p w:rsidR="00E25CC6" w:rsidRPr="00C17937" w:rsidRDefault="00E25CC6" w:rsidP="002B38F1">
      <w:pPr>
        <w:pStyle w:val="Source"/>
        <w:rPr>
          <w:rFonts w:eastAsiaTheme="minorHAnsi"/>
        </w:rPr>
      </w:pPr>
      <w:r w:rsidRPr="00C17937">
        <w:rPr>
          <w:rFonts w:eastAsiaTheme="minorHAnsi"/>
        </w:rPr>
        <w:t>Source: Department of Premier and Cabinet</w:t>
      </w:r>
      <w:r>
        <w:rPr>
          <w:rFonts w:eastAsiaTheme="minorHAnsi"/>
        </w:rPr>
        <w:t xml:space="preserve"> </w:t>
      </w:r>
      <w:r>
        <w:rPr>
          <w:rFonts w:eastAsiaTheme="minorEastAsia"/>
          <w:lang w:eastAsia="en-AU"/>
        </w:rPr>
        <w:fldChar w:fldCharType="begin"/>
      </w:r>
      <w:r>
        <w:instrText xml:space="preserve"> XE "</w:instrText>
      </w:r>
      <w:r w:rsidRPr="002C17F5">
        <w:instrText>Women</w:instrText>
      </w:r>
      <w:r>
        <w:instrText xml:space="preserve"> and Equality Programs" </w:instrText>
      </w:r>
      <w:r>
        <w:rPr>
          <w:rFonts w:eastAsiaTheme="minorEastAsia"/>
          <w:lang w:eastAsia="en-AU"/>
        </w:rPr>
        <w:fldChar w:fldCharType="end"/>
      </w:r>
    </w:p>
    <w:p w:rsidR="00E25CC6" w:rsidRPr="00C17937" w:rsidRDefault="00E25CC6" w:rsidP="002B38F1">
      <w:pPr>
        <w:pStyle w:val="Source"/>
        <w:rPr>
          <w:rFonts w:eastAsiaTheme="minorHAnsi"/>
        </w:rPr>
      </w:pPr>
    </w:p>
    <w:p w:rsidR="00E25CC6" w:rsidRPr="00C17937" w:rsidRDefault="00E25CC6" w:rsidP="00520DA1">
      <w:r w:rsidRPr="00C17937">
        <w:t>The following table summarises the Department</w:t>
      </w:r>
      <w:r>
        <w:t>’</w:t>
      </w:r>
      <w:r w:rsidRPr="00C17937">
        <w:t>s total output cost.</w:t>
      </w:r>
    </w:p>
    <w:p w:rsidR="00E25CC6" w:rsidRPr="00C17937" w:rsidRDefault="00E25CC6" w:rsidP="00520DA1">
      <w:pPr>
        <w:pStyle w:val="Tableheading"/>
        <w:rPr>
          <w:rFonts w:eastAsiaTheme="minorHAnsi"/>
        </w:rPr>
      </w:pPr>
      <w:r w:rsidRPr="00C17937">
        <w:rPr>
          <w:rFonts w:eastAsiaTheme="minorHAnsi"/>
        </w:rPr>
        <w:t>Table 2.17:</w:t>
      </w:r>
      <w:r w:rsidRPr="00C17937">
        <w:rPr>
          <w:rFonts w:eastAsiaTheme="minorHAnsi"/>
        </w:rPr>
        <w:tab/>
        <w:t>Output summary</w:t>
      </w:r>
    </w:p>
    <w:p w:rsidR="00E25CC6" w:rsidRPr="00C17937" w:rsidRDefault="00E25CC6" w:rsidP="00520DA1">
      <w:pPr>
        <w:pStyle w:val="million"/>
        <w:rPr>
          <w:rFonts w:ascii="Times New Roman" w:hAnsi="Times New Roman"/>
          <w:sz w:val="20"/>
          <w:lang w:eastAsia="en-AU"/>
        </w:rPr>
      </w:pPr>
      <w:r w:rsidRPr="00C17937">
        <w:t>($ million)</w:t>
      </w:r>
    </w:p>
    <w:tbl>
      <w:tblPr>
        <w:tblW w:w="7776" w:type="dxa"/>
        <w:tblInd w:w="29" w:type="dxa"/>
        <w:tblLayout w:type="fixed"/>
        <w:tblCellMar>
          <w:left w:w="43" w:type="dxa"/>
          <w:right w:w="43" w:type="dxa"/>
        </w:tblCellMar>
        <w:tblLook w:val="0000" w:firstRow="0" w:lastRow="0" w:firstColumn="0" w:lastColumn="0" w:noHBand="0" w:noVBand="0"/>
      </w:tblPr>
      <w:tblGrid>
        <w:gridCol w:w="3570"/>
        <w:gridCol w:w="1051"/>
        <w:gridCol w:w="1052"/>
        <w:gridCol w:w="1051"/>
        <w:gridCol w:w="1052"/>
      </w:tblGrid>
      <w:tr w:rsidR="00E25CC6" w:rsidRPr="00C17937" w:rsidTr="0026552D">
        <w:trPr>
          <w:cantSplit/>
        </w:trPr>
        <w:tc>
          <w:tcPr>
            <w:tcW w:w="3570" w:type="dxa"/>
            <w:tcBorders>
              <w:top w:val="single" w:sz="4" w:space="0" w:color="auto"/>
              <w:left w:val="single" w:sz="4" w:space="0" w:color="auto"/>
              <w:bottom w:val="nil"/>
              <w:right w:val="nil"/>
            </w:tcBorders>
            <w:shd w:val="clear" w:color="auto" w:fill="000000"/>
          </w:tcPr>
          <w:p w:rsidR="00E25CC6" w:rsidRPr="00C17937" w:rsidRDefault="00E25CC6" w:rsidP="009148AF">
            <w:pPr>
              <w:pStyle w:val="Tabletext"/>
              <w:rPr>
                <w:rFonts w:eastAsiaTheme="minorEastAsia"/>
                <w:lang w:eastAsia="en-AU"/>
              </w:rPr>
            </w:pPr>
            <w:r w:rsidRPr="00C17937">
              <w:rPr>
                <w:rFonts w:eastAsiaTheme="minorEastAsia"/>
                <w:lang w:eastAsia="en-AU"/>
              </w:rPr>
              <w:t xml:space="preserve"> </w:t>
            </w:r>
          </w:p>
        </w:tc>
        <w:tc>
          <w:tcPr>
            <w:tcW w:w="1051" w:type="dxa"/>
            <w:tcBorders>
              <w:top w:val="single" w:sz="4" w:space="0" w:color="auto"/>
              <w:left w:val="nil"/>
              <w:bottom w:val="nil"/>
              <w:right w:val="nil"/>
            </w:tcBorders>
            <w:shd w:val="clear" w:color="auto" w:fill="000000"/>
          </w:tcPr>
          <w:p w:rsidR="00E25CC6" w:rsidRPr="00C17937" w:rsidRDefault="00E25CC6" w:rsidP="009148AF">
            <w:pPr>
              <w:pStyle w:val="Tabletextheading"/>
              <w:rPr>
                <w:rFonts w:eastAsiaTheme="minorEastAsia"/>
                <w:lang w:eastAsia="en-AU"/>
              </w:rPr>
            </w:pPr>
            <w:r w:rsidRPr="00C17937">
              <w:rPr>
                <w:rFonts w:eastAsiaTheme="minorEastAsia"/>
                <w:lang w:eastAsia="en-AU"/>
              </w:rPr>
              <w:t>2015</w:t>
            </w:r>
            <w:r w:rsidRPr="00C17937">
              <w:rPr>
                <w:rFonts w:eastAsiaTheme="minorEastAsia"/>
                <w:lang w:eastAsia="en-AU"/>
              </w:rPr>
              <w:noBreakHyphen/>
              <w:t>16</w:t>
            </w:r>
          </w:p>
        </w:tc>
        <w:tc>
          <w:tcPr>
            <w:tcW w:w="1052" w:type="dxa"/>
            <w:tcBorders>
              <w:top w:val="single" w:sz="4" w:space="0" w:color="auto"/>
              <w:left w:val="nil"/>
              <w:bottom w:val="nil"/>
              <w:right w:val="nil"/>
            </w:tcBorders>
            <w:shd w:val="clear" w:color="auto" w:fill="000000"/>
          </w:tcPr>
          <w:p w:rsidR="00E25CC6" w:rsidRPr="00C17937" w:rsidRDefault="00E25CC6" w:rsidP="009148AF">
            <w:pPr>
              <w:pStyle w:val="Tabletextheading"/>
              <w:rPr>
                <w:rFonts w:eastAsiaTheme="minorEastAsia"/>
                <w:lang w:eastAsia="en-AU"/>
              </w:rPr>
            </w:pPr>
            <w:r w:rsidRPr="00C17937">
              <w:rPr>
                <w:rFonts w:eastAsiaTheme="minorEastAsia"/>
                <w:lang w:eastAsia="en-AU"/>
              </w:rPr>
              <w:t>2015</w:t>
            </w:r>
            <w:r w:rsidRPr="00C17937">
              <w:rPr>
                <w:rFonts w:eastAsiaTheme="minorEastAsia"/>
                <w:lang w:eastAsia="en-AU"/>
              </w:rPr>
              <w:noBreakHyphen/>
              <w:t>16</w:t>
            </w:r>
          </w:p>
        </w:tc>
        <w:tc>
          <w:tcPr>
            <w:tcW w:w="1051" w:type="dxa"/>
            <w:tcBorders>
              <w:top w:val="single" w:sz="4" w:space="0" w:color="auto"/>
              <w:left w:val="nil"/>
              <w:bottom w:val="nil"/>
              <w:right w:val="nil"/>
            </w:tcBorders>
            <w:shd w:val="clear" w:color="auto" w:fill="000000"/>
          </w:tcPr>
          <w:p w:rsidR="00E25CC6" w:rsidRPr="00C17937" w:rsidRDefault="00E25CC6" w:rsidP="009148AF">
            <w:pPr>
              <w:pStyle w:val="Tabletextheading"/>
              <w:rPr>
                <w:rFonts w:eastAsiaTheme="minorEastAsia"/>
                <w:lang w:eastAsia="en-AU"/>
              </w:rPr>
            </w:pPr>
            <w:r w:rsidRPr="00C17937">
              <w:rPr>
                <w:rFonts w:eastAsiaTheme="minorEastAsia"/>
                <w:lang w:eastAsia="en-AU"/>
              </w:rPr>
              <w:t>2016</w:t>
            </w:r>
            <w:r w:rsidRPr="00C17937">
              <w:rPr>
                <w:rFonts w:eastAsiaTheme="minorEastAsia"/>
                <w:lang w:eastAsia="en-AU"/>
              </w:rPr>
              <w:noBreakHyphen/>
              <w:t>17</w:t>
            </w:r>
          </w:p>
        </w:tc>
        <w:tc>
          <w:tcPr>
            <w:tcW w:w="1052" w:type="dxa"/>
            <w:tcBorders>
              <w:top w:val="single" w:sz="4" w:space="0" w:color="auto"/>
              <w:left w:val="nil"/>
              <w:bottom w:val="nil"/>
              <w:right w:val="single" w:sz="4" w:space="0" w:color="auto"/>
            </w:tcBorders>
            <w:shd w:val="clear" w:color="auto" w:fill="000000"/>
          </w:tcPr>
          <w:p w:rsidR="00E25CC6" w:rsidRPr="00C17937" w:rsidRDefault="00E25CC6" w:rsidP="009148AF">
            <w:pPr>
              <w:pStyle w:val="Tabletextheading"/>
              <w:rPr>
                <w:rFonts w:eastAsiaTheme="minorEastAsia"/>
                <w:vertAlign w:val="superscript"/>
                <w:lang w:eastAsia="en-AU"/>
              </w:rPr>
            </w:pPr>
            <w:r w:rsidRPr="00C17937">
              <w:rPr>
                <w:rFonts w:eastAsiaTheme="minorEastAsia"/>
                <w:lang w:eastAsia="en-AU"/>
              </w:rPr>
              <w:t>Variation</w:t>
            </w:r>
            <w:r>
              <w:rPr>
                <w:rFonts w:eastAsiaTheme="minorEastAsia"/>
                <w:lang w:eastAsia="en-AU"/>
              </w:rPr>
              <w:t xml:space="preserve"> </w:t>
            </w:r>
            <w:r w:rsidRPr="00C17937">
              <w:rPr>
                <w:rFonts w:eastAsiaTheme="minorEastAsia"/>
                <w:vertAlign w:val="superscript"/>
                <w:lang w:eastAsia="en-AU"/>
              </w:rPr>
              <w:t>(a)</w:t>
            </w:r>
          </w:p>
        </w:tc>
      </w:tr>
      <w:tr w:rsidR="00E25CC6" w:rsidRPr="00C17937" w:rsidTr="0026552D">
        <w:trPr>
          <w:cantSplit/>
        </w:trPr>
        <w:tc>
          <w:tcPr>
            <w:tcW w:w="3570" w:type="dxa"/>
            <w:tcBorders>
              <w:top w:val="nil"/>
              <w:left w:val="single" w:sz="4" w:space="0" w:color="auto"/>
              <w:right w:val="nil"/>
            </w:tcBorders>
            <w:shd w:val="clear" w:color="auto" w:fill="000000"/>
          </w:tcPr>
          <w:p w:rsidR="00E25CC6" w:rsidRPr="00C17937" w:rsidRDefault="00E25CC6" w:rsidP="009148AF">
            <w:pPr>
              <w:pStyle w:val="Tabletext"/>
              <w:rPr>
                <w:rFonts w:eastAsiaTheme="minorEastAsia"/>
                <w:lang w:eastAsia="en-AU"/>
              </w:rPr>
            </w:pPr>
            <w:r w:rsidRPr="00C17937">
              <w:rPr>
                <w:rFonts w:eastAsiaTheme="minorEastAsia"/>
                <w:lang w:eastAsia="en-AU"/>
              </w:rPr>
              <w:t xml:space="preserve"> </w:t>
            </w:r>
          </w:p>
        </w:tc>
        <w:tc>
          <w:tcPr>
            <w:tcW w:w="1051" w:type="dxa"/>
            <w:tcBorders>
              <w:top w:val="nil"/>
              <w:left w:val="nil"/>
              <w:right w:val="nil"/>
            </w:tcBorders>
            <w:shd w:val="clear" w:color="auto" w:fill="000000"/>
          </w:tcPr>
          <w:p w:rsidR="00E25CC6" w:rsidRPr="00C17937" w:rsidRDefault="00E25CC6" w:rsidP="009148AF">
            <w:pPr>
              <w:pStyle w:val="Tabletextheading"/>
              <w:rPr>
                <w:rFonts w:eastAsiaTheme="minorEastAsia"/>
                <w:lang w:eastAsia="en-AU"/>
              </w:rPr>
            </w:pPr>
            <w:r w:rsidRPr="00C17937">
              <w:rPr>
                <w:rFonts w:eastAsiaTheme="minorEastAsia"/>
                <w:lang w:eastAsia="en-AU"/>
              </w:rPr>
              <w:t>budget</w:t>
            </w:r>
          </w:p>
        </w:tc>
        <w:tc>
          <w:tcPr>
            <w:tcW w:w="1052" w:type="dxa"/>
            <w:tcBorders>
              <w:top w:val="nil"/>
              <w:left w:val="nil"/>
              <w:right w:val="nil"/>
            </w:tcBorders>
            <w:shd w:val="clear" w:color="auto" w:fill="000000"/>
          </w:tcPr>
          <w:p w:rsidR="00E25CC6" w:rsidRPr="00C17937" w:rsidRDefault="00E25CC6" w:rsidP="009148AF">
            <w:pPr>
              <w:pStyle w:val="Tabletextheading"/>
              <w:rPr>
                <w:rFonts w:eastAsiaTheme="minorEastAsia"/>
                <w:lang w:eastAsia="en-AU"/>
              </w:rPr>
            </w:pPr>
            <w:r w:rsidRPr="00C17937">
              <w:rPr>
                <w:rFonts w:eastAsiaTheme="minorEastAsia"/>
                <w:lang w:eastAsia="en-AU"/>
              </w:rPr>
              <w:t>revised</w:t>
            </w:r>
          </w:p>
        </w:tc>
        <w:tc>
          <w:tcPr>
            <w:tcW w:w="1051" w:type="dxa"/>
            <w:tcBorders>
              <w:top w:val="nil"/>
              <w:left w:val="nil"/>
              <w:right w:val="nil"/>
            </w:tcBorders>
            <w:shd w:val="clear" w:color="auto" w:fill="000000"/>
          </w:tcPr>
          <w:p w:rsidR="00E25CC6" w:rsidRPr="00C17937" w:rsidRDefault="00E25CC6" w:rsidP="009148AF">
            <w:pPr>
              <w:pStyle w:val="Tabletextheading"/>
              <w:rPr>
                <w:rFonts w:eastAsiaTheme="minorEastAsia"/>
                <w:lang w:eastAsia="en-AU"/>
              </w:rPr>
            </w:pPr>
            <w:r w:rsidRPr="00C17937">
              <w:rPr>
                <w:rFonts w:eastAsiaTheme="minorEastAsia"/>
                <w:lang w:eastAsia="en-AU"/>
              </w:rPr>
              <w:t>budget</w:t>
            </w:r>
          </w:p>
        </w:tc>
        <w:tc>
          <w:tcPr>
            <w:tcW w:w="1052" w:type="dxa"/>
            <w:tcBorders>
              <w:top w:val="nil"/>
              <w:left w:val="nil"/>
              <w:right w:val="single" w:sz="4" w:space="0" w:color="auto"/>
            </w:tcBorders>
            <w:shd w:val="clear" w:color="auto" w:fill="000000"/>
          </w:tcPr>
          <w:p w:rsidR="00E25CC6" w:rsidRPr="00C17937" w:rsidRDefault="00E25CC6" w:rsidP="009148AF">
            <w:pPr>
              <w:pStyle w:val="Tabletextheading"/>
              <w:rPr>
                <w:rFonts w:eastAsiaTheme="minorEastAsia"/>
                <w:lang w:eastAsia="en-AU"/>
              </w:rPr>
            </w:pPr>
            <w:r w:rsidRPr="00C17937">
              <w:rPr>
                <w:rFonts w:eastAsiaTheme="minorEastAsia"/>
                <w:lang w:eastAsia="en-AU"/>
              </w:rPr>
              <w:t>%</w:t>
            </w:r>
          </w:p>
        </w:tc>
      </w:tr>
      <w:tr w:rsidR="00E25CC6" w:rsidRPr="00C17937" w:rsidTr="0026552D">
        <w:trPr>
          <w:cantSplit/>
        </w:trPr>
        <w:tc>
          <w:tcPr>
            <w:tcW w:w="3570" w:type="dxa"/>
            <w:tcBorders>
              <w:left w:val="nil"/>
              <w:bottom w:val="nil"/>
              <w:right w:val="nil"/>
            </w:tcBorders>
          </w:tcPr>
          <w:p w:rsidR="00E25CC6" w:rsidRPr="00C17937" w:rsidRDefault="00E25CC6" w:rsidP="00C472F2">
            <w:pPr>
              <w:pStyle w:val="Tabletext"/>
              <w:rPr>
                <w:rFonts w:eastAsiaTheme="minorEastAsia"/>
                <w:lang w:eastAsia="en-AU"/>
              </w:rPr>
            </w:pPr>
            <w:r w:rsidRPr="00C17937">
              <w:rPr>
                <w:rFonts w:eastAsiaTheme="minorEastAsia"/>
                <w:lang w:eastAsia="en-AU"/>
              </w:rPr>
              <w:t xml:space="preserve">Strong </w:t>
            </w:r>
            <w:r>
              <w:rPr>
                <w:rFonts w:eastAsiaTheme="minorEastAsia"/>
                <w:lang w:eastAsia="en-AU"/>
              </w:rPr>
              <w:t>p</w:t>
            </w:r>
            <w:r w:rsidRPr="00C17937">
              <w:rPr>
                <w:rFonts w:eastAsiaTheme="minorEastAsia"/>
                <w:lang w:eastAsia="en-AU"/>
              </w:rPr>
              <w:t xml:space="preserve">olicy </w:t>
            </w:r>
            <w:r>
              <w:rPr>
                <w:rFonts w:eastAsiaTheme="minorEastAsia"/>
                <w:lang w:eastAsia="en-AU"/>
              </w:rPr>
              <w:t>o</w:t>
            </w:r>
            <w:r w:rsidRPr="00C17937">
              <w:rPr>
                <w:rFonts w:eastAsiaTheme="minorEastAsia"/>
                <w:lang w:eastAsia="en-AU"/>
              </w:rPr>
              <w:t xml:space="preserve">utcomes </w:t>
            </w:r>
            <w:r w:rsidRPr="00C17937">
              <w:rPr>
                <w:rFonts w:eastAsiaTheme="minorEastAsia"/>
                <w:vertAlign w:val="superscript"/>
                <w:lang w:eastAsia="en-AU"/>
              </w:rPr>
              <w:t>(b)</w:t>
            </w:r>
          </w:p>
        </w:tc>
        <w:tc>
          <w:tcPr>
            <w:tcW w:w="1051" w:type="dxa"/>
            <w:tcBorders>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122.8</w:t>
            </w:r>
          </w:p>
        </w:tc>
        <w:tc>
          <w:tcPr>
            <w:tcW w:w="1052" w:type="dxa"/>
            <w:tcBorders>
              <w:left w:val="nil"/>
              <w:bottom w:val="nil"/>
              <w:right w:val="nil"/>
            </w:tcBorders>
          </w:tcPr>
          <w:p w:rsidR="00E25CC6" w:rsidRPr="00C17937" w:rsidRDefault="00E25CC6" w:rsidP="00A947D5">
            <w:pPr>
              <w:pStyle w:val="TableofFigures"/>
              <w:rPr>
                <w:rFonts w:eastAsiaTheme="minorEastAsia"/>
                <w:lang w:eastAsia="en-AU"/>
              </w:rPr>
            </w:pPr>
            <w:r w:rsidRPr="00C17937">
              <w:rPr>
                <w:rFonts w:eastAsiaTheme="minorEastAsia"/>
                <w:lang w:eastAsia="en-AU"/>
              </w:rPr>
              <w:t>122.3</w:t>
            </w:r>
          </w:p>
        </w:tc>
        <w:tc>
          <w:tcPr>
            <w:tcW w:w="1051" w:type="dxa"/>
            <w:tcBorders>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238.6</w:t>
            </w:r>
          </w:p>
        </w:tc>
        <w:tc>
          <w:tcPr>
            <w:tcW w:w="1052" w:type="dxa"/>
            <w:tcBorders>
              <w:left w:val="nil"/>
              <w:bottom w:val="nil"/>
              <w:right w:val="nil"/>
            </w:tcBorders>
          </w:tcPr>
          <w:p w:rsidR="00E25CC6" w:rsidRPr="00C17937" w:rsidRDefault="00E25CC6" w:rsidP="004E2699">
            <w:pPr>
              <w:pStyle w:val="TableofFigures"/>
              <w:rPr>
                <w:rFonts w:eastAsiaTheme="minorEastAsia"/>
                <w:lang w:eastAsia="en-AU"/>
              </w:rPr>
            </w:pPr>
            <w:r w:rsidRPr="00C17937">
              <w:rPr>
                <w:rFonts w:eastAsiaTheme="minorEastAsia"/>
                <w:lang w:eastAsia="en-AU"/>
              </w:rPr>
              <w:t>94</w:t>
            </w:r>
          </w:p>
        </w:tc>
      </w:tr>
      <w:tr w:rsidR="00E25CC6" w:rsidRPr="00C17937" w:rsidTr="0026552D">
        <w:trPr>
          <w:cantSplit/>
        </w:trPr>
        <w:tc>
          <w:tcPr>
            <w:tcW w:w="3570" w:type="dxa"/>
            <w:tcBorders>
              <w:left w:val="nil"/>
              <w:bottom w:val="nil"/>
              <w:right w:val="nil"/>
            </w:tcBorders>
          </w:tcPr>
          <w:p w:rsidR="00E25CC6" w:rsidRPr="00C17937" w:rsidRDefault="00E25CC6" w:rsidP="009148AF">
            <w:pPr>
              <w:pStyle w:val="Tabletext"/>
              <w:rPr>
                <w:rFonts w:eastAsiaTheme="minorEastAsia"/>
                <w:lang w:eastAsia="en-AU"/>
              </w:rPr>
            </w:pPr>
            <w:r>
              <w:rPr>
                <w:rFonts w:eastAsiaTheme="minorEastAsia"/>
                <w:lang w:eastAsia="en-AU"/>
              </w:rPr>
              <w:t>Productivity and c</w:t>
            </w:r>
            <w:r w:rsidRPr="00C17937">
              <w:rPr>
                <w:rFonts w:eastAsiaTheme="minorEastAsia"/>
                <w:lang w:eastAsia="en-AU"/>
              </w:rPr>
              <w:t xml:space="preserve">ompetitiveness </w:t>
            </w:r>
            <w:r w:rsidRPr="00C17937">
              <w:rPr>
                <w:rFonts w:eastAsiaTheme="minorEastAsia"/>
                <w:vertAlign w:val="superscript"/>
                <w:lang w:eastAsia="en-AU"/>
              </w:rPr>
              <w:t>(c)</w:t>
            </w:r>
          </w:p>
        </w:tc>
        <w:tc>
          <w:tcPr>
            <w:tcW w:w="1051" w:type="dxa"/>
            <w:tcBorders>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41.7</w:t>
            </w:r>
          </w:p>
        </w:tc>
        <w:tc>
          <w:tcPr>
            <w:tcW w:w="1052" w:type="dxa"/>
            <w:tcBorders>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28.9</w:t>
            </w:r>
          </w:p>
        </w:tc>
        <w:tc>
          <w:tcPr>
            <w:tcW w:w="1051" w:type="dxa"/>
            <w:tcBorders>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37.3</w:t>
            </w:r>
          </w:p>
        </w:tc>
        <w:tc>
          <w:tcPr>
            <w:tcW w:w="1052" w:type="dxa"/>
            <w:tcBorders>
              <w:left w:val="nil"/>
              <w:bottom w:val="nil"/>
              <w:right w:val="nil"/>
            </w:tcBorders>
          </w:tcPr>
          <w:p w:rsidR="00E25CC6" w:rsidRPr="00C17937" w:rsidRDefault="00E25CC6" w:rsidP="004E2699">
            <w:pPr>
              <w:pStyle w:val="TableofFigures"/>
              <w:rPr>
                <w:rFonts w:eastAsiaTheme="minorEastAsia"/>
                <w:lang w:eastAsia="en-AU"/>
              </w:rPr>
            </w:pPr>
            <w:r w:rsidRPr="00C17937">
              <w:rPr>
                <w:rFonts w:eastAsiaTheme="minorEastAsia"/>
                <w:lang w:eastAsia="en-AU"/>
              </w:rPr>
              <w:noBreakHyphen/>
              <w:t>10</w:t>
            </w:r>
          </w:p>
        </w:tc>
      </w:tr>
      <w:tr w:rsidR="00E25CC6" w:rsidRPr="00C17937" w:rsidTr="0026552D">
        <w:trPr>
          <w:cantSplit/>
        </w:trPr>
        <w:tc>
          <w:tcPr>
            <w:tcW w:w="3570" w:type="dxa"/>
            <w:tcBorders>
              <w:top w:val="nil"/>
              <w:left w:val="nil"/>
              <w:bottom w:val="nil"/>
              <w:right w:val="nil"/>
            </w:tcBorders>
          </w:tcPr>
          <w:p w:rsidR="00E25CC6" w:rsidRPr="00C17937" w:rsidRDefault="00E25CC6" w:rsidP="00C472F2">
            <w:pPr>
              <w:pStyle w:val="Tabletext"/>
              <w:rPr>
                <w:rFonts w:eastAsiaTheme="minorEastAsia"/>
                <w:lang w:eastAsia="en-AU"/>
              </w:rPr>
            </w:pPr>
            <w:r>
              <w:rPr>
                <w:rFonts w:eastAsiaTheme="minorEastAsia"/>
                <w:lang w:eastAsia="en-AU"/>
              </w:rPr>
              <w:t>E</w:t>
            </w:r>
            <w:r w:rsidRPr="00C17937">
              <w:rPr>
                <w:rFonts w:eastAsiaTheme="minorEastAsia"/>
                <w:lang w:eastAsia="en-AU"/>
              </w:rPr>
              <w:t xml:space="preserve">ngaged </w:t>
            </w:r>
            <w:r>
              <w:rPr>
                <w:rFonts w:eastAsiaTheme="minorEastAsia"/>
                <w:lang w:eastAsia="en-AU"/>
              </w:rPr>
              <w:t>c</w:t>
            </w:r>
            <w:r w:rsidRPr="00C17937">
              <w:rPr>
                <w:rFonts w:eastAsiaTheme="minorEastAsia"/>
                <w:lang w:eastAsia="en-AU"/>
              </w:rPr>
              <w:t xml:space="preserve">itizens </w:t>
            </w:r>
            <w:r w:rsidRPr="00C17937">
              <w:rPr>
                <w:rFonts w:eastAsiaTheme="minorEastAsia"/>
                <w:vertAlign w:val="superscript"/>
                <w:lang w:eastAsia="en-AU"/>
              </w:rPr>
              <w:t>(d)</w:t>
            </w:r>
          </w:p>
        </w:tc>
        <w:tc>
          <w:tcPr>
            <w:tcW w:w="1051" w:type="dxa"/>
            <w:tcBorders>
              <w:top w:val="nil"/>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69.2</w:t>
            </w:r>
          </w:p>
        </w:tc>
        <w:tc>
          <w:tcPr>
            <w:tcW w:w="1052" w:type="dxa"/>
            <w:tcBorders>
              <w:top w:val="nil"/>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75.2</w:t>
            </w:r>
          </w:p>
        </w:tc>
        <w:tc>
          <w:tcPr>
            <w:tcW w:w="1051" w:type="dxa"/>
            <w:tcBorders>
              <w:top w:val="nil"/>
              <w:left w:val="nil"/>
              <w:bottom w:val="nil"/>
              <w:right w:val="nil"/>
            </w:tcBorders>
          </w:tcPr>
          <w:p w:rsidR="00E25CC6" w:rsidRPr="00C17937" w:rsidRDefault="00E25CC6" w:rsidP="00CB1D8E">
            <w:pPr>
              <w:pStyle w:val="TableofFigures"/>
              <w:rPr>
                <w:rFonts w:eastAsiaTheme="minorEastAsia"/>
                <w:lang w:eastAsia="en-AU"/>
              </w:rPr>
            </w:pPr>
            <w:r w:rsidRPr="00C17937">
              <w:rPr>
                <w:rFonts w:eastAsiaTheme="minorEastAsia"/>
                <w:lang w:eastAsia="en-AU"/>
              </w:rPr>
              <w:t>110.9</w:t>
            </w:r>
          </w:p>
        </w:tc>
        <w:tc>
          <w:tcPr>
            <w:tcW w:w="1052" w:type="dxa"/>
            <w:tcBorders>
              <w:top w:val="nil"/>
              <w:left w:val="nil"/>
              <w:bottom w:val="nil"/>
              <w:right w:val="nil"/>
            </w:tcBorders>
          </w:tcPr>
          <w:p w:rsidR="00E25CC6" w:rsidRPr="00C17937" w:rsidRDefault="00E25CC6" w:rsidP="004E2699">
            <w:pPr>
              <w:pStyle w:val="TableofFigures"/>
              <w:rPr>
                <w:rFonts w:eastAsiaTheme="minorEastAsia"/>
                <w:lang w:eastAsia="en-AU"/>
              </w:rPr>
            </w:pPr>
            <w:r w:rsidRPr="00C17937">
              <w:rPr>
                <w:rFonts w:eastAsiaTheme="minorEastAsia"/>
                <w:lang w:eastAsia="en-AU"/>
              </w:rPr>
              <w:t>60</w:t>
            </w:r>
          </w:p>
        </w:tc>
      </w:tr>
      <w:tr w:rsidR="00E25CC6" w:rsidRPr="00C17937" w:rsidTr="0026552D">
        <w:trPr>
          <w:cantSplit/>
        </w:trPr>
        <w:tc>
          <w:tcPr>
            <w:tcW w:w="3570" w:type="dxa"/>
            <w:tcBorders>
              <w:top w:val="nil"/>
              <w:left w:val="nil"/>
              <w:bottom w:val="nil"/>
              <w:right w:val="nil"/>
            </w:tcBorders>
          </w:tcPr>
          <w:p w:rsidR="00E25CC6" w:rsidRPr="00C17937" w:rsidRDefault="00E25CC6" w:rsidP="009148AF">
            <w:pPr>
              <w:pStyle w:val="Tabletext"/>
              <w:rPr>
                <w:rFonts w:eastAsiaTheme="minorEastAsia"/>
                <w:vertAlign w:val="superscript"/>
                <w:lang w:eastAsia="en-AU"/>
              </w:rPr>
            </w:pPr>
            <w:r w:rsidRPr="00C17937">
              <w:rPr>
                <w:rFonts w:eastAsiaTheme="minorEastAsia"/>
                <w:lang w:eastAsia="en-AU"/>
              </w:rPr>
              <w:t xml:space="preserve">Professional public administration </w:t>
            </w:r>
            <w:r w:rsidRPr="00C17937">
              <w:rPr>
                <w:rFonts w:eastAsiaTheme="minorEastAsia"/>
                <w:vertAlign w:val="superscript"/>
                <w:lang w:eastAsia="en-AU"/>
              </w:rPr>
              <w:t>(e)</w:t>
            </w:r>
          </w:p>
        </w:tc>
        <w:tc>
          <w:tcPr>
            <w:tcW w:w="1051" w:type="dxa"/>
            <w:tcBorders>
              <w:top w:val="nil"/>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157.0</w:t>
            </w:r>
          </w:p>
        </w:tc>
        <w:tc>
          <w:tcPr>
            <w:tcW w:w="1052" w:type="dxa"/>
            <w:tcBorders>
              <w:top w:val="nil"/>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139.2</w:t>
            </w:r>
          </w:p>
        </w:tc>
        <w:tc>
          <w:tcPr>
            <w:tcW w:w="1051" w:type="dxa"/>
            <w:tcBorders>
              <w:top w:val="nil"/>
              <w:left w:val="nil"/>
              <w:bottom w:val="nil"/>
              <w:right w:val="nil"/>
            </w:tcBorders>
          </w:tcPr>
          <w:p w:rsidR="00E25CC6" w:rsidRPr="00C17937" w:rsidRDefault="00E25CC6" w:rsidP="009148AF">
            <w:pPr>
              <w:pStyle w:val="TableofFigures"/>
              <w:rPr>
                <w:rFonts w:eastAsiaTheme="minorEastAsia"/>
                <w:lang w:eastAsia="en-AU"/>
              </w:rPr>
            </w:pPr>
            <w:r w:rsidRPr="00C17937">
              <w:rPr>
                <w:rFonts w:eastAsiaTheme="minorEastAsia"/>
                <w:lang w:eastAsia="en-AU"/>
              </w:rPr>
              <w:t>198.9</w:t>
            </w:r>
          </w:p>
        </w:tc>
        <w:tc>
          <w:tcPr>
            <w:tcW w:w="1052" w:type="dxa"/>
            <w:tcBorders>
              <w:top w:val="nil"/>
              <w:left w:val="nil"/>
              <w:bottom w:val="nil"/>
              <w:right w:val="nil"/>
            </w:tcBorders>
          </w:tcPr>
          <w:p w:rsidR="00E25CC6" w:rsidRPr="00C17937" w:rsidRDefault="00E25CC6" w:rsidP="004E2699">
            <w:pPr>
              <w:pStyle w:val="TableofFigures"/>
              <w:rPr>
                <w:rFonts w:eastAsiaTheme="minorEastAsia"/>
                <w:lang w:eastAsia="en-AU"/>
              </w:rPr>
            </w:pPr>
            <w:r w:rsidRPr="00C17937">
              <w:rPr>
                <w:rFonts w:eastAsiaTheme="minorEastAsia"/>
                <w:lang w:eastAsia="en-AU"/>
              </w:rPr>
              <w:t>27</w:t>
            </w:r>
          </w:p>
        </w:tc>
      </w:tr>
      <w:tr w:rsidR="00E25CC6" w:rsidRPr="00C17937" w:rsidTr="0026552D">
        <w:trPr>
          <w:cantSplit/>
        </w:trPr>
        <w:tc>
          <w:tcPr>
            <w:tcW w:w="3570" w:type="dxa"/>
            <w:tcBorders>
              <w:top w:val="single" w:sz="6" w:space="0" w:color="auto"/>
              <w:left w:val="nil"/>
              <w:bottom w:val="single" w:sz="12" w:space="0" w:color="auto"/>
              <w:right w:val="nil"/>
            </w:tcBorders>
          </w:tcPr>
          <w:p w:rsidR="00E25CC6" w:rsidRPr="00C17937" w:rsidRDefault="00E25CC6" w:rsidP="009148AF">
            <w:pPr>
              <w:pStyle w:val="Tabletext"/>
              <w:rPr>
                <w:rFonts w:eastAsiaTheme="minorEastAsia"/>
                <w:b/>
                <w:bCs/>
                <w:lang w:eastAsia="en-AU"/>
              </w:rPr>
            </w:pPr>
            <w:r w:rsidRPr="00C17937">
              <w:rPr>
                <w:rFonts w:eastAsiaTheme="minorEastAsia"/>
                <w:b/>
                <w:bCs/>
                <w:lang w:eastAsia="en-AU"/>
              </w:rPr>
              <w:t>Total</w:t>
            </w:r>
          </w:p>
        </w:tc>
        <w:tc>
          <w:tcPr>
            <w:tcW w:w="1051" w:type="dxa"/>
            <w:tcBorders>
              <w:top w:val="single" w:sz="6" w:space="0" w:color="auto"/>
              <w:left w:val="nil"/>
              <w:bottom w:val="single" w:sz="12" w:space="0" w:color="auto"/>
              <w:right w:val="nil"/>
            </w:tcBorders>
          </w:tcPr>
          <w:p w:rsidR="00E25CC6" w:rsidRPr="00C17937" w:rsidRDefault="00E25CC6" w:rsidP="009148AF">
            <w:pPr>
              <w:pStyle w:val="TableofFigures"/>
              <w:rPr>
                <w:rFonts w:eastAsiaTheme="minorEastAsia"/>
                <w:b/>
                <w:bCs/>
                <w:lang w:eastAsia="en-AU"/>
              </w:rPr>
            </w:pPr>
            <w:r w:rsidRPr="00C17937">
              <w:rPr>
                <w:rFonts w:eastAsiaTheme="minorEastAsia"/>
                <w:b/>
                <w:bCs/>
                <w:lang w:eastAsia="en-AU"/>
              </w:rPr>
              <w:t>390.7</w:t>
            </w:r>
          </w:p>
        </w:tc>
        <w:tc>
          <w:tcPr>
            <w:tcW w:w="1052" w:type="dxa"/>
            <w:tcBorders>
              <w:top w:val="single" w:sz="6" w:space="0" w:color="auto"/>
              <w:left w:val="nil"/>
              <w:bottom w:val="single" w:sz="12" w:space="0" w:color="auto"/>
              <w:right w:val="nil"/>
            </w:tcBorders>
          </w:tcPr>
          <w:p w:rsidR="00E25CC6" w:rsidRPr="00C17937" w:rsidRDefault="00E25CC6" w:rsidP="009148AF">
            <w:pPr>
              <w:pStyle w:val="TableofFigures"/>
              <w:rPr>
                <w:rFonts w:eastAsiaTheme="minorEastAsia"/>
                <w:b/>
                <w:bCs/>
                <w:lang w:eastAsia="en-AU"/>
              </w:rPr>
            </w:pPr>
            <w:r w:rsidRPr="00C17937">
              <w:rPr>
                <w:rFonts w:eastAsiaTheme="minorEastAsia"/>
                <w:b/>
                <w:bCs/>
                <w:lang w:eastAsia="en-AU"/>
              </w:rPr>
              <w:t>365.7</w:t>
            </w:r>
          </w:p>
        </w:tc>
        <w:tc>
          <w:tcPr>
            <w:tcW w:w="1051" w:type="dxa"/>
            <w:tcBorders>
              <w:top w:val="single" w:sz="6" w:space="0" w:color="auto"/>
              <w:left w:val="nil"/>
              <w:bottom w:val="single" w:sz="12" w:space="0" w:color="auto"/>
              <w:right w:val="nil"/>
            </w:tcBorders>
          </w:tcPr>
          <w:p w:rsidR="00E25CC6" w:rsidRPr="00C17937" w:rsidRDefault="00E25CC6" w:rsidP="004A6725">
            <w:pPr>
              <w:pStyle w:val="TableofFigures"/>
              <w:rPr>
                <w:rFonts w:eastAsiaTheme="minorEastAsia"/>
                <w:b/>
                <w:bCs/>
                <w:lang w:eastAsia="en-AU"/>
              </w:rPr>
            </w:pPr>
            <w:r w:rsidRPr="00C17937">
              <w:rPr>
                <w:rFonts w:eastAsiaTheme="minorEastAsia"/>
                <w:b/>
                <w:bCs/>
                <w:lang w:eastAsia="en-AU"/>
              </w:rPr>
              <w:t>585.7</w:t>
            </w:r>
          </w:p>
        </w:tc>
        <w:tc>
          <w:tcPr>
            <w:tcW w:w="1052" w:type="dxa"/>
            <w:tcBorders>
              <w:top w:val="single" w:sz="6" w:space="0" w:color="auto"/>
              <w:left w:val="nil"/>
              <w:bottom w:val="single" w:sz="12" w:space="0" w:color="auto"/>
              <w:right w:val="nil"/>
            </w:tcBorders>
          </w:tcPr>
          <w:p w:rsidR="00E25CC6" w:rsidRPr="00C17937" w:rsidRDefault="00E25CC6" w:rsidP="004E2699">
            <w:pPr>
              <w:pStyle w:val="TableofFigures"/>
              <w:rPr>
                <w:rFonts w:eastAsiaTheme="minorEastAsia"/>
                <w:b/>
                <w:bCs/>
                <w:lang w:eastAsia="en-AU"/>
              </w:rPr>
            </w:pPr>
            <w:r w:rsidRPr="00C17937">
              <w:rPr>
                <w:rFonts w:eastAsiaTheme="minorEastAsia"/>
                <w:b/>
                <w:bCs/>
                <w:lang w:eastAsia="en-AU"/>
              </w:rPr>
              <w:t>50</w:t>
            </w:r>
          </w:p>
        </w:tc>
      </w:tr>
    </w:tbl>
    <w:p w:rsidR="00E25CC6" w:rsidRPr="004638C5" w:rsidRDefault="00E25CC6" w:rsidP="00520DA1">
      <w:pPr>
        <w:pStyle w:val="Source"/>
        <w:rPr>
          <w:i w:val="0"/>
        </w:rPr>
      </w:pPr>
      <w:r w:rsidRPr="00C17937">
        <w:t xml:space="preserve">Source: </w:t>
      </w:r>
      <w:r w:rsidRPr="004638C5">
        <w:t>Department of Premier and Cabinet</w:t>
      </w:r>
      <w:r w:rsidRPr="00C17937">
        <w:t xml:space="preserve"> </w:t>
      </w:r>
      <w:r>
        <w:t xml:space="preserve"> </w:t>
      </w:r>
      <w:r>
        <w:fldChar w:fldCharType="begin"/>
      </w:r>
      <w:r>
        <w:instrText xml:space="preserve"> XE "</w:instrText>
      </w:r>
      <w:r w:rsidRPr="00C9312F">
        <w:instrText>Department of Premier and Cabinet:Output summary</w:instrText>
      </w:r>
      <w:r>
        <w:instrText xml:space="preserve">" </w:instrText>
      </w:r>
      <w:r>
        <w:fldChar w:fldCharType="end"/>
      </w:r>
    </w:p>
    <w:p w:rsidR="00E25CC6" w:rsidRPr="00C17937" w:rsidRDefault="00E25CC6" w:rsidP="00520DA1">
      <w:pPr>
        <w:pStyle w:val="Notes"/>
      </w:pPr>
      <w:r w:rsidRPr="00C17937">
        <w:t>(a)</w:t>
      </w:r>
      <w:r w:rsidRPr="00C17937">
        <w:tab/>
        <w:t>Variation between 2015</w:t>
      </w:r>
      <w:r w:rsidRPr="00C17937">
        <w:noBreakHyphen/>
        <w:t>16 budget and 2016</w:t>
      </w:r>
      <w:r w:rsidRPr="00C17937">
        <w:noBreakHyphen/>
        <w:t>17 budget.</w:t>
      </w:r>
    </w:p>
    <w:p w:rsidR="00E25CC6" w:rsidRPr="00C17937" w:rsidRDefault="00E25CC6" w:rsidP="00520DA1">
      <w:pPr>
        <w:pStyle w:val="Notes"/>
      </w:pPr>
      <w:r w:rsidRPr="00C17937">
        <w:t>(b)</w:t>
      </w:r>
      <w:r w:rsidRPr="00C17937">
        <w:tab/>
        <w:t>Variation between the 2015</w:t>
      </w:r>
      <w:r w:rsidRPr="00C17937">
        <w:noBreakHyphen/>
        <w:t>16 budget</w:t>
      </w:r>
      <w:r w:rsidRPr="00C17937">
        <w:rPr>
          <w:i w:val="0"/>
        </w:rPr>
        <w:t xml:space="preserve"> </w:t>
      </w:r>
      <w:r w:rsidRPr="00C17937">
        <w:t>and the 2016</w:t>
      </w:r>
      <w:r w:rsidRPr="00C17937">
        <w:noBreakHyphen/>
        <w:t>17 budget reflects funding provided for Service Victoria and new funding allocated through the 2016</w:t>
      </w:r>
      <w:r w:rsidRPr="00C17937">
        <w:noBreakHyphen/>
        <w:t>17 budget.</w:t>
      </w:r>
    </w:p>
    <w:p w:rsidR="00E25CC6" w:rsidRPr="00C17937" w:rsidRDefault="00E25CC6" w:rsidP="00520DA1">
      <w:pPr>
        <w:pStyle w:val="Notes"/>
      </w:pPr>
      <w:r w:rsidRPr="00C17937">
        <w:t>(c)</w:t>
      </w:r>
      <w:r w:rsidRPr="00C17937">
        <w:tab/>
        <w:t>Variation between the 2015</w:t>
      </w:r>
      <w:r w:rsidRPr="00C17937">
        <w:noBreakHyphen/>
        <w:t>16 budget and the 2016</w:t>
      </w:r>
      <w:r w:rsidRPr="00C17937">
        <w:noBreakHyphen/>
        <w:t>17 budget reflects less trust fund revenue expected for Digital Government.</w:t>
      </w:r>
    </w:p>
    <w:p w:rsidR="00E25CC6" w:rsidRPr="00C17937" w:rsidRDefault="00E25CC6" w:rsidP="00520DA1">
      <w:pPr>
        <w:pStyle w:val="Notes"/>
      </w:pPr>
      <w:r w:rsidRPr="00C17937">
        <w:t>(d)</w:t>
      </w:r>
      <w:r w:rsidRPr="00C17937">
        <w:tab/>
        <w:t>Variation between the 2015</w:t>
      </w:r>
      <w:r w:rsidRPr="00C17937">
        <w:noBreakHyphen/>
        <w:t>16 budget and the 2016</w:t>
      </w:r>
      <w:r w:rsidRPr="00C17937">
        <w:noBreakHyphen/>
        <w:t>17 budget reflects new funding allocated through the 2016</w:t>
      </w:r>
      <w:r w:rsidRPr="00C17937">
        <w:noBreakHyphen/>
        <w:t>17 budget for various Aboriginal, Multicultural Affairs, Women and Equality initiatives.</w:t>
      </w:r>
    </w:p>
    <w:p w:rsidR="00E25CC6" w:rsidRPr="00C17937" w:rsidRDefault="00E25CC6" w:rsidP="008B21BC">
      <w:pPr>
        <w:pStyle w:val="Notes"/>
      </w:pPr>
      <w:r w:rsidRPr="00C17937">
        <w:t>(e)</w:t>
      </w:r>
      <w:r w:rsidRPr="00C17937">
        <w:tab/>
        <w:t>Variation between the 2015</w:t>
      </w:r>
      <w:r w:rsidRPr="00C17937">
        <w:noBreakHyphen/>
        <w:t>16 budget and the 2016</w:t>
      </w:r>
      <w:r w:rsidRPr="00C17937">
        <w:noBreakHyphen/>
        <w:t>17 budget reflects increased costs for the Victorian Electoral Commission associated with the Local Government Elections in 2016</w:t>
      </w:r>
      <w:r w:rsidRPr="00C17937">
        <w:noBreakHyphen/>
        <w:t>17.</w:t>
      </w:r>
    </w:p>
    <w:p w:rsidR="00E25CC6" w:rsidRPr="00C17937" w:rsidRDefault="00E25CC6">
      <w:pPr>
        <w:spacing w:after="0"/>
        <w:rPr>
          <w:rFonts w:ascii="Calibri" w:eastAsiaTheme="minorHAnsi" w:hAnsi="Calibri"/>
          <w:b/>
          <w:kern w:val="28"/>
          <w:sz w:val="26"/>
          <w:szCs w:val="22"/>
        </w:rPr>
      </w:pPr>
      <w:r w:rsidRPr="00C17937">
        <w:rPr>
          <w:rFonts w:eastAsiaTheme="minorHAnsi"/>
        </w:rPr>
        <w:br w:type="page"/>
      </w:r>
    </w:p>
    <w:p w:rsidR="00E25CC6" w:rsidRDefault="00E25CC6" w:rsidP="00503FD0">
      <w:pPr>
        <w:pStyle w:val="Heading2"/>
        <w:rPr>
          <w:rFonts w:eastAsiaTheme="minorHAnsi"/>
        </w:rPr>
      </w:pPr>
      <w:r>
        <w:rPr>
          <w:rFonts w:eastAsiaTheme="minorHAnsi"/>
        </w:rPr>
        <w:t>Amounts available</w:t>
      </w:r>
    </w:p>
    <w:p w:rsidR="00E25CC6" w:rsidRDefault="00E25CC6" w:rsidP="00863AFD">
      <w:pPr>
        <w:rPr>
          <w:rFonts w:eastAsiaTheme="minorHAnsi"/>
        </w:rPr>
      </w:pPr>
      <w:r>
        <w:rPr>
          <w:rFonts w:eastAsiaTheme="minorHAnsi"/>
        </w:rPr>
        <w:t>The following tables detail the amounts available to the Department from Parliamentary authority and income generated through transactions.</w:t>
      </w:r>
    </w:p>
    <w:p w:rsidR="00E25CC6" w:rsidRDefault="00E25CC6" w:rsidP="00503FD0">
      <w:pPr>
        <w:rPr>
          <w:rFonts w:eastAsiaTheme="minorHAnsi"/>
        </w:rPr>
      </w:pPr>
      <w:r>
        <w:rPr>
          <w:rFonts w:eastAsiaTheme="minorHAnsi"/>
        </w:rPr>
        <w:t>Table 2.17 outlines the Department’s income from transactions and 2.18 summarises the sources of Parliamentary authority available to the Department to fund the provision of outputs, additions to the net asset base and payments made on behalf of the State.</w:t>
      </w:r>
    </w:p>
    <w:p w:rsidR="00E25CC6" w:rsidRDefault="00E25CC6" w:rsidP="0018091B">
      <w:pPr>
        <w:pStyle w:val="Notes"/>
        <w:rPr>
          <w:rFonts w:eastAsiaTheme="minorHAnsi"/>
        </w:rPr>
      </w:pPr>
    </w:p>
    <w:p w:rsidR="00E25CC6" w:rsidRDefault="00E25CC6" w:rsidP="00503FD0">
      <w:pPr>
        <w:pStyle w:val="Tableheading"/>
        <w:rPr>
          <w:rFonts w:eastAsiaTheme="minorHAnsi"/>
        </w:rPr>
      </w:pPr>
      <w:r>
        <w:rPr>
          <w:rFonts w:eastAsiaTheme="minorHAnsi"/>
        </w:rPr>
        <w:t>Table 2.18:</w:t>
      </w:r>
      <w:r>
        <w:rPr>
          <w:rFonts w:eastAsiaTheme="minorHAnsi"/>
        </w:rPr>
        <w:tab/>
        <w:t>Income from transactions</w:t>
      </w:r>
    </w:p>
    <w:p w:rsidR="00E25CC6" w:rsidRPr="00BF488D" w:rsidRDefault="00E25CC6" w:rsidP="00BF488D">
      <w:pPr>
        <w:pStyle w:val="million"/>
        <w:rPr>
          <w:rFonts w:ascii="Garamond" w:eastAsiaTheme="minorHAnsi" w:hAnsi="Garamond"/>
          <w:b/>
          <w:bCs/>
          <w:sz w:val="22"/>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BF488D" w:rsidTr="00BF488D">
        <w:tc>
          <w:tcPr>
            <w:tcW w:w="4365" w:type="dxa"/>
            <w:tcBorders>
              <w:top w:val="nil"/>
              <w:left w:val="nil"/>
              <w:bottom w:val="nil"/>
              <w:right w:val="nil"/>
            </w:tcBorders>
            <w:shd w:val="solid" w:color="000000" w:fill="auto"/>
          </w:tcPr>
          <w:p w:rsidR="00E25CC6" w:rsidRPr="00BF488D" w:rsidRDefault="00E25CC6" w:rsidP="00BF488D">
            <w:pPr>
              <w:autoSpaceDE w:val="0"/>
              <w:autoSpaceDN w:val="0"/>
              <w:adjustRightInd w:val="0"/>
              <w:spacing w:after="0"/>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2016-17</w:t>
            </w:r>
          </w:p>
        </w:tc>
      </w:tr>
      <w:tr w:rsidR="00E25CC6" w:rsidRPr="00BF488D" w:rsidTr="00BF488D">
        <w:tc>
          <w:tcPr>
            <w:tcW w:w="4365" w:type="dxa"/>
            <w:tcBorders>
              <w:top w:val="nil"/>
              <w:left w:val="nil"/>
              <w:right w:val="nil"/>
            </w:tcBorders>
            <w:shd w:val="solid" w:color="000000" w:fill="auto"/>
          </w:tcPr>
          <w:p w:rsidR="00E25CC6" w:rsidRPr="00BF488D" w:rsidRDefault="00E25CC6" w:rsidP="00BF488D">
            <w:pPr>
              <w:autoSpaceDE w:val="0"/>
              <w:autoSpaceDN w:val="0"/>
              <w:adjustRightInd w:val="0"/>
              <w:spacing w:after="0"/>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color w:val="FFFFFF"/>
                <w:sz w:val="19"/>
                <w:szCs w:val="19"/>
                <w:lang w:eastAsia="en-AU"/>
              </w:rPr>
            </w:pPr>
            <w:r w:rsidRPr="00BF488D">
              <w:rPr>
                <w:rFonts w:ascii="Calibri" w:eastAsiaTheme="minorEastAsia" w:hAnsi="Calibri" w:cs="Calibri"/>
                <w:i/>
                <w:iCs/>
                <w:color w:val="FFFFFF"/>
                <w:sz w:val="19"/>
                <w:szCs w:val="19"/>
                <w:lang w:eastAsia="en-AU"/>
              </w:rPr>
              <w:t>budget</w:t>
            </w:r>
          </w:p>
        </w:tc>
      </w:tr>
      <w:tr w:rsidR="00E25CC6" w:rsidRPr="00BF488D" w:rsidTr="00BF488D">
        <w:tc>
          <w:tcPr>
            <w:tcW w:w="4365" w:type="dxa"/>
            <w:tcBorders>
              <w:top w:val="nil"/>
              <w:left w:val="nil"/>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443.4</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339.0</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322.5</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490.4</w:t>
            </w:r>
          </w:p>
        </w:tc>
      </w:tr>
      <w:tr w:rsidR="00E25CC6" w:rsidRPr="00BF488D" w:rsidTr="00BF488D">
        <w:tc>
          <w:tcPr>
            <w:tcW w:w="4365" w:type="dxa"/>
            <w:tcBorders>
              <w:top w:val="nil"/>
              <w:left w:val="nil"/>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27.8</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57.1</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60.2</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75.5</w:t>
            </w:r>
          </w:p>
        </w:tc>
      </w:tr>
      <w:tr w:rsidR="00E25CC6" w:rsidRPr="00BF488D" w:rsidTr="00BF488D">
        <w:tc>
          <w:tcPr>
            <w:tcW w:w="4365" w:type="dxa"/>
            <w:tcBorders>
              <w:top w:val="nil"/>
              <w:left w:val="nil"/>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Interest</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7.6</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0.1</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w:t>
            </w:r>
          </w:p>
        </w:tc>
      </w:tr>
      <w:tr w:rsidR="00E25CC6" w:rsidRPr="00BF488D" w:rsidTr="00BF488D">
        <w:tc>
          <w:tcPr>
            <w:tcW w:w="4365" w:type="dxa"/>
            <w:tcBorders>
              <w:top w:val="nil"/>
              <w:left w:val="nil"/>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34.6</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1.6</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4.2</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4.4</w:t>
            </w:r>
          </w:p>
        </w:tc>
      </w:tr>
      <w:tr w:rsidR="00E25CC6" w:rsidRPr="00BF488D" w:rsidTr="00BF488D">
        <w:tc>
          <w:tcPr>
            <w:tcW w:w="4365" w:type="dxa"/>
            <w:tcBorders>
              <w:top w:val="nil"/>
              <w:left w:val="nil"/>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Grants</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13.2</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27.7</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33.2</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26.6</w:t>
            </w:r>
          </w:p>
        </w:tc>
      </w:tr>
      <w:tr w:rsidR="00E25CC6" w:rsidRPr="00BF488D" w:rsidTr="00BF488D">
        <w:tc>
          <w:tcPr>
            <w:tcW w:w="4365" w:type="dxa"/>
            <w:tcBorders>
              <w:top w:val="nil"/>
              <w:left w:val="nil"/>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Fair value of assets and services received free of charge or for nominal consideration</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0.3</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w:t>
            </w:r>
          </w:p>
        </w:tc>
      </w:tr>
      <w:tr w:rsidR="00E25CC6" w:rsidRPr="00BF488D" w:rsidTr="00BF488D">
        <w:tc>
          <w:tcPr>
            <w:tcW w:w="4365" w:type="dxa"/>
            <w:tcBorders>
              <w:top w:val="nil"/>
              <w:left w:val="nil"/>
              <w:bottom w:val="single" w:sz="6" w:space="0" w:color="auto"/>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Other income</w:t>
            </w:r>
          </w:p>
        </w:tc>
        <w:tc>
          <w:tcPr>
            <w:tcW w:w="850" w:type="dxa"/>
            <w:tcBorders>
              <w:top w:val="nil"/>
              <w:left w:val="nil"/>
              <w:bottom w:val="single" w:sz="6"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13.4</w:t>
            </w:r>
          </w:p>
        </w:tc>
        <w:tc>
          <w:tcPr>
            <w:tcW w:w="850" w:type="dxa"/>
            <w:tcBorders>
              <w:top w:val="nil"/>
              <w:left w:val="nil"/>
              <w:bottom w:val="single" w:sz="6"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4.7</w:t>
            </w:r>
          </w:p>
        </w:tc>
        <w:tc>
          <w:tcPr>
            <w:tcW w:w="850" w:type="dxa"/>
            <w:tcBorders>
              <w:top w:val="nil"/>
              <w:left w:val="nil"/>
              <w:bottom w:val="single" w:sz="6"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1.4</w:t>
            </w:r>
          </w:p>
        </w:tc>
        <w:tc>
          <w:tcPr>
            <w:tcW w:w="850" w:type="dxa"/>
            <w:tcBorders>
              <w:top w:val="nil"/>
              <w:left w:val="nil"/>
              <w:bottom w:val="single" w:sz="6"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color w:val="000000"/>
                <w:sz w:val="19"/>
                <w:szCs w:val="19"/>
                <w:lang w:eastAsia="en-AU"/>
              </w:rPr>
            </w:pPr>
            <w:r w:rsidRPr="00BF488D">
              <w:rPr>
                <w:rFonts w:ascii="Calibri" w:eastAsiaTheme="minorEastAsia" w:hAnsi="Calibri" w:cs="Calibri"/>
                <w:color w:val="000000"/>
                <w:sz w:val="19"/>
                <w:szCs w:val="19"/>
                <w:lang w:eastAsia="en-AU"/>
              </w:rPr>
              <w:t xml:space="preserve"> 1.4</w:t>
            </w:r>
          </w:p>
        </w:tc>
      </w:tr>
      <w:tr w:rsidR="00E25CC6" w:rsidRPr="00BF488D" w:rsidTr="00BF488D">
        <w:tc>
          <w:tcPr>
            <w:tcW w:w="4365" w:type="dxa"/>
            <w:tcBorders>
              <w:top w:val="single" w:sz="6" w:space="0" w:color="auto"/>
              <w:left w:val="nil"/>
              <w:bottom w:val="single" w:sz="12" w:space="0" w:color="auto"/>
              <w:right w:val="nil"/>
            </w:tcBorders>
            <w:shd w:val="clear" w:color="auto"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BF488D">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b/>
                <w:bCs/>
                <w:color w:val="000000"/>
                <w:sz w:val="19"/>
                <w:szCs w:val="19"/>
                <w:lang w:eastAsia="en-AU"/>
              </w:rPr>
            </w:pPr>
            <w:r w:rsidRPr="00BF488D">
              <w:rPr>
                <w:rFonts w:ascii="Calibri" w:eastAsiaTheme="minorEastAsia" w:hAnsi="Calibri" w:cs="Calibri"/>
                <w:b/>
                <w:bCs/>
                <w:color w:val="000000"/>
                <w:sz w:val="19"/>
                <w:szCs w:val="19"/>
                <w:lang w:eastAsia="en-AU"/>
              </w:rPr>
              <w:t xml:space="preserve"> 540.2</w:t>
            </w:r>
          </w:p>
        </w:tc>
        <w:tc>
          <w:tcPr>
            <w:tcW w:w="850" w:type="dxa"/>
            <w:tcBorders>
              <w:top w:val="single" w:sz="6" w:space="0" w:color="auto"/>
              <w:left w:val="nil"/>
              <w:bottom w:val="single" w:sz="12"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b/>
                <w:bCs/>
                <w:color w:val="000000"/>
                <w:sz w:val="19"/>
                <w:szCs w:val="19"/>
                <w:lang w:eastAsia="en-AU"/>
              </w:rPr>
            </w:pPr>
            <w:r w:rsidRPr="00BF488D">
              <w:rPr>
                <w:rFonts w:ascii="Calibri" w:eastAsiaTheme="minorEastAsia" w:hAnsi="Calibri" w:cs="Calibri"/>
                <w:b/>
                <w:bCs/>
                <w:color w:val="000000"/>
                <w:sz w:val="19"/>
                <w:szCs w:val="19"/>
                <w:lang w:eastAsia="en-AU"/>
              </w:rPr>
              <w:t xml:space="preserve"> 430.1</w:t>
            </w:r>
          </w:p>
        </w:tc>
        <w:tc>
          <w:tcPr>
            <w:tcW w:w="850" w:type="dxa"/>
            <w:tcBorders>
              <w:top w:val="single" w:sz="6" w:space="0" w:color="auto"/>
              <w:left w:val="nil"/>
              <w:bottom w:val="single" w:sz="12"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b/>
                <w:bCs/>
                <w:color w:val="000000"/>
                <w:sz w:val="19"/>
                <w:szCs w:val="19"/>
                <w:lang w:eastAsia="en-AU"/>
              </w:rPr>
            </w:pPr>
            <w:r w:rsidRPr="00BF488D">
              <w:rPr>
                <w:rFonts w:ascii="Calibri" w:eastAsiaTheme="minorEastAsia" w:hAnsi="Calibri" w:cs="Calibri"/>
                <w:b/>
                <w:bCs/>
                <w:color w:val="000000"/>
                <w:sz w:val="19"/>
                <w:szCs w:val="19"/>
                <w:lang w:eastAsia="en-AU"/>
              </w:rPr>
              <w:t xml:space="preserve"> 421.5</w:t>
            </w:r>
          </w:p>
        </w:tc>
        <w:tc>
          <w:tcPr>
            <w:tcW w:w="850" w:type="dxa"/>
            <w:tcBorders>
              <w:top w:val="single" w:sz="6" w:space="0" w:color="auto"/>
              <w:left w:val="nil"/>
              <w:bottom w:val="single" w:sz="12" w:space="0" w:color="auto"/>
              <w:right w:val="nil"/>
            </w:tcBorders>
            <w:shd w:val="clear" w:color="auto" w:fill="FFFFFF"/>
          </w:tcPr>
          <w:p w:rsidR="00E25CC6" w:rsidRPr="00BF488D" w:rsidRDefault="00E25CC6" w:rsidP="00BF488D">
            <w:pPr>
              <w:autoSpaceDE w:val="0"/>
              <w:autoSpaceDN w:val="0"/>
              <w:adjustRightInd w:val="0"/>
              <w:spacing w:after="0"/>
              <w:jc w:val="right"/>
              <w:rPr>
                <w:rFonts w:ascii="Calibri" w:eastAsiaTheme="minorEastAsia" w:hAnsi="Calibri" w:cs="Calibri"/>
                <w:b/>
                <w:bCs/>
                <w:color w:val="000000"/>
                <w:sz w:val="19"/>
                <w:szCs w:val="19"/>
                <w:lang w:eastAsia="en-AU"/>
              </w:rPr>
            </w:pPr>
            <w:r w:rsidRPr="00BF488D">
              <w:rPr>
                <w:rFonts w:ascii="Calibri" w:eastAsiaTheme="minorEastAsia" w:hAnsi="Calibri" w:cs="Calibri"/>
                <w:b/>
                <w:bCs/>
                <w:color w:val="000000"/>
                <w:sz w:val="19"/>
                <w:szCs w:val="19"/>
                <w:lang w:eastAsia="en-AU"/>
              </w:rPr>
              <w:t xml:space="preserve"> 598.2</w:t>
            </w:r>
          </w:p>
        </w:tc>
      </w:tr>
    </w:tbl>
    <w:p w:rsidR="00E25CC6" w:rsidRPr="004638C5" w:rsidRDefault="00E25CC6" w:rsidP="002B38F1">
      <w:pPr>
        <w:pStyle w:val="Source"/>
        <w:rPr>
          <w:rFonts w:eastAsiaTheme="minorHAnsi"/>
          <w:i w:val="0"/>
        </w:rPr>
      </w:pPr>
      <w:r>
        <w:rPr>
          <w:rFonts w:eastAsiaTheme="minorHAnsi"/>
        </w:rPr>
        <w:t xml:space="preserve">Source: Department of Premier and Cabinet </w:t>
      </w:r>
      <w:r>
        <w:rPr>
          <w:rFonts w:eastAsiaTheme="minorHAnsi"/>
        </w:rPr>
        <w:fldChar w:fldCharType="begin"/>
      </w:r>
      <w:r>
        <w:instrText xml:space="preserve"> XE "</w:instrText>
      </w:r>
      <w:r w:rsidRPr="00913E79">
        <w:instrText>Department of Premier and Cabinet:Income from transactions</w:instrText>
      </w:r>
      <w:r>
        <w:instrText xml:space="preserve">" </w:instrText>
      </w:r>
      <w:r>
        <w:rPr>
          <w:rFonts w:eastAsiaTheme="minorHAnsi"/>
        </w:rPr>
        <w:fldChar w:fldCharType="end"/>
      </w:r>
    </w:p>
    <w:p w:rsidR="00E25CC6" w:rsidRDefault="00E25CC6" w:rsidP="00E90E81">
      <w:pPr>
        <w:rPr>
          <w:rFonts w:eastAsiaTheme="minorHAnsi"/>
        </w:rPr>
      </w:pPr>
    </w:p>
    <w:p w:rsidR="00E25CC6" w:rsidRDefault="00E25CC6" w:rsidP="00503FD0">
      <w:pPr>
        <w:pStyle w:val="Tableheading"/>
        <w:rPr>
          <w:rFonts w:eastAsiaTheme="minorHAnsi"/>
        </w:rPr>
      </w:pPr>
      <w:r>
        <w:rPr>
          <w:rFonts w:eastAsiaTheme="minorHAnsi"/>
        </w:rPr>
        <w:t>Table 2.19:</w:t>
      </w:r>
      <w:r>
        <w:rPr>
          <w:rFonts w:eastAsiaTheme="minorHAnsi"/>
        </w:rPr>
        <w:tab/>
        <w:t>Parliamentary authority for resources</w:t>
      </w:r>
    </w:p>
    <w:p w:rsidR="00E25CC6" w:rsidRPr="00BF488D" w:rsidRDefault="00E25CC6" w:rsidP="00BF488D">
      <w:pPr>
        <w:pStyle w:val="million"/>
        <w:rPr>
          <w:rFonts w:eastAsiaTheme="minorHAnsi"/>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BF488D" w:rsidTr="00BF488D">
        <w:tc>
          <w:tcPr>
            <w:tcW w:w="5216" w:type="dxa"/>
            <w:tcBorders>
              <w:left w:val="nil"/>
              <w:bottom w:val="nil"/>
              <w:right w:val="nil"/>
            </w:tcBorders>
            <w:shd w:val="solid" w:color="000000" w:fill="auto"/>
          </w:tcPr>
          <w:p w:rsidR="00E25CC6" w:rsidRPr="00BF488D" w:rsidRDefault="00E25CC6" w:rsidP="00BF488D">
            <w:pPr>
              <w:autoSpaceDE w:val="0"/>
              <w:autoSpaceDN w:val="0"/>
              <w:adjustRightInd w:val="0"/>
              <w:spacing w:after="0"/>
              <w:rPr>
                <w:rFonts w:ascii="Calibri" w:eastAsiaTheme="minorEastAsia" w:hAnsi="Calibri" w:cs="Calibri"/>
                <w:sz w:val="19"/>
                <w:lang w:eastAsia="en-AU"/>
              </w:rPr>
            </w:pPr>
            <w:r w:rsidRPr="00BF488D">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sz w:val="19"/>
                <w:lang w:eastAsia="en-AU"/>
              </w:rPr>
            </w:pPr>
            <w:r w:rsidRPr="00BF488D">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sz w:val="19"/>
                <w:lang w:eastAsia="en-AU"/>
              </w:rPr>
            </w:pPr>
            <w:r w:rsidRPr="00BF488D">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sz w:val="19"/>
                <w:lang w:eastAsia="en-AU"/>
              </w:rPr>
            </w:pPr>
            <w:r w:rsidRPr="00BF488D">
              <w:rPr>
                <w:rFonts w:ascii="Calibri" w:eastAsiaTheme="minorEastAsia" w:hAnsi="Calibri" w:cs="Calibri"/>
                <w:i/>
                <w:iCs/>
                <w:sz w:val="19"/>
                <w:lang w:eastAsia="en-AU"/>
              </w:rPr>
              <w:t>2016-17</w:t>
            </w:r>
          </w:p>
        </w:tc>
      </w:tr>
      <w:tr w:rsidR="00E25CC6" w:rsidRPr="00BF488D" w:rsidTr="00BF488D">
        <w:tc>
          <w:tcPr>
            <w:tcW w:w="5216" w:type="dxa"/>
            <w:tcBorders>
              <w:top w:val="nil"/>
              <w:left w:val="nil"/>
              <w:bottom w:val="single" w:sz="6" w:space="0" w:color="auto"/>
              <w:right w:val="nil"/>
            </w:tcBorders>
            <w:shd w:val="solid" w:color="000000" w:fill="auto"/>
          </w:tcPr>
          <w:p w:rsidR="00E25CC6" w:rsidRPr="00BF488D" w:rsidRDefault="00E25CC6" w:rsidP="00BF488D">
            <w:pPr>
              <w:autoSpaceDE w:val="0"/>
              <w:autoSpaceDN w:val="0"/>
              <w:adjustRightInd w:val="0"/>
              <w:spacing w:after="0"/>
              <w:rPr>
                <w:rFonts w:ascii="Calibri" w:eastAsiaTheme="minorEastAsia" w:hAnsi="Calibri" w:cs="Calibri"/>
                <w:sz w:val="19"/>
                <w:lang w:eastAsia="en-AU"/>
              </w:rPr>
            </w:pPr>
            <w:r w:rsidRPr="00BF488D">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sz w:val="19"/>
                <w:lang w:eastAsia="en-AU"/>
              </w:rPr>
            </w:pPr>
            <w:r w:rsidRPr="00BF488D">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sz w:val="19"/>
                <w:lang w:eastAsia="en-AU"/>
              </w:rPr>
            </w:pPr>
            <w:r w:rsidRPr="00BF488D">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BF488D" w:rsidRDefault="00E25CC6" w:rsidP="00BF488D">
            <w:pPr>
              <w:autoSpaceDE w:val="0"/>
              <w:autoSpaceDN w:val="0"/>
              <w:adjustRightInd w:val="0"/>
              <w:spacing w:after="0"/>
              <w:jc w:val="right"/>
              <w:rPr>
                <w:rFonts w:ascii="Calibri" w:eastAsiaTheme="minorEastAsia" w:hAnsi="Calibri" w:cs="Calibri"/>
                <w:i/>
                <w:iCs/>
                <w:sz w:val="19"/>
                <w:lang w:eastAsia="en-AU"/>
              </w:rPr>
            </w:pPr>
            <w:r w:rsidRPr="00BF488D">
              <w:rPr>
                <w:rFonts w:ascii="Calibri" w:eastAsiaTheme="minorEastAsia" w:hAnsi="Calibri" w:cs="Calibri"/>
                <w:i/>
                <w:iCs/>
                <w:sz w:val="19"/>
                <w:lang w:eastAsia="en-AU"/>
              </w:rPr>
              <w:t>budget</w:t>
            </w:r>
          </w:p>
        </w:tc>
      </w:tr>
      <w:tr w:rsidR="00E25CC6" w:rsidRPr="00BF488D" w:rsidTr="00BF488D">
        <w:tc>
          <w:tcPr>
            <w:tcW w:w="5216"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b/>
                <w:bCs/>
                <w:sz w:val="19"/>
                <w:lang w:eastAsia="en-AU"/>
              </w:rPr>
            </w:pPr>
            <w:r w:rsidRPr="00BF488D">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323.2</w:t>
            </w:r>
          </w:p>
        </w:tc>
        <w:tc>
          <w:tcPr>
            <w:tcW w:w="850"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304.5</w:t>
            </w:r>
          </w:p>
        </w:tc>
        <w:tc>
          <w:tcPr>
            <w:tcW w:w="850"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462.4</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320.4</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298.8</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457.7</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2.7</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5.7</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4.8</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0.5</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1.2</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1.8</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b/>
                <w:bCs/>
                <w:sz w:val="19"/>
                <w:lang w:eastAsia="en-AU"/>
              </w:rPr>
            </w:pPr>
            <w:r w:rsidRPr="00BF488D">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20.5</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22.5</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31.5</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18.0</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 xml:space="preserve"> 22.5</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 xml:space="preserve"> 31.0</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1.0</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1.5</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0.5</w:t>
            </w:r>
          </w:p>
        </w:tc>
      </w:tr>
      <w:tr w:rsidR="00E25CC6" w:rsidRPr="00BF488D" w:rsidTr="00BF488D">
        <w:tc>
          <w:tcPr>
            <w:tcW w:w="5216"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c>
          <w:tcPr>
            <w:tcW w:w="850"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1.2</w:t>
            </w:r>
          </w:p>
        </w:tc>
        <w:tc>
          <w:tcPr>
            <w:tcW w:w="850"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w:t>
            </w:r>
          </w:p>
        </w:tc>
      </w:tr>
      <w:tr w:rsidR="00E25CC6" w:rsidRPr="00BF488D" w:rsidTr="00BF488D">
        <w:tc>
          <w:tcPr>
            <w:tcW w:w="5216"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b/>
                <w:bCs/>
                <w:sz w:val="19"/>
                <w:lang w:eastAsia="en-AU"/>
              </w:rPr>
            </w:pPr>
            <w:r w:rsidRPr="00BF488D">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344.2</w:t>
            </w:r>
          </w:p>
        </w:tc>
        <w:tc>
          <w:tcPr>
            <w:tcW w:w="850"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329.4</w:t>
            </w:r>
          </w:p>
        </w:tc>
        <w:tc>
          <w:tcPr>
            <w:tcW w:w="850" w:type="dxa"/>
            <w:tcBorders>
              <w:top w:val="single" w:sz="6" w:space="0" w:color="auto"/>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495.6</w:t>
            </w:r>
          </w:p>
        </w:tc>
      </w:tr>
      <w:tr w:rsidR="00E25CC6" w:rsidRPr="00BF488D" w:rsidTr="00BF488D">
        <w:tc>
          <w:tcPr>
            <w:tcW w:w="5216" w:type="dxa"/>
            <w:tcBorders>
              <w:top w:val="nil"/>
              <w:left w:val="nil"/>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62.7</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65.8</w:t>
            </w:r>
          </w:p>
        </w:tc>
        <w:tc>
          <w:tcPr>
            <w:tcW w:w="850" w:type="dxa"/>
            <w:tcBorders>
              <w:top w:val="nil"/>
              <w:left w:val="nil"/>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20"/>
                <w:lang w:eastAsia="en-AU"/>
              </w:rPr>
            </w:pPr>
            <w:r w:rsidRPr="00BF488D">
              <w:rPr>
                <w:rFonts w:ascii="Calibri" w:eastAsiaTheme="minorEastAsia" w:hAnsi="Calibri" w:cs="Calibri"/>
                <w:sz w:val="19"/>
                <w:lang w:eastAsia="en-AU"/>
              </w:rPr>
              <w:t xml:space="preserve"> 81.1</w:t>
            </w:r>
          </w:p>
        </w:tc>
      </w:tr>
      <w:tr w:rsidR="00E25CC6" w:rsidRPr="00BF488D" w:rsidTr="00BF488D">
        <w:tc>
          <w:tcPr>
            <w:tcW w:w="5216"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sz w:val="19"/>
                <w:lang w:eastAsia="en-AU"/>
              </w:rPr>
            </w:pPr>
            <w:r w:rsidRPr="00BF488D">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 xml:space="preserve"> 34.4</w:t>
            </w:r>
          </w:p>
        </w:tc>
        <w:tc>
          <w:tcPr>
            <w:tcW w:w="850"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 xml:space="preserve"> 39.1</w:t>
            </w:r>
          </w:p>
        </w:tc>
        <w:tc>
          <w:tcPr>
            <w:tcW w:w="850" w:type="dxa"/>
            <w:tcBorders>
              <w:top w:val="nil"/>
              <w:left w:val="nil"/>
              <w:bottom w:val="single" w:sz="6"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sz w:val="19"/>
                <w:lang w:eastAsia="en-AU"/>
              </w:rPr>
            </w:pPr>
            <w:r w:rsidRPr="00BF488D">
              <w:rPr>
                <w:rFonts w:ascii="Calibri" w:eastAsiaTheme="minorEastAsia" w:hAnsi="Calibri" w:cs="Calibri"/>
                <w:sz w:val="19"/>
                <w:lang w:eastAsia="en-AU"/>
              </w:rPr>
              <w:t xml:space="preserve"> 27.2</w:t>
            </w:r>
          </w:p>
        </w:tc>
      </w:tr>
      <w:tr w:rsidR="00E25CC6" w:rsidRPr="00BF488D" w:rsidTr="00BF488D">
        <w:tc>
          <w:tcPr>
            <w:tcW w:w="5216" w:type="dxa"/>
            <w:tcBorders>
              <w:top w:val="single" w:sz="6" w:space="0" w:color="auto"/>
              <w:left w:val="nil"/>
              <w:bottom w:val="single" w:sz="12" w:space="0" w:color="auto"/>
              <w:right w:val="nil"/>
            </w:tcBorders>
            <w:shd w:val="solid" w:color="FFFFFF" w:fill="FFFFFF"/>
          </w:tcPr>
          <w:p w:rsidR="00E25CC6" w:rsidRPr="00BF488D" w:rsidRDefault="00E25CC6" w:rsidP="00BF488D">
            <w:pPr>
              <w:autoSpaceDE w:val="0"/>
              <w:autoSpaceDN w:val="0"/>
              <w:adjustRightInd w:val="0"/>
              <w:spacing w:after="0"/>
              <w:ind w:left="227" w:hanging="227"/>
              <w:rPr>
                <w:rFonts w:ascii="Calibri" w:eastAsiaTheme="minorEastAsia" w:hAnsi="Calibri" w:cs="Calibri"/>
                <w:b/>
                <w:bCs/>
                <w:sz w:val="19"/>
                <w:lang w:eastAsia="en-AU"/>
              </w:rPr>
            </w:pPr>
            <w:r w:rsidRPr="00BF488D">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441.3</w:t>
            </w:r>
          </w:p>
        </w:tc>
        <w:tc>
          <w:tcPr>
            <w:tcW w:w="850" w:type="dxa"/>
            <w:tcBorders>
              <w:top w:val="single" w:sz="6" w:space="0" w:color="auto"/>
              <w:left w:val="nil"/>
              <w:bottom w:val="single" w:sz="12"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434.2</w:t>
            </w:r>
          </w:p>
        </w:tc>
        <w:tc>
          <w:tcPr>
            <w:tcW w:w="850" w:type="dxa"/>
            <w:tcBorders>
              <w:top w:val="single" w:sz="6" w:space="0" w:color="auto"/>
              <w:left w:val="nil"/>
              <w:bottom w:val="single" w:sz="12" w:space="0" w:color="auto"/>
              <w:right w:val="nil"/>
            </w:tcBorders>
            <w:shd w:val="solid" w:color="FFFFFF" w:fill="FFFFFF"/>
          </w:tcPr>
          <w:p w:rsidR="00E25CC6" w:rsidRPr="00BF488D" w:rsidRDefault="00E25CC6" w:rsidP="00BF488D">
            <w:pPr>
              <w:autoSpaceDE w:val="0"/>
              <w:autoSpaceDN w:val="0"/>
              <w:adjustRightInd w:val="0"/>
              <w:spacing w:after="0"/>
              <w:jc w:val="right"/>
              <w:rPr>
                <w:rFonts w:ascii="Calibri" w:eastAsiaTheme="minorEastAsia" w:hAnsi="Calibri" w:cs="Calibri"/>
                <w:b/>
                <w:bCs/>
                <w:sz w:val="20"/>
                <w:lang w:eastAsia="en-AU"/>
              </w:rPr>
            </w:pPr>
            <w:r w:rsidRPr="00BF488D">
              <w:rPr>
                <w:rFonts w:ascii="Calibri" w:eastAsiaTheme="minorEastAsia" w:hAnsi="Calibri" w:cs="Calibri"/>
                <w:b/>
                <w:bCs/>
                <w:sz w:val="19"/>
                <w:lang w:eastAsia="en-AU"/>
              </w:rPr>
              <w:t xml:space="preserve"> 603.9</w:t>
            </w:r>
          </w:p>
        </w:tc>
      </w:tr>
    </w:tbl>
    <w:p w:rsidR="00E25CC6" w:rsidRPr="004638C5" w:rsidRDefault="00E25CC6" w:rsidP="00863AFD">
      <w:pPr>
        <w:pStyle w:val="Source"/>
        <w:rPr>
          <w:rFonts w:eastAsiaTheme="minorHAnsi"/>
          <w:i w:val="0"/>
        </w:rPr>
      </w:pPr>
      <w:r>
        <w:rPr>
          <w:rFonts w:eastAsiaTheme="minorHAnsi"/>
        </w:rPr>
        <w:t xml:space="preserve">Source: Department of Premier and Cabinet </w:t>
      </w:r>
      <w:r>
        <w:rPr>
          <w:rFonts w:eastAsiaTheme="minorHAnsi"/>
        </w:rPr>
        <w:fldChar w:fldCharType="begin"/>
      </w:r>
      <w:r>
        <w:instrText xml:space="preserve"> XE "</w:instrText>
      </w:r>
      <w:r w:rsidRPr="00D264C4">
        <w:instrText>Department of Premier and Cabinet:Parliamentary authority for resources</w:instrText>
      </w:r>
      <w:r>
        <w:instrText xml:space="preserve">" </w:instrText>
      </w:r>
      <w:r>
        <w:rPr>
          <w:rFonts w:eastAsiaTheme="minorHAnsi"/>
        </w:rPr>
        <w:fldChar w:fldCharType="end"/>
      </w:r>
    </w:p>
    <w:p w:rsidR="00E25CC6" w:rsidRDefault="00E25CC6" w:rsidP="00135240">
      <w:pPr>
        <w:pStyle w:val="Notes"/>
        <w:rPr>
          <w:rFonts w:eastAsiaTheme="minorHAnsi"/>
        </w:rPr>
      </w:pPr>
    </w:p>
    <w:p w:rsidR="00E25CC6" w:rsidRDefault="00E25CC6">
      <w:pPr>
        <w:spacing w:after="0"/>
        <w:rPr>
          <w:rFonts w:ascii="Calibri" w:hAnsi="Calibri"/>
          <w:b/>
          <w:sz w:val="20"/>
          <w:szCs w:val="18"/>
        </w:rPr>
      </w:pPr>
      <w:r>
        <w:rPr>
          <w:b/>
        </w:rPr>
        <w:br w:type="page"/>
      </w:r>
    </w:p>
    <w:p w:rsidR="00E25CC6" w:rsidRDefault="00E25CC6" w:rsidP="006641CF">
      <w:pPr>
        <w:pStyle w:val="OGHeading1"/>
      </w:pPr>
      <w:r>
        <w:t>Strong policy outcomes</w:t>
      </w:r>
    </w:p>
    <w:p w:rsidR="00E25CC6" w:rsidRDefault="00E25CC6" w:rsidP="006641CF">
      <w:pPr>
        <w:pStyle w:val="OGText"/>
      </w:pPr>
      <w:bookmarkStart w:id="97" w:name="DPC_StrongPolOut"/>
      <w:r>
        <w:t>These outputs relate to the provision of advice and support to the Premier and Cabinet on all aspects of Government policy. This involves advice on issues as they arise, policy coordination, research and analysis, consultation with stakeholders and leadership in long</w:t>
      </w:r>
      <w:r>
        <w:noBreakHyphen/>
        <w:t xml:space="preserve">term policy development. </w:t>
      </w:r>
    </w:p>
    <w:tbl>
      <w:tblPr>
        <w:tblW w:w="7783" w:type="dxa"/>
        <w:tblInd w:w="45" w:type="dxa"/>
        <w:tblLayout w:type="fixed"/>
        <w:tblCellMar>
          <w:left w:w="45" w:type="dxa"/>
          <w:right w:w="45" w:type="dxa"/>
        </w:tblCellMar>
        <w:tblLook w:val="0000" w:firstRow="0" w:lastRow="0" w:firstColumn="0" w:lastColumn="0" w:noHBand="0" w:noVBand="0"/>
      </w:tblPr>
      <w:tblGrid>
        <w:gridCol w:w="3144"/>
        <w:gridCol w:w="907"/>
        <w:gridCol w:w="907"/>
        <w:gridCol w:w="992"/>
        <w:gridCol w:w="907"/>
        <w:gridCol w:w="910"/>
        <w:gridCol w:w="16"/>
      </w:tblGrid>
      <w:tr w:rsidR="00E25CC6" w:rsidRPr="001D3263" w:rsidTr="00FB792C">
        <w:trPr>
          <w:gridAfter w:val="1"/>
          <w:wAfter w:w="16" w:type="dxa"/>
          <w:cantSplit/>
          <w:tblHeader/>
        </w:trPr>
        <w:tc>
          <w:tcPr>
            <w:tcW w:w="3144" w:type="dxa"/>
            <w:tcBorders>
              <w:top w:val="nil"/>
              <w:left w:val="nil"/>
              <w:bottom w:val="single" w:sz="4" w:space="0" w:color="auto"/>
              <w:right w:val="nil"/>
            </w:tcBorders>
            <w:shd w:val="solid" w:color="000000" w:fill="auto"/>
            <w:vAlign w:val="bottom"/>
          </w:tcPr>
          <w:p w:rsidR="00E25CC6" w:rsidRPr="001D3263" w:rsidRDefault="00E25CC6" w:rsidP="00654395">
            <w:pPr>
              <w:autoSpaceDE w:val="0"/>
              <w:autoSpaceDN w:val="0"/>
              <w:adjustRightInd w:val="0"/>
              <w:spacing w:after="0"/>
              <w:rPr>
                <w:rFonts w:ascii="Calibri" w:eastAsiaTheme="minorEastAsia" w:hAnsi="Calibri" w:cs="Calibri"/>
                <w:i/>
                <w:iCs/>
                <w:color w:val="FFFFFF"/>
                <w:sz w:val="19"/>
                <w:szCs w:val="22"/>
                <w:lang w:eastAsia="en-AU"/>
              </w:rPr>
            </w:pPr>
            <w:r w:rsidRPr="001D3263">
              <w:rPr>
                <w:rFonts w:ascii="Calibri" w:eastAsiaTheme="minorEastAsia" w:hAnsi="Calibri" w:cs="Calibri"/>
                <w:b/>
                <w:bCs/>
                <w:color w:val="FFFFFF"/>
                <w:sz w:val="19"/>
                <w:szCs w:val="22"/>
                <w:lang w:eastAsia="en-AU"/>
              </w:rPr>
              <w:t>Major outputs/deliverables</w:t>
            </w:r>
          </w:p>
          <w:p w:rsidR="00E25CC6" w:rsidRPr="007177D1" w:rsidRDefault="00E25CC6" w:rsidP="00654395">
            <w:pPr>
              <w:autoSpaceDE w:val="0"/>
              <w:autoSpaceDN w:val="0"/>
              <w:adjustRightInd w:val="0"/>
              <w:spacing w:after="0"/>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center"/>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target</w:t>
            </w:r>
          </w:p>
        </w:tc>
        <w:tc>
          <w:tcPr>
            <w:tcW w:w="910"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15 actual</w:t>
            </w:r>
          </w:p>
        </w:tc>
      </w:tr>
      <w:tr w:rsidR="00E25CC6" w:rsidRPr="001D3263" w:rsidTr="00FB792C">
        <w:trPr>
          <w:gridAfter w:val="1"/>
          <w:wAfter w:w="16" w:type="dxa"/>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Government</w:t>
            </w:r>
            <w:r>
              <w:rPr>
                <w:rFonts w:eastAsiaTheme="minorEastAsia"/>
                <w:lang w:eastAsia="en-AU"/>
              </w:rPr>
              <w:noBreakHyphen/>
            </w:r>
            <w:r w:rsidRPr="001D3263">
              <w:rPr>
                <w:rFonts w:eastAsiaTheme="minorEastAsia"/>
                <w:lang w:eastAsia="en-AU"/>
              </w:rPr>
              <w:t>wide leadership, reform and implementation</w:t>
            </w:r>
          </w:p>
        </w:tc>
      </w:tr>
      <w:tr w:rsidR="00E25CC6" w:rsidRPr="001D3263" w:rsidTr="00FB792C">
        <w:trPr>
          <w:cantSplit/>
        </w:trPr>
        <w:tc>
          <w:tcPr>
            <w:tcW w:w="7783" w:type="dxa"/>
            <w:gridSpan w:val="7"/>
            <w:tcBorders>
              <w:top w:val="nil"/>
              <w:left w:val="nil"/>
              <w:bottom w:val="single" w:sz="6" w:space="0" w:color="auto"/>
              <w:right w:val="nil"/>
            </w:tcBorders>
          </w:tcPr>
          <w:p w:rsidR="00E25CC6" w:rsidRPr="007177D1" w:rsidRDefault="00E25CC6" w:rsidP="00654395">
            <w:pPr>
              <w:pStyle w:val="OGText"/>
              <w:rPr>
                <w:rFonts w:eastAsiaTheme="minorEastAsia" w:cs="Calibri"/>
                <w:color w:val="000000"/>
                <w:sz w:val="19"/>
                <w:szCs w:val="22"/>
                <w:lang w:eastAsia="en-AU"/>
              </w:rPr>
            </w:pPr>
            <w:r w:rsidRPr="001D3263">
              <w:rPr>
                <w:rFonts w:eastAsiaTheme="minorEastAsia"/>
                <w:lang w:eastAsia="en-AU"/>
              </w:rPr>
              <w:t>Lead whole of government policy and responses to significant identified issues. Monitor the implementation and delivery of the Government</w:t>
            </w:r>
            <w:r>
              <w:rPr>
                <w:rFonts w:eastAsiaTheme="minorEastAsia"/>
                <w:lang w:eastAsia="en-AU"/>
              </w:rPr>
              <w:t>’</w:t>
            </w:r>
            <w:r w:rsidRPr="001D3263">
              <w:rPr>
                <w:rFonts w:eastAsiaTheme="minorEastAsia"/>
                <w:lang w:eastAsia="en-AU"/>
              </w:rPr>
              <w:t>s decisions and projects.</w:t>
            </w:r>
          </w:p>
        </w:tc>
      </w:tr>
      <w:tr w:rsidR="00E25CC6" w:rsidRPr="001D3263" w:rsidTr="00FB792C">
        <w:trPr>
          <w:gridAfter w:val="1"/>
          <w:wAfter w:w="16" w:type="dxa"/>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gridAfter w:val="1"/>
          <w:wAfter w:w="16" w:type="dxa"/>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Whole of Government emergency management forums, meetings and exercises facilitated</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18</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16</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23</w:t>
            </w:r>
          </w:p>
        </w:tc>
      </w:tr>
      <w:tr w:rsidR="00E25CC6" w:rsidRPr="001D3263" w:rsidTr="00FB792C">
        <w:trPr>
          <w:gridAfter w:val="1"/>
          <w:wAfter w:w="16" w:type="dxa"/>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higher than the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special meetings held to prepare for an early start to the 2015</w:t>
            </w:r>
            <w:r>
              <w:rPr>
                <w:rFonts w:eastAsiaTheme="minorEastAsia"/>
              </w:rPr>
              <w:noBreakHyphen/>
            </w:r>
            <w:r w:rsidRPr="001D3263">
              <w:rPr>
                <w:rFonts w:eastAsiaTheme="minorEastAsia"/>
              </w:rPr>
              <w:t>16 summer fire season and required early response to fires. 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additional meetings for the establishment of a new Ministerial committee to oversee recovery arrangements from significant disasters. </w:t>
            </w:r>
          </w:p>
        </w:tc>
      </w:tr>
      <w:tr w:rsidR="00E25CC6" w:rsidRPr="001D3263" w:rsidTr="00FB792C">
        <w:trPr>
          <w:gridAfter w:val="1"/>
          <w:wAfter w:w="16" w:type="dxa"/>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Whole of government forums, meetings and advisory groups chaired</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73</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73</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54</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gridAfter w:val="1"/>
          <w:wAfter w:w="16" w:type="dxa"/>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higher than the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increased portfolio responsibility including National Disability Insurance Scheme (NDIS) and Premier</w:t>
            </w:r>
            <w:r>
              <w:rPr>
                <w:rFonts w:eastAsiaTheme="minorEastAsia"/>
              </w:rPr>
              <w:t>’</w:t>
            </w:r>
            <w:r w:rsidRPr="001D3263">
              <w:rPr>
                <w:rFonts w:eastAsiaTheme="minorEastAsia"/>
              </w:rPr>
              <w:t>s Jobs and Investment Panel and associated Inter</w:t>
            </w:r>
            <w:r>
              <w:rPr>
                <w:rFonts w:eastAsiaTheme="minorEastAsia"/>
              </w:rPr>
              <w:t xml:space="preserve"> </w:t>
            </w:r>
            <w:r w:rsidRPr="001D3263">
              <w:rPr>
                <w:rFonts w:eastAsiaTheme="minorEastAsia"/>
              </w:rPr>
              <w:t>Departmental Committee (IDC).</w:t>
            </w:r>
            <w:r>
              <w:rPr>
                <w:rFonts w:eastAsiaTheme="minorEastAsia"/>
              </w:rPr>
              <w:t xml:space="preserve"> </w:t>
            </w: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the continued increase in portfolio responsibility.</w:t>
            </w:r>
          </w:p>
        </w:tc>
      </w:tr>
      <w:tr w:rsidR="00E25CC6" w:rsidRPr="001D3263" w:rsidTr="00D265BA">
        <w:trPr>
          <w:gridAfter w:val="1"/>
          <w:wAfter w:w="16" w:type="dxa"/>
          <w:cantSplit/>
        </w:trPr>
        <w:tc>
          <w:tcPr>
            <w:tcW w:w="3144" w:type="dxa"/>
            <w:tcBorders>
              <w:top w:val="nil"/>
              <w:left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265BA">
        <w:trPr>
          <w:gridAfter w:val="1"/>
          <w:wAfter w:w="16" w:type="dxa"/>
          <w:cantSplit/>
        </w:trPr>
        <w:tc>
          <w:tcPr>
            <w:tcW w:w="3144" w:type="dxa"/>
            <w:tcBorders>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Relevant communication activity compliant with government advertising and communication guidelines</w:t>
            </w:r>
          </w:p>
        </w:tc>
        <w:tc>
          <w:tcPr>
            <w:tcW w:w="907" w:type="dxa"/>
            <w:tcBorders>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gridAfter w:val="1"/>
          <w:wAfter w:w="16" w:type="dxa"/>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7177D1" w:rsidTr="00D5436B">
        <w:trPr>
          <w:gridAfter w:val="1"/>
          <w:wAfter w:w="16" w:type="dxa"/>
          <w:cantSplit/>
        </w:trPr>
        <w:tc>
          <w:tcPr>
            <w:tcW w:w="3144" w:type="dxa"/>
            <w:tcBorders>
              <w:top w:val="nil"/>
              <w:left w:val="nil"/>
              <w:bottom w:val="nil"/>
              <w:right w:val="nil"/>
            </w:tcBorders>
          </w:tcPr>
          <w:p w:rsidR="00E25CC6" w:rsidRPr="001D3263" w:rsidRDefault="00E25CC6" w:rsidP="00D5436B">
            <w:pPr>
              <w:pStyle w:val="OGTabText"/>
              <w:rPr>
                <w:rFonts w:eastAsiaTheme="minorEastAsia"/>
                <w:lang w:eastAsia="en-AU"/>
              </w:rPr>
            </w:pPr>
            <w:r w:rsidRPr="001D3263">
              <w:rPr>
                <w:rFonts w:eastAsiaTheme="minorEastAsia"/>
                <w:lang w:eastAsia="en-AU"/>
              </w:rPr>
              <w:t>Delivery of projects within agreed timelines</w:t>
            </w:r>
          </w:p>
        </w:tc>
        <w:tc>
          <w:tcPr>
            <w:tcW w:w="907" w:type="dxa"/>
            <w:tcBorders>
              <w:top w:val="nil"/>
              <w:left w:val="nil"/>
              <w:bottom w:val="nil"/>
              <w:right w:val="nil"/>
            </w:tcBorders>
          </w:tcPr>
          <w:p w:rsidR="00E25CC6" w:rsidRPr="007177D1" w:rsidRDefault="00E25CC6" w:rsidP="00D5436B">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7177D1" w:rsidRDefault="00E25CC6" w:rsidP="00D5436B">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7177D1" w:rsidRDefault="00E25CC6" w:rsidP="00D5436B">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7177D1" w:rsidRDefault="00E25CC6" w:rsidP="00D5436B">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10" w:type="dxa"/>
            <w:tcBorders>
              <w:top w:val="nil"/>
              <w:left w:val="nil"/>
              <w:bottom w:val="nil"/>
              <w:right w:val="nil"/>
            </w:tcBorders>
          </w:tcPr>
          <w:p w:rsidR="00E25CC6" w:rsidRPr="007177D1" w:rsidRDefault="00E25CC6" w:rsidP="00D5436B">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D5436B">
        <w:trPr>
          <w:gridAfter w:val="1"/>
          <w:wAfter w:w="16" w:type="dxa"/>
          <w:cantSplit/>
        </w:trPr>
        <w:tc>
          <w:tcPr>
            <w:tcW w:w="7767" w:type="dxa"/>
            <w:gridSpan w:val="6"/>
            <w:tcBorders>
              <w:top w:val="nil"/>
              <w:left w:val="nil"/>
              <w:bottom w:val="single" w:sz="6" w:space="0" w:color="auto"/>
              <w:right w:val="nil"/>
            </w:tcBorders>
          </w:tcPr>
          <w:p w:rsidR="00E25CC6" w:rsidRPr="001D3263" w:rsidRDefault="00E25CC6" w:rsidP="00D5436B">
            <w:pPr>
              <w:pStyle w:val="OGNotes"/>
              <w:rPr>
                <w:rFonts w:eastAsiaTheme="minorEastAsia"/>
              </w:rPr>
            </w:pPr>
            <w:r w:rsidRPr="001D3263">
              <w:rPr>
                <w:rFonts w:eastAsiaTheme="minorEastAsia"/>
              </w:rPr>
              <w:t>New performance measure for 2016</w:t>
            </w:r>
            <w:r>
              <w:rPr>
                <w:rFonts w:eastAsiaTheme="minorEastAsia"/>
              </w:rPr>
              <w:noBreakHyphen/>
            </w:r>
            <w:r w:rsidRPr="001D3263">
              <w:rPr>
                <w:rFonts w:eastAsiaTheme="minorEastAsia"/>
              </w:rPr>
              <w:t xml:space="preserve">17 to reflect new funding for the </w:t>
            </w:r>
            <w:r>
              <w:rPr>
                <w:rFonts w:eastAsiaTheme="minorEastAsia"/>
              </w:rPr>
              <w:t>‘</w:t>
            </w:r>
            <w:r w:rsidRPr="001D3263">
              <w:rPr>
                <w:rFonts w:eastAsiaTheme="minorEastAsia"/>
              </w:rPr>
              <w:t>Service Victoria</w:t>
            </w:r>
            <w:r>
              <w:rPr>
                <w:rFonts w:eastAsiaTheme="minorEastAsia"/>
              </w:rPr>
              <w:t>’</w:t>
            </w:r>
            <w:r w:rsidRPr="001D3263">
              <w:rPr>
                <w:rFonts w:eastAsiaTheme="minorEastAsia"/>
              </w:rPr>
              <w:t xml:space="preserve"> initiative.</w:t>
            </w:r>
          </w:p>
        </w:tc>
      </w:tr>
      <w:tr w:rsidR="00E25CC6" w:rsidRPr="001D3263" w:rsidTr="00FB792C">
        <w:trPr>
          <w:gridAfter w:val="1"/>
          <w:wAfter w:w="16" w:type="dxa"/>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Timely delivery of state events and functions</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gridAfter w:val="1"/>
          <w:wAfter w:w="16" w:type="dxa"/>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801FF">
        <w:trPr>
          <w:gridAfter w:val="1"/>
          <w:wAfter w:w="16" w:type="dxa"/>
          <w:cantSplit/>
        </w:trPr>
        <w:tc>
          <w:tcPr>
            <w:tcW w:w="3144" w:type="dxa"/>
            <w:tcBorders>
              <w:top w:val="nil"/>
              <w:left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7" w:type="dxa"/>
            <w:tcBorders>
              <w:top w:val="nil"/>
              <w:left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133.5</w:t>
            </w:r>
          </w:p>
        </w:tc>
        <w:tc>
          <w:tcPr>
            <w:tcW w:w="992" w:type="dxa"/>
            <w:tcBorders>
              <w:top w:val="nil"/>
              <w:left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43.5</w:t>
            </w:r>
          </w:p>
        </w:tc>
        <w:tc>
          <w:tcPr>
            <w:tcW w:w="907"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43.2</w:t>
            </w:r>
          </w:p>
        </w:tc>
        <w:tc>
          <w:tcPr>
            <w:tcW w:w="910"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25.3</w:t>
            </w:r>
          </w:p>
        </w:tc>
      </w:tr>
      <w:tr w:rsidR="00E25CC6" w:rsidRPr="001D3263" w:rsidTr="00F801FF">
        <w:trPr>
          <w:gridAfter w:val="1"/>
          <w:wAfter w:w="16" w:type="dxa"/>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new funding provided for Service Victoria, National Disability Insurance Scheme (NDIS) initiatives, and the Hazelwood Mine Fire Inquiry.</w:t>
            </w:r>
          </w:p>
        </w:tc>
      </w:tr>
      <w:tr w:rsidR="00E25CC6" w:rsidRPr="001D3263" w:rsidTr="00F801FF">
        <w:trPr>
          <w:gridAfter w:val="1"/>
          <w:wAfter w:w="16" w:type="dxa"/>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Strategic Advice and Government Support</w:t>
            </w:r>
          </w:p>
        </w:tc>
      </w:tr>
      <w:tr w:rsidR="00E25CC6" w:rsidRPr="001D3263" w:rsidTr="00FB792C">
        <w:trPr>
          <w:gridAfter w:val="1"/>
          <w:wAfter w:w="16" w:type="dxa"/>
          <w:cantSplit/>
        </w:trPr>
        <w:tc>
          <w:tcPr>
            <w:tcW w:w="7767" w:type="dxa"/>
            <w:gridSpan w:val="6"/>
            <w:tcBorders>
              <w:top w:val="nil"/>
              <w:left w:val="nil"/>
              <w:bottom w:val="single" w:sz="6" w:space="0" w:color="auto"/>
              <w:right w:val="nil"/>
            </w:tcBorders>
          </w:tcPr>
          <w:p w:rsidR="00E25CC6" w:rsidRPr="007177D1" w:rsidRDefault="00E25CC6" w:rsidP="00654395">
            <w:pPr>
              <w:pStyle w:val="OGText"/>
              <w:rPr>
                <w:rFonts w:eastAsiaTheme="minorEastAsia" w:cs="Calibri"/>
                <w:color w:val="000000"/>
                <w:sz w:val="19"/>
                <w:szCs w:val="22"/>
                <w:lang w:eastAsia="en-AU"/>
              </w:rPr>
            </w:pPr>
            <w:r w:rsidRPr="001D3263">
              <w:rPr>
                <w:rFonts w:eastAsiaTheme="minorEastAsia"/>
                <w:lang w:eastAsia="en-AU"/>
              </w:rPr>
              <w:t>Provide strategic policy analysis and advice to the Premier, lead policy development on key priority issues and support informed Government decision</w:t>
            </w:r>
            <w:r>
              <w:rPr>
                <w:rFonts w:eastAsia="MS Gothic" w:cs="MS Gothic"/>
                <w:lang w:eastAsia="en-AU"/>
              </w:rPr>
              <w:t xml:space="preserve"> </w:t>
            </w:r>
            <w:r w:rsidRPr="001D3263">
              <w:rPr>
                <w:rFonts w:eastAsiaTheme="minorEastAsia"/>
                <w:lang w:eastAsia="en-AU"/>
              </w:rPr>
              <w:t>making.</w:t>
            </w:r>
          </w:p>
        </w:tc>
      </w:tr>
      <w:tr w:rsidR="00E25CC6" w:rsidRPr="001D3263" w:rsidTr="00FB792C">
        <w:trPr>
          <w:gridAfter w:val="1"/>
          <w:wAfter w:w="16" w:type="dxa"/>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gridAfter w:val="1"/>
          <w:wAfter w:w="16" w:type="dxa"/>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Number of briefs supporting Cabinet and Cabinet committee decision</w:t>
            </w:r>
            <w:r>
              <w:rPr>
                <w:rFonts w:eastAsiaTheme="minorEastAsia"/>
                <w:lang w:eastAsia="en-AU"/>
              </w:rPr>
              <w:t xml:space="preserve"> </w:t>
            </w:r>
            <w:r w:rsidRPr="001D3263">
              <w:rPr>
                <w:rFonts w:eastAsiaTheme="minorEastAsia"/>
                <w:lang w:eastAsia="en-AU"/>
              </w:rPr>
              <w:t>making</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1 200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1 200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1 200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986</w:t>
            </w:r>
          </w:p>
        </w:tc>
      </w:tr>
      <w:tr w:rsidR="00E25CC6" w:rsidRPr="001D3263" w:rsidTr="00FB792C">
        <w:trPr>
          <w:gridAfter w:val="1"/>
          <w:wAfter w:w="16" w:type="dxa"/>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B792C">
        <w:trPr>
          <w:gridAfter w:val="1"/>
          <w:wAfter w:w="16" w:type="dxa"/>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Policy services satisfaction rating</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86</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r>
      <w:tr w:rsidR="00E25CC6" w:rsidRPr="001D3263" w:rsidTr="00FB792C">
        <w:trPr>
          <w:gridAfter w:val="1"/>
          <w:wAfter w:w="16" w:type="dxa"/>
          <w:cantSplit/>
        </w:trPr>
        <w:tc>
          <w:tcPr>
            <w:tcW w:w="7767" w:type="dxa"/>
            <w:gridSpan w:val="6"/>
            <w:tcBorders>
              <w:top w:val="nil"/>
              <w:left w:val="nil"/>
              <w:bottom w:val="single" w:sz="6" w:space="0" w:color="auto"/>
              <w:right w:val="nil"/>
            </w:tcBorders>
          </w:tcPr>
          <w:p w:rsidR="00E25CC6" w:rsidRPr="001D3263" w:rsidRDefault="00E25CC6" w:rsidP="00E90E81">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funding for the </w:t>
            </w:r>
            <w:r>
              <w:rPr>
                <w:rFonts w:eastAsiaTheme="minorEastAsia"/>
              </w:rPr>
              <w:t>‘</w:t>
            </w:r>
            <w:r w:rsidRPr="001D3263">
              <w:rPr>
                <w:rFonts w:eastAsiaTheme="minorEastAsia"/>
              </w:rPr>
              <w:t>Creating a Stronger VPS Through a Stronger Centre</w:t>
            </w:r>
            <w:r>
              <w:rPr>
                <w:rFonts w:eastAsiaTheme="minorEastAsia"/>
              </w:rPr>
              <w:t>’</w:t>
            </w:r>
            <w:r w:rsidRPr="001D3263">
              <w:rPr>
                <w:rFonts w:eastAsiaTheme="minorEastAsia"/>
              </w:rPr>
              <w:t xml:space="preserve"> initiative. </w:t>
            </w:r>
          </w:p>
        </w:tc>
      </w:tr>
      <w:tr w:rsidR="00E25CC6" w:rsidRPr="001D3263" w:rsidTr="00FB792C">
        <w:trPr>
          <w:gridAfter w:val="1"/>
          <w:wAfter w:w="16" w:type="dxa"/>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r>
      <w:tr w:rsidR="00E25CC6" w:rsidRPr="001D3263" w:rsidTr="00FB792C">
        <w:trPr>
          <w:gridAfter w:val="1"/>
          <w:wAfter w:w="16" w:type="dxa"/>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Policy services timeliness rating</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91</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94</w:t>
            </w:r>
          </w:p>
        </w:tc>
      </w:tr>
      <w:tr w:rsidR="00E25CC6" w:rsidRPr="001D3263" w:rsidTr="00FB792C">
        <w:trPr>
          <w:gridAfter w:val="1"/>
          <w:wAfter w:w="16" w:type="dxa"/>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801FF">
        <w:trPr>
          <w:gridAfter w:val="1"/>
          <w:wAfter w:w="16" w:type="dxa"/>
          <w:cantSplit/>
        </w:trPr>
        <w:tc>
          <w:tcPr>
            <w:tcW w:w="3144" w:type="dxa"/>
            <w:tcBorders>
              <w:top w:val="nil"/>
              <w:left w:val="nil"/>
              <w:right w:val="nil"/>
            </w:tcBorders>
          </w:tcPr>
          <w:p w:rsidR="00E25CC6" w:rsidRPr="00C17937" w:rsidRDefault="00E25CC6" w:rsidP="00654395">
            <w:pPr>
              <w:pStyle w:val="OGTabText"/>
              <w:rPr>
                <w:rFonts w:eastAsiaTheme="minorEastAsia"/>
                <w:lang w:eastAsia="en-AU"/>
              </w:rPr>
            </w:pPr>
            <w:r w:rsidRPr="00C17937">
              <w:rPr>
                <w:rFonts w:eastAsiaTheme="minorEastAsia"/>
                <w:lang w:eastAsia="en-AU"/>
              </w:rPr>
              <w:t>Total output cost</w:t>
            </w:r>
          </w:p>
        </w:tc>
        <w:tc>
          <w:tcPr>
            <w:tcW w:w="907" w:type="dxa"/>
            <w:tcBorders>
              <w:top w:val="nil"/>
              <w:left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 million</w:t>
            </w:r>
          </w:p>
        </w:tc>
        <w:tc>
          <w:tcPr>
            <w:tcW w:w="907" w:type="dxa"/>
            <w:tcBorders>
              <w:top w:val="nil"/>
              <w:left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105.1</w:t>
            </w:r>
          </w:p>
        </w:tc>
        <w:tc>
          <w:tcPr>
            <w:tcW w:w="992" w:type="dxa"/>
            <w:tcBorders>
              <w:top w:val="nil"/>
              <w:left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78.8</w:t>
            </w:r>
          </w:p>
        </w:tc>
        <w:tc>
          <w:tcPr>
            <w:tcW w:w="907" w:type="dxa"/>
            <w:tcBorders>
              <w:top w:val="nil"/>
              <w:left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79.7</w:t>
            </w:r>
          </w:p>
        </w:tc>
        <w:tc>
          <w:tcPr>
            <w:tcW w:w="910" w:type="dxa"/>
            <w:tcBorders>
              <w:top w:val="nil"/>
              <w:left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84.4</w:t>
            </w:r>
          </w:p>
        </w:tc>
      </w:tr>
      <w:tr w:rsidR="00E25CC6" w:rsidRPr="001D3263" w:rsidTr="00F801FF">
        <w:trPr>
          <w:gridAfter w:val="1"/>
          <w:wAfter w:w="16" w:type="dxa"/>
          <w:cantSplit/>
        </w:trPr>
        <w:tc>
          <w:tcPr>
            <w:tcW w:w="7767" w:type="dxa"/>
            <w:gridSpan w:val="6"/>
            <w:tcBorders>
              <w:top w:val="nil"/>
              <w:left w:val="nil"/>
              <w:bottom w:val="single" w:sz="12" w:space="0" w:color="auto"/>
              <w:right w:val="nil"/>
            </w:tcBorders>
          </w:tcPr>
          <w:p w:rsidR="00E25CC6" w:rsidRPr="00C17937" w:rsidRDefault="00E25CC6" w:rsidP="00E90E81">
            <w:pPr>
              <w:pStyle w:val="OGNotes"/>
              <w:rPr>
                <w:rFonts w:eastAsiaTheme="minorEastAsia"/>
              </w:rPr>
            </w:pPr>
            <w:r w:rsidRPr="00C17937">
              <w:rPr>
                <w:rFonts w:eastAsiaTheme="minorEastAsia"/>
              </w:rPr>
              <w:t>The higher 2016</w:t>
            </w:r>
            <w:r w:rsidRPr="00C17937">
              <w:rPr>
                <w:rFonts w:eastAsiaTheme="minorEastAsia"/>
              </w:rPr>
              <w:noBreakHyphen/>
              <w:t xml:space="preserve">17 target reflects new funding for the </w:t>
            </w:r>
            <w:r>
              <w:rPr>
                <w:rFonts w:eastAsiaTheme="minorEastAsia"/>
              </w:rPr>
              <w:t>‘</w:t>
            </w:r>
            <w:r w:rsidRPr="00C17937">
              <w:rPr>
                <w:rFonts w:eastAsiaTheme="minorEastAsia"/>
              </w:rPr>
              <w:t>Creating a Stronger VPS Through a Stronger Centre</w:t>
            </w:r>
            <w:r>
              <w:rPr>
                <w:rFonts w:eastAsiaTheme="minorEastAsia"/>
              </w:rPr>
              <w:t>’</w:t>
            </w:r>
            <w:r w:rsidRPr="00C17937">
              <w:rPr>
                <w:rFonts w:eastAsiaTheme="minorEastAsia"/>
              </w:rPr>
              <w:t xml:space="preserve"> initiative and the deferral of some activities from 2015</w:t>
            </w:r>
            <w:r w:rsidRPr="00C17937">
              <w:rPr>
                <w:rFonts w:eastAsiaTheme="minorEastAsia"/>
              </w:rPr>
              <w:noBreakHyphen/>
              <w:t>16 to 2016</w:t>
            </w:r>
            <w:r w:rsidRPr="00C17937">
              <w:rPr>
                <w:rFonts w:eastAsiaTheme="minorEastAsia"/>
              </w:rPr>
              <w:noBreakHyphen/>
              <w:t>17.</w:t>
            </w:r>
          </w:p>
        </w:tc>
      </w:tr>
    </w:tbl>
    <w:p w:rsidR="00E25CC6" w:rsidRDefault="00E25CC6" w:rsidP="00F801FF">
      <w:pPr>
        <w:pStyle w:val="Source"/>
      </w:pPr>
      <w:r>
        <w:t>Source: Department of Premier and Cabinet</w:t>
      </w:r>
      <w:bookmarkEnd w:id="97"/>
      <w:r>
        <w:t xml:space="preserve"> </w:t>
      </w:r>
      <w:r>
        <w:fldChar w:fldCharType="begin"/>
      </w:r>
      <w:r>
        <w:instrText xml:space="preserve"> XE "</w:instrText>
      </w:r>
      <w:r w:rsidRPr="0098000A">
        <w:instrText>Department of Premier and Cabinet:Strong Policy Outcomes</w:instrText>
      </w:r>
      <w:r>
        <w:instrText xml:space="preserve">" \r "DPC_StrongPolOut" </w:instrText>
      </w:r>
      <w:r>
        <w:fldChar w:fldCharType="end"/>
      </w:r>
    </w:p>
    <w:p w:rsidR="00E25CC6" w:rsidRDefault="00E25CC6" w:rsidP="006641CF">
      <w:pPr>
        <w:pStyle w:val="OGText"/>
      </w:pPr>
    </w:p>
    <w:p w:rsidR="00E25CC6" w:rsidRDefault="00E25CC6">
      <w:pPr>
        <w:spacing w:after="0"/>
        <w:rPr>
          <w:rFonts w:ascii="Calibri" w:hAnsi="Calibri"/>
          <w:b/>
          <w:sz w:val="32"/>
          <w:szCs w:val="28"/>
        </w:rPr>
      </w:pPr>
      <w:r>
        <w:br w:type="page"/>
      </w:r>
    </w:p>
    <w:p w:rsidR="00E25CC6" w:rsidRPr="004637EE" w:rsidRDefault="00E25CC6" w:rsidP="00FB792C">
      <w:pPr>
        <w:pStyle w:val="OGHeading1"/>
      </w:pPr>
      <w:r w:rsidRPr="004637EE">
        <w:t xml:space="preserve">Productivity and competitiveness </w:t>
      </w:r>
    </w:p>
    <w:p w:rsidR="00E25CC6" w:rsidRDefault="00E25CC6" w:rsidP="00FB792C">
      <w:pPr>
        <w:pStyle w:val="OGText"/>
      </w:pPr>
      <w:bookmarkStart w:id="98" w:name="DPC_ProductCompet"/>
      <w:r w:rsidRPr="004637EE">
        <w:t>These outputs relate to advice and in</w:t>
      </w:r>
      <w:r>
        <w:t>vestment relating to Victorian i</w:t>
      </w:r>
      <w:r w:rsidRPr="004637EE">
        <w:t xml:space="preserve">nfrastructure, </w:t>
      </w:r>
      <w:r>
        <w:t>a</w:t>
      </w:r>
      <w:r w:rsidRPr="004637EE">
        <w:t>rchitecture and digital government. This involves driving the economy for Victoria and developing the effective use of technology to support productivity and competitiveness.</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7"/>
        <w:gridCol w:w="907"/>
        <w:gridCol w:w="992"/>
        <w:gridCol w:w="907"/>
        <w:gridCol w:w="910"/>
      </w:tblGrid>
      <w:tr w:rsidR="00E25CC6" w:rsidRPr="001D3263" w:rsidTr="00654395">
        <w:trPr>
          <w:cantSplit/>
          <w:tblHeader/>
        </w:trPr>
        <w:tc>
          <w:tcPr>
            <w:tcW w:w="3144" w:type="dxa"/>
            <w:tcBorders>
              <w:top w:val="nil"/>
              <w:left w:val="nil"/>
              <w:bottom w:val="single" w:sz="4" w:space="0" w:color="auto"/>
              <w:right w:val="nil"/>
            </w:tcBorders>
            <w:shd w:val="solid" w:color="000000" w:fill="auto"/>
            <w:vAlign w:val="bottom"/>
          </w:tcPr>
          <w:p w:rsidR="00E25CC6" w:rsidRPr="001D3263" w:rsidRDefault="00E25CC6" w:rsidP="00654395">
            <w:pPr>
              <w:autoSpaceDE w:val="0"/>
              <w:autoSpaceDN w:val="0"/>
              <w:adjustRightInd w:val="0"/>
              <w:spacing w:after="0"/>
              <w:rPr>
                <w:rFonts w:ascii="Calibri" w:eastAsiaTheme="minorEastAsia" w:hAnsi="Calibri" w:cs="Calibri"/>
                <w:i/>
                <w:iCs/>
                <w:color w:val="FFFFFF"/>
                <w:sz w:val="19"/>
                <w:szCs w:val="22"/>
                <w:lang w:eastAsia="en-AU"/>
              </w:rPr>
            </w:pPr>
            <w:r w:rsidRPr="001D3263">
              <w:rPr>
                <w:rFonts w:ascii="Calibri" w:eastAsiaTheme="minorEastAsia" w:hAnsi="Calibri" w:cs="Calibri"/>
                <w:b/>
                <w:bCs/>
                <w:color w:val="FFFFFF"/>
                <w:sz w:val="19"/>
                <w:szCs w:val="22"/>
                <w:lang w:eastAsia="en-AU"/>
              </w:rPr>
              <w:t>Major outputs/deliverables</w:t>
            </w:r>
          </w:p>
          <w:p w:rsidR="00E25CC6" w:rsidRPr="007177D1" w:rsidRDefault="00E25CC6" w:rsidP="00654395">
            <w:pPr>
              <w:autoSpaceDE w:val="0"/>
              <w:autoSpaceDN w:val="0"/>
              <w:adjustRightInd w:val="0"/>
              <w:spacing w:after="0"/>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center"/>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target</w:t>
            </w:r>
          </w:p>
        </w:tc>
        <w:tc>
          <w:tcPr>
            <w:tcW w:w="910"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15 actual</w:t>
            </w:r>
          </w:p>
        </w:tc>
      </w:tr>
      <w:tr w:rsidR="00E25CC6" w:rsidRPr="001D3263" w:rsidTr="00654395">
        <w:trPr>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Infrastructure Victoria</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7177D1" w:rsidRDefault="00E25CC6" w:rsidP="002D2E5D">
            <w:pPr>
              <w:pStyle w:val="OGText"/>
              <w:rPr>
                <w:rFonts w:eastAsiaTheme="minorEastAsia" w:cs="Calibri"/>
                <w:color w:val="000000"/>
                <w:sz w:val="19"/>
                <w:szCs w:val="22"/>
                <w:lang w:eastAsia="en-AU"/>
              </w:rPr>
            </w:pPr>
            <w:r w:rsidRPr="001D3263">
              <w:rPr>
                <w:rFonts w:eastAsiaTheme="minorEastAsia"/>
                <w:lang w:eastAsia="en-AU"/>
              </w:rPr>
              <w:t xml:space="preserve">Provide independent and transparent advice to Government on infrastructure priorities and set a long term strategy for infrastructure investment. </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Number of publications or discussion papers released</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654395">
            <w:pPr>
              <w:pStyle w:val="OGNotes"/>
              <w:rPr>
                <w:rFonts w:eastAsiaTheme="minorEastAsia"/>
              </w:rPr>
            </w:pPr>
            <w:r w:rsidRPr="00C17937">
              <w:rPr>
                <w:rFonts w:eastAsiaTheme="minorEastAsia"/>
              </w:rPr>
              <w:t>This performance measure renames the 2015</w:t>
            </w:r>
            <w:r w:rsidRPr="00C17937">
              <w:rPr>
                <w:rFonts w:eastAsiaTheme="minorEastAsia"/>
              </w:rPr>
              <w:noBreakHyphen/>
              <w:t xml:space="preserve">16 performance measure </w:t>
            </w:r>
            <w:r>
              <w:rPr>
                <w:rFonts w:eastAsiaTheme="minorEastAsia"/>
              </w:rPr>
              <w:t>‘</w:t>
            </w:r>
            <w:r w:rsidRPr="00C17937">
              <w:rPr>
                <w:rFonts w:eastAsiaTheme="minorEastAsia"/>
              </w:rPr>
              <w:t>Number of research, advisory or long</w:t>
            </w:r>
            <w:r w:rsidRPr="00C17937">
              <w:rPr>
                <w:rFonts w:eastAsiaTheme="minorEastAsia"/>
              </w:rPr>
              <w:noBreakHyphen/>
              <w:t>term project reports completed</w:t>
            </w:r>
            <w:r>
              <w:rPr>
                <w:rFonts w:eastAsiaTheme="minorEastAsia"/>
              </w:rPr>
              <w:t>’</w:t>
            </w:r>
            <w:r w:rsidRPr="00C17937">
              <w:rPr>
                <w:rFonts w:eastAsiaTheme="minorEastAsia"/>
              </w:rPr>
              <w:t>. The new measure reports on the same activity as the previous measure</w:t>
            </w:r>
            <w:r>
              <w:rPr>
                <w:rFonts w:eastAsiaTheme="minorEastAsia"/>
              </w:rPr>
              <w:t>,</w:t>
            </w:r>
            <w:r w:rsidRPr="00C17937">
              <w:rPr>
                <w:rFonts w:eastAsiaTheme="minorEastAsia"/>
              </w:rPr>
              <w:t xml:space="preserve"> however has been amended for increased clarity and reporting on all projects completed by Infrastructure Victoria. </w:t>
            </w:r>
          </w:p>
          <w:p w:rsidR="00E25CC6" w:rsidRPr="001D3263" w:rsidRDefault="00E25CC6" w:rsidP="00654395">
            <w:pPr>
              <w:pStyle w:val="OGNotes"/>
              <w:rPr>
                <w:rFonts w:eastAsiaTheme="minorEastAsia"/>
              </w:rPr>
            </w:pPr>
            <w:r w:rsidRPr="00C17937">
              <w:rPr>
                <w:rFonts w:eastAsiaTheme="minorEastAsia"/>
              </w:rPr>
              <w:t>The higher 2016</w:t>
            </w:r>
            <w:r w:rsidRPr="00C17937">
              <w:rPr>
                <w:rFonts w:eastAsiaTheme="minorEastAsia"/>
              </w:rPr>
              <w:noBreakHyphen/>
              <w:t xml:space="preserve">17 target reflects the establishment of Infrastructure Victoria. </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keepNext/>
              <w:autoSpaceDE w:val="0"/>
              <w:autoSpaceDN w:val="0"/>
              <w:adjustRightInd w:val="0"/>
              <w:spacing w:after="0"/>
              <w:ind w:left="230" w:hanging="230"/>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 xml:space="preserve">Stakeholder satisfaction with consultation process </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75</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75</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654395">
            <w:pPr>
              <w:pStyle w:val="OGNotes"/>
              <w:rPr>
                <w:rFonts w:eastAsiaTheme="minorEastAsia"/>
              </w:rPr>
            </w:pPr>
            <w:r w:rsidRPr="001D3263">
              <w:rPr>
                <w:rFonts w:eastAsiaTheme="minorEastAsia"/>
              </w:rPr>
              <w:t>This performance measure renames the 2015</w:t>
            </w:r>
            <w:r>
              <w:rPr>
                <w:rFonts w:eastAsiaTheme="minorEastAsia"/>
              </w:rPr>
              <w:noBreakHyphen/>
            </w:r>
            <w:r w:rsidRPr="001D3263">
              <w:rPr>
                <w:rFonts w:eastAsiaTheme="minorEastAsia"/>
              </w:rPr>
              <w:t xml:space="preserve">16 performance measure </w:t>
            </w:r>
            <w:r>
              <w:rPr>
                <w:rFonts w:eastAsiaTheme="minorEastAsia"/>
              </w:rPr>
              <w:t>‘</w:t>
            </w:r>
            <w:r w:rsidRPr="001D3263">
              <w:rPr>
                <w:rFonts w:eastAsiaTheme="minorEastAsia"/>
              </w:rPr>
              <w:t>Satisfaction with independent, transparent and expert advice on infrastructure needs and priorities</w:t>
            </w:r>
            <w:r>
              <w:rPr>
                <w:rFonts w:eastAsiaTheme="minorEastAsia"/>
              </w:rPr>
              <w:t>’</w:t>
            </w:r>
            <w:r w:rsidRPr="001D3263">
              <w:rPr>
                <w:rFonts w:eastAsiaTheme="minorEastAsia"/>
              </w:rPr>
              <w:t>. The new measure reports on the same activity as the previous measure</w:t>
            </w:r>
            <w:r>
              <w:rPr>
                <w:rFonts w:eastAsiaTheme="minorEastAsia"/>
              </w:rPr>
              <w:t>,</w:t>
            </w:r>
            <w:r w:rsidRPr="001D3263">
              <w:rPr>
                <w:rFonts w:eastAsiaTheme="minorEastAsia"/>
              </w:rPr>
              <w:t xml:space="preserve"> however has been amended for increased clarity and reporting on the broader work undertaken by Infrastructure Victoria. </w:t>
            </w:r>
          </w:p>
          <w:p w:rsidR="00E25CC6" w:rsidRDefault="00E25CC6" w:rsidP="00654395">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lower than the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a revision from the now established Infrastructure Victoria Board. </w:t>
            </w:r>
          </w:p>
          <w:p w:rsidR="00E25CC6" w:rsidRPr="001D3263" w:rsidRDefault="00E25CC6" w:rsidP="00654395">
            <w:pPr>
              <w:pStyle w:val="OGNotes"/>
              <w:rPr>
                <w:rFonts w:eastAsiaTheme="minorEastAsia"/>
              </w:rPr>
            </w:pPr>
            <w:r w:rsidRPr="001D3263">
              <w:rPr>
                <w:rFonts w:eastAsiaTheme="minorEastAsia"/>
              </w:rPr>
              <w:t>The lower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a revision from the now established Infrastructure Victoria Board.</w:t>
            </w:r>
            <w:r w:rsidRPr="006154C3">
              <w:rPr>
                <w:rFonts w:eastAsiaTheme="minorEastAsia"/>
              </w:rPr>
              <w:t xml:space="preserve"> </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Delivery of research, advisory or infrastructure strategies within agreed timelines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This performance measure renames the 2015</w:t>
            </w:r>
            <w:r>
              <w:rPr>
                <w:rFonts w:eastAsiaTheme="minorEastAsia"/>
              </w:rPr>
              <w:noBreakHyphen/>
            </w:r>
            <w:r w:rsidRPr="001D3263">
              <w:rPr>
                <w:rFonts w:eastAsiaTheme="minorEastAsia"/>
              </w:rPr>
              <w:t xml:space="preserve">16 performance measure </w:t>
            </w:r>
            <w:r>
              <w:rPr>
                <w:rFonts w:eastAsiaTheme="minorEastAsia"/>
              </w:rPr>
              <w:t>‘</w:t>
            </w:r>
            <w:r w:rsidRPr="001D3263">
              <w:rPr>
                <w:rFonts w:eastAsiaTheme="minorEastAsia"/>
              </w:rPr>
              <w:t>Delivery of research, advisory or long</w:t>
            </w:r>
            <w:r>
              <w:rPr>
                <w:rFonts w:eastAsiaTheme="minorEastAsia"/>
              </w:rPr>
              <w:noBreakHyphen/>
            </w:r>
            <w:r w:rsidRPr="001D3263">
              <w:rPr>
                <w:rFonts w:eastAsiaTheme="minorEastAsia"/>
              </w:rPr>
              <w:t>term project reports within agreed timelines</w:t>
            </w:r>
            <w:r>
              <w:rPr>
                <w:rFonts w:eastAsiaTheme="minorEastAsia"/>
              </w:rPr>
              <w:t>’</w:t>
            </w:r>
            <w:r w:rsidRPr="001D3263">
              <w:rPr>
                <w:rFonts w:eastAsiaTheme="minorEastAsia"/>
              </w:rPr>
              <w:t>. The new measure reports on the same activity as the previous measure</w:t>
            </w:r>
            <w:r>
              <w:rPr>
                <w:rFonts w:eastAsiaTheme="minorEastAsia"/>
              </w:rPr>
              <w:t>,</w:t>
            </w:r>
            <w:r w:rsidRPr="001D3263">
              <w:rPr>
                <w:rFonts w:eastAsiaTheme="minorEastAsia"/>
              </w:rPr>
              <w:t xml:space="preserve"> however has been amended for increased clarity and reporting on all projects completed by Infrastructure Victoria.</w:t>
            </w:r>
          </w:p>
        </w:tc>
      </w:tr>
      <w:tr w:rsidR="00E25CC6" w:rsidRPr="001D3263" w:rsidTr="00C17937">
        <w:trPr>
          <w:cantSplit/>
        </w:trPr>
        <w:tc>
          <w:tcPr>
            <w:tcW w:w="3144" w:type="dxa"/>
            <w:tcBorders>
              <w:top w:val="nil"/>
              <w:left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C17937">
        <w:trPr>
          <w:cantSplit/>
        </w:trPr>
        <w:tc>
          <w:tcPr>
            <w:tcW w:w="3144" w:type="dxa"/>
            <w:tcBorders>
              <w:top w:val="nil"/>
              <w:left w:val="nil"/>
              <w:bottom w:val="single" w:sz="4"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7" w:type="dxa"/>
            <w:tcBorders>
              <w:top w:val="nil"/>
              <w:left w:val="nil"/>
              <w:bottom w:val="single" w:sz="4"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bottom w:val="single" w:sz="4"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single" w:sz="4"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nil"/>
              <w:left w:val="nil"/>
              <w:bottom w:val="single" w:sz="4"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single" w:sz="4"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C17937">
        <w:trPr>
          <w:cantSplit/>
        </w:trPr>
        <w:tc>
          <w:tcPr>
            <w:tcW w:w="7767" w:type="dxa"/>
            <w:gridSpan w:val="6"/>
            <w:tcBorders>
              <w:top w:val="single" w:sz="4"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Public Sector ICT and Digital Government</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Text"/>
              <w:rPr>
                <w:rFonts w:eastAsiaTheme="minorEastAsia"/>
                <w:lang w:eastAsia="en-AU"/>
              </w:rPr>
            </w:pPr>
            <w:r w:rsidRPr="001D3263">
              <w:rPr>
                <w:rFonts w:eastAsiaTheme="minorEastAsia"/>
                <w:lang w:eastAsia="en-AU"/>
              </w:rPr>
              <w:t>Effective investment, procurement and management of ICT in government. Encourage the innovative use of ICT to improve service delivery and business processes, and provide information and services to Victorian citizens and businesses through digital and other delivery channels.</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keepNext/>
              <w:autoSpaceDE w:val="0"/>
              <w:autoSpaceDN w:val="0"/>
              <w:adjustRightInd w:val="0"/>
              <w:spacing w:after="0"/>
              <w:ind w:left="230" w:hanging="230"/>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keepNext/>
              <w:rPr>
                <w:rFonts w:eastAsiaTheme="minorEastAsia"/>
                <w:lang w:eastAsia="en-AU"/>
              </w:rPr>
            </w:pPr>
            <w:r w:rsidRPr="001D3263">
              <w:rPr>
                <w:rFonts w:eastAsiaTheme="minorEastAsia"/>
                <w:lang w:eastAsia="en-AU"/>
              </w:rPr>
              <w:t>Average number of monthly visits to www.vic.gov.au</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240 000</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235 000</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240 000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235 000</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lower than the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a user experience issue which has now been addressed.</w:t>
            </w:r>
          </w:p>
        </w:tc>
      </w:tr>
      <w:tr w:rsidR="00E25CC6" w:rsidRPr="001D3263" w:rsidTr="00654395">
        <w:trPr>
          <w:cantSplit/>
        </w:trPr>
        <w:tc>
          <w:tcPr>
            <w:tcW w:w="3144" w:type="dxa"/>
            <w:tcBorders>
              <w:top w:val="single" w:sz="6" w:space="0" w:color="auto"/>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Establishment or renewal of whole of Government ICT contracts</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w:t>
            </w:r>
          </w:p>
        </w:tc>
        <w:tc>
          <w:tcPr>
            <w:tcW w:w="992"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w:t>
            </w:r>
          </w:p>
        </w:tc>
        <w:tc>
          <w:tcPr>
            <w:tcW w:w="910"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26.0</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17.6</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30.0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654395">
            <w:pPr>
              <w:pStyle w:val="OGNotes"/>
              <w:rPr>
                <w:rFonts w:eastAsiaTheme="minorEastAsia"/>
              </w:rPr>
            </w:pPr>
            <w:r w:rsidRPr="00C17937">
              <w:rPr>
                <w:rFonts w:eastAsiaTheme="minorEastAsia"/>
              </w:rPr>
              <w:t>The 2015</w:t>
            </w:r>
            <w:r w:rsidRPr="00C17937">
              <w:rPr>
                <w:rFonts w:eastAsiaTheme="minorEastAsia"/>
              </w:rPr>
              <w:noBreakHyphen/>
              <w:t>16 expected outcome is lower than the 2015</w:t>
            </w:r>
            <w:r w:rsidRPr="00C17937">
              <w:rPr>
                <w:rFonts w:eastAsiaTheme="minorEastAsia"/>
              </w:rPr>
              <w:noBreakHyphen/>
              <w:t xml:space="preserve">16 target due to </w:t>
            </w:r>
            <w:r w:rsidRPr="00C17937">
              <w:t xml:space="preserve">less trust fund revenue </w:t>
            </w:r>
            <w:r w:rsidRPr="00C17937">
              <w:rPr>
                <w:rFonts w:eastAsiaTheme="minorEastAsia"/>
              </w:rPr>
              <w:t xml:space="preserve">provided for Digital Government. </w:t>
            </w:r>
          </w:p>
          <w:p w:rsidR="00E25CC6" w:rsidRPr="00C17937" w:rsidRDefault="00E25CC6" w:rsidP="00654395">
            <w:pPr>
              <w:pStyle w:val="OGNotes"/>
              <w:rPr>
                <w:rFonts w:eastAsiaTheme="minorEastAsia"/>
              </w:rPr>
            </w:pPr>
            <w:r w:rsidRPr="00C17937">
              <w:rPr>
                <w:rFonts w:eastAsiaTheme="minorEastAsia"/>
              </w:rPr>
              <w:t>The lower 2016</w:t>
            </w:r>
            <w:r w:rsidRPr="00C17937">
              <w:rPr>
                <w:rFonts w:eastAsiaTheme="minorEastAsia"/>
              </w:rPr>
              <w:noBreakHyphen/>
              <w:t xml:space="preserve">17 target reflects </w:t>
            </w:r>
            <w:r w:rsidRPr="00C17937">
              <w:t>less trust fund revenue expected for Digital Government.</w:t>
            </w:r>
          </w:p>
        </w:tc>
      </w:tr>
      <w:tr w:rsidR="00E25CC6" w:rsidRPr="001D3263" w:rsidTr="00654395">
        <w:trPr>
          <w:cantSplit/>
        </w:trPr>
        <w:tc>
          <w:tcPr>
            <w:tcW w:w="7767" w:type="dxa"/>
            <w:gridSpan w:val="6"/>
            <w:tcBorders>
              <w:top w:val="nil"/>
              <w:left w:val="nil"/>
              <w:bottom w:val="nil"/>
              <w:right w:val="nil"/>
            </w:tcBorders>
          </w:tcPr>
          <w:p w:rsidR="00E25CC6" w:rsidRPr="00C17937" w:rsidRDefault="00E25CC6" w:rsidP="00654395">
            <w:pPr>
              <w:pStyle w:val="OGHeading2"/>
              <w:rPr>
                <w:rFonts w:eastAsiaTheme="minorEastAsia"/>
                <w:lang w:eastAsia="en-AU"/>
              </w:rPr>
            </w:pPr>
            <w:r w:rsidRPr="00C17937">
              <w:rPr>
                <w:rFonts w:eastAsiaTheme="minorEastAsia"/>
                <w:lang w:eastAsia="en-AU"/>
              </w:rPr>
              <w:t>Office of the Victorian Government Architect</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7177D1" w:rsidRDefault="00E25CC6" w:rsidP="00654395">
            <w:pPr>
              <w:pStyle w:val="OGText"/>
              <w:rPr>
                <w:rFonts w:eastAsiaTheme="minorEastAsia" w:cs="Calibri"/>
                <w:color w:val="000000"/>
                <w:sz w:val="19"/>
                <w:szCs w:val="22"/>
                <w:lang w:eastAsia="en-AU"/>
              </w:rPr>
            </w:pPr>
            <w:r w:rsidRPr="001D3263">
              <w:rPr>
                <w:rFonts w:eastAsiaTheme="minorEastAsia"/>
                <w:lang w:eastAsia="en-AU"/>
              </w:rPr>
              <w:t xml:space="preserve">Strategic leadership and advice to government and key stakeholders on architecture and the built environment. </w:t>
            </w:r>
            <w:r>
              <w:rPr>
                <w:rFonts w:eastAsiaTheme="minorEastAsia"/>
                <w:lang w:eastAsia="en-AU"/>
              </w:rPr>
              <w:fldChar w:fldCharType="begin"/>
            </w:r>
            <w:r>
              <w:instrText xml:space="preserve"> XE "</w:instrText>
            </w:r>
            <w:r w:rsidRPr="000B048E">
              <w:instrText>Infrastructure:Office of the Victorian Government Architect</w:instrText>
            </w:r>
            <w:r>
              <w:instrText xml:space="preserve">" </w:instrText>
            </w:r>
            <w:r>
              <w:rPr>
                <w:rFonts w:eastAsiaTheme="minorEastAsia"/>
                <w:lang w:eastAsia="en-AU"/>
              </w:rPr>
              <w:fldChar w:fldCharType="end"/>
            </w:r>
            <w:r w:rsidRPr="001D3263">
              <w:rPr>
                <w:rFonts w:eastAsiaTheme="minorEastAsia"/>
                <w:lang w:eastAsia="en-AU"/>
              </w:rPr>
              <w:t xml:space="preserve"> </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Strategic advice on significant public and private sector projects from project inception and procurement to design and delivery</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Stakeholder satisfaction with the quality of advice on significant public and private sector projects</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Average number of business days to issue formal advice</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days</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w:t>
            </w:r>
          </w:p>
        </w:tc>
      </w:tr>
      <w:tr w:rsidR="00E25CC6" w:rsidRPr="001D3263" w:rsidTr="00F801FF">
        <w:trPr>
          <w:cantSplit/>
        </w:trPr>
        <w:tc>
          <w:tcPr>
            <w:tcW w:w="3144" w:type="dxa"/>
            <w:tcBorders>
              <w:top w:val="nil"/>
              <w:left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801FF">
        <w:trPr>
          <w:cantSplit/>
        </w:trPr>
        <w:tc>
          <w:tcPr>
            <w:tcW w:w="3144" w:type="dxa"/>
            <w:tcBorders>
              <w:top w:val="nil"/>
              <w:left w:val="nil"/>
              <w:bottom w:val="single" w:sz="12"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7" w:type="dxa"/>
            <w:tcBorders>
              <w:top w:val="nil"/>
              <w:left w:val="nil"/>
              <w:bottom w:val="single" w:sz="12"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bottom w:val="single" w:sz="12"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1.3</w:t>
            </w:r>
          </w:p>
        </w:tc>
        <w:tc>
          <w:tcPr>
            <w:tcW w:w="992" w:type="dxa"/>
            <w:tcBorders>
              <w:top w:val="nil"/>
              <w:left w:val="nil"/>
              <w:bottom w:val="single" w:sz="12"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1.4</w:t>
            </w:r>
          </w:p>
        </w:tc>
        <w:tc>
          <w:tcPr>
            <w:tcW w:w="907" w:type="dxa"/>
            <w:tcBorders>
              <w:top w:val="nil"/>
              <w:left w:val="nil"/>
              <w:bottom w:val="single" w:sz="12"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1.7</w:t>
            </w:r>
          </w:p>
        </w:tc>
        <w:tc>
          <w:tcPr>
            <w:tcW w:w="910" w:type="dxa"/>
            <w:tcBorders>
              <w:top w:val="nil"/>
              <w:left w:val="nil"/>
              <w:bottom w:val="single" w:sz="12"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1.8</w:t>
            </w:r>
          </w:p>
        </w:tc>
      </w:tr>
    </w:tbl>
    <w:p w:rsidR="00E25CC6" w:rsidRDefault="00E25CC6" w:rsidP="00F801FF">
      <w:pPr>
        <w:pStyle w:val="Source"/>
      </w:pPr>
      <w:r>
        <w:t>Source: Department of Premier and Cabinet</w:t>
      </w:r>
      <w:bookmarkEnd w:id="98"/>
      <w:r>
        <w:t xml:space="preserve"> </w:t>
      </w:r>
      <w:r>
        <w:fldChar w:fldCharType="begin"/>
      </w:r>
      <w:r>
        <w:instrText xml:space="preserve"> XE "</w:instrText>
      </w:r>
      <w:r w:rsidRPr="00514D40">
        <w:instrText>Department of Premier and Cabinet:Productivity and Competitiveness</w:instrText>
      </w:r>
      <w:r>
        <w:instrText xml:space="preserve">" \r "DPC_ProductCompet" </w:instrText>
      </w:r>
      <w:r>
        <w:fldChar w:fldCharType="end"/>
      </w:r>
    </w:p>
    <w:p w:rsidR="00E25CC6" w:rsidRDefault="00E25CC6" w:rsidP="00E06D16">
      <w:pPr>
        <w:pStyle w:val="OGText"/>
        <w:rPr>
          <w:rFonts w:ascii="Times New Roman" w:hAnsi="Times New Roman"/>
          <w:szCs w:val="20"/>
          <w:lang w:eastAsia="en-AU"/>
        </w:rPr>
      </w:pPr>
    </w:p>
    <w:p w:rsidR="00E25CC6" w:rsidRDefault="00E25CC6">
      <w:pPr>
        <w:spacing w:after="0"/>
        <w:rPr>
          <w:rFonts w:ascii="Times New Roman" w:hAnsi="Times New Roman"/>
          <w:sz w:val="20"/>
          <w:lang w:eastAsia="en-AU"/>
        </w:rPr>
      </w:pPr>
      <w:r>
        <w:rPr>
          <w:rFonts w:ascii="Times New Roman" w:hAnsi="Times New Roman"/>
          <w:lang w:eastAsia="en-AU"/>
        </w:rPr>
        <w:br w:type="page"/>
      </w:r>
    </w:p>
    <w:p w:rsidR="00E25CC6" w:rsidRPr="00550EBC" w:rsidRDefault="00E25CC6" w:rsidP="00FB792C">
      <w:pPr>
        <w:pStyle w:val="OGHeading1"/>
      </w:pPr>
      <w:r>
        <w:t>Engaged citizens</w:t>
      </w:r>
      <w:r w:rsidRPr="00550EBC">
        <w:t xml:space="preserve"> </w:t>
      </w:r>
    </w:p>
    <w:p w:rsidR="00E25CC6" w:rsidRDefault="00E25CC6" w:rsidP="00FB792C">
      <w:pPr>
        <w:pStyle w:val="OGText"/>
        <w:rPr>
          <w:lang w:eastAsia="en-AU"/>
        </w:rPr>
      </w:pPr>
      <w:bookmarkStart w:id="99" w:name="DPC_EngageCitz"/>
      <w:r w:rsidRPr="00717819">
        <w:rPr>
          <w:lang w:eastAsia="en-AU"/>
        </w:rPr>
        <w:t xml:space="preserve">These outputs relate to the coordination and provision of services and support to culturally, linguistically and religiously diverse communities, Aboriginal Victorians, Veterans, Women and the Equality portfolio. They promote social cohesion, enhanced engagement and greater opportunities for participation and contribution to the social, cultural and economic life of Victoria. </w:t>
      </w:r>
    </w:p>
    <w:tbl>
      <w:tblPr>
        <w:tblW w:w="7767" w:type="dxa"/>
        <w:tblInd w:w="45" w:type="dxa"/>
        <w:tblLayout w:type="fixed"/>
        <w:tblCellMar>
          <w:left w:w="45" w:type="dxa"/>
          <w:right w:w="45" w:type="dxa"/>
        </w:tblCellMar>
        <w:tblLook w:val="0000" w:firstRow="0" w:lastRow="0" w:firstColumn="0" w:lastColumn="0" w:noHBand="0" w:noVBand="0"/>
      </w:tblPr>
      <w:tblGrid>
        <w:gridCol w:w="3141"/>
        <w:gridCol w:w="906"/>
        <w:gridCol w:w="911"/>
        <w:gridCol w:w="992"/>
        <w:gridCol w:w="907"/>
        <w:gridCol w:w="910"/>
      </w:tblGrid>
      <w:tr w:rsidR="00E25CC6" w:rsidRPr="001D3263" w:rsidTr="00D63D1A">
        <w:trPr>
          <w:cantSplit/>
          <w:tblHeader/>
        </w:trPr>
        <w:tc>
          <w:tcPr>
            <w:tcW w:w="3141" w:type="dxa"/>
            <w:tcBorders>
              <w:top w:val="nil"/>
              <w:left w:val="nil"/>
              <w:bottom w:val="single" w:sz="4" w:space="0" w:color="auto"/>
              <w:right w:val="nil"/>
            </w:tcBorders>
            <w:shd w:val="solid" w:color="000000" w:fill="auto"/>
            <w:vAlign w:val="bottom"/>
          </w:tcPr>
          <w:p w:rsidR="00E25CC6" w:rsidRPr="001D3263" w:rsidRDefault="00E25CC6" w:rsidP="00654395">
            <w:pPr>
              <w:autoSpaceDE w:val="0"/>
              <w:autoSpaceDN w:val="0"/>
              <w:adjustRightInd w:val="0"/>
              <w:spacing w:after="0"/>
              <w:rPr>
                <w:rFonts w:ascii="Calibri" w:eastAsiaTheme="minorEastAsia" w:hAnsi="Calibri" w:cs="Calibri"/>
                <w:i/>
                <w:iCs/>
                <w:color w:val="FFFFFF"/>
                <w:sz w:val="19"/>
                <w:szCs w:val="22"/>
                <w:lang w:eastAsia="en-AU"/>
              </w:rPr>
            </w:pPr>
            <w:r w:rsidRPr="001D3263">
              <w:rPr>
                <w:rFonts w:ascii="Calibri" w:eastAsiaTheme="minorEastAsia" w:hAnsi="Calibri" w:cs="Calibri"/>
                <w:b/>
                <w:bCs/>
                <w:color w:val="FFFFFF"/>
                <w:sz w:val="19"/>
                <w:szCs w:val="22"/>
                <w:lang w:eastAsia="en-AU"/>
              </w:rPr>
              <w:t>Major outputs/deliverables</w:t>
            </w:r>
          </w:p>
          <w:p w:rsidR="00E25CC6" w:rsidRPr="007177D1" w:rsidRDefault="00E25CC6" w:rsidP="00654395">
            <w:pPr>
              <w:autoSpaceDE w:val="0"/>
              <w:autoSpaceDN w:val="0"/>
              <w:adjustRightInd w:val="0"/>
              <w:spacing w:after="0"/>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Performance measures</w:t>
            </w:r>
          </w:p>
        </w:tc>
        <w:tc>
          <w:tcPr>
            <w:tcW w:w="906"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center"/>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Unit of measure</w:t>
            </w:r>
          </w:p>
        </w:tc>
        <w:tc>
          <w:tcPr>
            <w:tcW w:w="911"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target</w:t>
            </w:r>
          </w:p>
        </w:tc>
        <w:tc>
          <w:tcPr>
            <w:tcW w:w="910" w:type="dxa"/>
            <w:tcBorders>
              <w:top w:val="nil"/>
              <w:left w:val="nil"/>
              <w:bottom w:val="single" w:sz="4" w:space="0" w:color="auto"/>
              <w:right w:val="nil"/>
            </w:tcBorders>
            <w:shd w:val="solid" w:color="000000" w:fill="auto"/>
            <w:vAlign w:val="bottom"/>
          </w:tcPr>
          <w:p w:rsidR="00E25CC6" w:rsidRPr="007177D1" w:rsidRDefault="00E25CC6" w:rsidP="00654395">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15 actual</w:t>
            </w:r>
          </w:p>
        </w:tc>
      </w:tr>
      <w:tr w:rsidR="00E25CC6" w:rsidRPr="001D3263" w:rsidTr="00654395">
        <w:trPr>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Aboriginal Policy, Strengthening Aboriginal Cultural Heritage and Communities</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Text"/>
              <w:rPr>
                <w:rFonts w:eastAsiaTheme="minorEastAsia"/>
                <w:lang w:eastAsia="en-AU"/>
              </w:rPr>
            </w:pPr>
            <w:r w:rsidRPr="001D3263">
              <w:rPr>
                <w:rFonts w:eastAsiaTheme="minorEastAsia"/>
                <w:lang w:eastAsia="en-AU"/>
              </w:rPr>
              <w:t xml:space="preserve">Work in partnership with Aboriginal Victorians, other tiers of government and the private and community sectors to: coordinate the delivery of whole of government priorities; protect and manage Aboriginal cultural heritage; strengthen Aboriginal community organisations; and build community engagement to improve the long term social and economic outcomes for Aboriginal Victorians. </w:t>
            </w:r>
            <w:r>
              <w:rPr>
                <w:rFonts w:eastAsiaTheme="minorEastAsia"/>
                <w:lang w:eastAsia="en-AU"/>
              </w:rPr>
              <w:fldChar w:fldCharType="begin"/>
            </w:r>
            <w:r>
              <w:instrText xml:space="preserve"> XE "</w:instrText>
            </w:r>
            <w:r w:rsidRPr="002C17F5">
              <w:instrText>Aboriginal Affairs</w:instrText>
            </w:r>
            <w:r>
              <w:instrText xml:space="preserve">" </w:instrText>
            </w:r>
            <w:r>
              <w:rPr>
                <w:rFonts w:eastAsiaTheme="minorEastAsia"/>
                <w:lang w:eastAsia="en-AU"/>
              </w:rPr>
              <w:fldChar w:fldCharType="end"/>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1"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Award Ceremonies held: Victorian Aboriginal Honour Roll</w:t>
            </w:r>
          </w:p>
        </w:tc>
        <w:tc>
          <w:tcPr>
            <w:tcW w:w="906"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w:t>
            </w:r>
          </w:p>
        </w:tc>
      </w:tr>
      <w:tr w:rsidR="00E25CC6" w:rsidRPr="001D3263" w:rsidTr="00D63D1A">
        <w:trPr>
          <w:cantSplit/>
        </w:trPr>
        <w:tc>
          <w:tcPr>
            <w:tcW w:w="3141" w:type="dxa"/>
            <w:tcBorders>
              <w:top w:val="single" w:sz="6" w:space="0" w:color="auto"/>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Capacity building activities provided for Traditional Owners and Aboriginal community organisations</w:t>
            </w:r>
          </w:p>
        </w:tc>
        <w:tc>
          <w:tcPr>
            <w:tcW w:w="906"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single" w:sz="6" w:space="0" w:color="auto"/>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92"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10"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Premier</w:t>
            </w:r>
            <w:r>
              <w:rPr>
                <w:rFonts w:eastAsiaTheme="minorEastAsia"/>
                <w:lang w:eastAsia="en-AU"/>
              </w:rPr>
              <w:t>’</w:t>
            </w:r>
            <w:r w:rsidRPr="001D3263">
              <w:rPr>
                <w:rFonts w:eastAsiaTheme="minorEastAsia"/>
                <w:lang w:eastAsia="en-AU"/>
              </w:rPr>
              <w:t>s Gatherings and Aboriginal Victoria Forums conducted</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single" w:sz="6" w:space="0" w:color="auto"/>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4</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New performance measure for 2016</w:t>
            </w:r>
            <w:r>
              <w:rPr>
                <w:rFonts w:eastAsiaTheme="minorEastAsia"/>
              </w:rPr>
              <w:noBreakHyphen/>
            </w:r>
            <w:r w:rsidRPr="001D3263">
              <w:rPr>
                <w:rFonts w:eastAsiaTheme="minorEastAsia"/>
              </w:rPr>
              <w:t xml:space="preserve">17 to reflect new funding for the </w:t>
            </w:r>
            <w:r>
              <w:rPr>
                <w:rFonts w:eastAsiaTheme="minorEastAsia"/>
              </w:rPr>
              <w:t>‘</w:t>
            </w:r>
            <w:r w:rsidRPr="001D3263">
              <w:rPr>
                <w:rFonts w:eastAsiaTheme="minorEastAsia"/>
              </w:rPr>
              <w:t>Self</w:t>
            </w:r>
            <w:r>
              <w:rPr>
                <w:rFonts w:eastAsiaTheme="minorEastAsia"/>
              </w:rPr>
              <w:noBreakHyphen/>
            </w:r>
            <w:r w:rsidRPr="001D3263">
              <w:rPr>
                <w:rFonts w:eastAsiaTheme="minorEastAsia"/>
              </w:rPr>
              <w:t>determin</w:t>
            </w:r>
            <w:r>
              <w:rPr>
                <w:rFonts w:eastAsiaTheme="minorEastAsia"/>
              </w:rPr>
              <w:t>at</w:t>
            </w:r>
            <w:r w:rsidRPr="001D3263">
              <w:rPr>
                <w:rFonts w:eastAsiaTheme="minorEastAsia"/>
              </w:rPr>
              <w:t>ion and Strong Aboriginal Culture</w:t>
            </w:r>
            <w:r>
              <w:rPr>
                <w:rFonts w:eastAsiaTheme="minorEastAsia"/>
              </w:rPr>
              <w:t>’</w:t>
            </w:r>
            <w:r w:rsidRPr="001D3263">
              <w:rPr>
                <w:rFonts w:eastAsiaTheme="minorEastAsia"/>
              </w:rPr>
              <w:t xml:space="preserve"> initiative.</w:t>
            </w: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Average weekly hours of case management provided to members of the Stolen Generations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nil"/>
              <w:left w:val="nil"/>
              <w:bottom w:val="nil"/>
              <w:right w:val="nil"/>
            </w:tcBorders>
            <w:shd w:val="clear" w:color="auto" w:fill="DCDCDC"/>
          </w:tcPr>
          <w:p w:rsidR="00E25CC6" w:rsidRPr="0000669E" w:rsidRDefault="00E25CC6" w:rsidP="00835009">
            <w:pPr>
              <w:autoSpaceDE w:val="0"/>
              <w:autoSpaceDN w:val="0"/>
              <w:adjustRightInd w:val="0"/>
              <w:spacing w:after="0"/>
              <w:jc w:val="right"/>
              <w:rPr>
                <w:rFonts w:ascii="Calibri" w:eastAsiaTheme="minorEastAsia" w:hAnsi="Calibri" w:cs="Calibri"/>
                <w:sz w:val="19"/>
                <w:szCs w:val="22"/>
                <w:lang w:eastAsia="en-AU"/>
              </w:rPr>
            </w:pPr>
            <w:r>
              <w:rPr>
                <w:rFonts w:ascii="Calibri" w:eastAsiaTheme="minorEastAsia" w:hAnsi="Calibri" w:cs="Calibri"/>
                <w:sz w:val="19"/>
                <w:szCs w:val="22"/>
                <w:lang w:eastAsia="en-AU"/>
              </w:rPr>
              <w:t>57.7</w:t>
            </w:r>
            <w:r w:rsidRPr="0000669E">
              <w:rPr>
                <w:rFonts w:ascii="Calibri" w:eastAsiaTheme="minorEastAsia" w:hAnsi="Calibri" w:cs="Calibri"/>
                <w:sz w:val="19"/>
                <w:szCs w:val="22"/>
                <w:highlight w:val="yellow"/>
                <w:lang w:eastAsia="en-AU"/>
              </w:rPr>
              <w:t xml:space="preserve"> </w:t>
            </w:r>
          </w:p>
        </w:tc>
        <w:tc>
          <w:tcPr>
            <w:tcW w:w="992" w:type="dxa"/>
            <w:tcBorders>
              <w:top w:val="nil"/>
              <w:left w:val="nil"/>
              <w:bottom w:val="nil"/>
              <w:right w:val="nil"/>
            </w:tcBorders>
          </w:tcPr>
          <w:p w:rsidR="00E25CC6" w:rsidRPr="0000669E"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00669E">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684FF5">
              <w:rPr>
                <w:rFonts w:eastAsiaTheme="minorEastAsia"/>
              </w:rPr>
              <w:t>This performance measure replaces the 2015</w:t>
            </w:r>
            <w:r>
              <w:rPr>
                <w:rFonts w:eastAsiaTheme="minorEastAsia"/>
              </w:rPr>
              <w:noBreakHyphen/>
            </w:r>
            <w:r w:rsidRPr="00684FF5">
              <w:rPr>
                <w:rFonts w:eastAsiaTheme="minorEastAsia"/>
              </w:rPr>
              <w:t xml:space="preserve">16 performance measure </w:t>
            </w:r>
            <w:r>
              <w:rPr>
                <w:rFonts w:eastAsiaTheme="minorEastAsia"/>
              </w:rPr>
              <w:t>‘</w:t>
            </w:r>
            <w:r w:rsidRPr="00684FF5">
              <w:rPr>
                <w:rFonts w:eastAsiaTheme="minorEastAsia"/>
              </w:rPr>
              <w:t>Client service contacts for members of the Stolen Generations with Connecting Home Limited</w:t>
            </w:r>
            <w:r>
              <w:rPr>
                <w:rFonts w:eastAsiaTheme="minorEastAsia"/>
              </w:rPr>
              <w:t>’</w:t>
            </w:r>
            <w:r w:rsidRPr="00684FF5">
              <w:rPr>
                <w:rFonts w:eastAsiaTheme="minorEastAsia"/>
              </w:rPr>
              <w:t>. The new measure has been amended to fully capture the nature of the services deliv</w:t>
            </w:r>
            <w:r>
              <w:rPr>
                <w:rFonts w:eastAsiaTheme="minorEastAsia"/>
              </w:rPr>
              <w:t>ered and for increased clarity.</w:t>
            </w: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Number of family history investigations conducted by the Victorian Koorie Family History Service on behalf of members of the Stolen Generations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154</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This performance measure replaces the 2015</w:t>
            </w:r>
            <w:r>
              <w:rPr>
                <w:rFonts w:eastAsiaTheme="minorEastAsia"/>
              </w:rPr>
              <w:noBreakHyphen/>
            </w:r>
            <w:r w:rsidRPr="001D3263">
              <w:rPr>
                <w:rFonts w:eastAsiaTheme="minorEastAsia"/>
              </w:rPr>
              <w:t xml:space="preserve">16 performance measure </w:t>
            </w:r>
            <w:r>
              <w:rPr>
                <w:rFonts w:eastAsiaTheme="minorEastAsia"/>
              </w:rPr>
              <w:t>‘</w:t>
            </w:r>
            <w:r w:rsidRPr="001D3263">
              <w:rPr>
                <w:rFonts w:eastAsiaTheme="minorEastAsia"/>
              </w:rPr>
              <w:t>Client service contacts for members of the Stolen Generations with the Victorian Koorie Family History Service</w:t>
            </w:r>
            <w:r>
              <w:rPr>
                <w:rFonts w:eastAsiaTheme="minorEastAsia"/>
              </w:rPr>
              <w:t>’</w:t>
            </w:r>
            <w:r w:rsidRPr="001D3263">
              <w:rPr>
                <w:rFonts w:eastAsiaTheme="minorEastAsia"/>
              </w:rPr>
              <w:t>. The new measure has been amended to fully capture the nature of the services delivered and for increased clarity.</w:t>
            </w:r>
          </w:p>
        </w:tc>
      </w:tr>
      <w:tr w:rsidR="00E25CC6" w:rsidRPr="001D3263" w:rsidTr="00D63D1A">
        <w:trPr>
          <w:cantSplit/>
        </w:trPr>
        <w:tc>
          <w:tcPr>
            <w:tcW w:w="3141" w:type="dxa"/>
            <w:tcBorders>
              <w:top w:val="single" w:sz="6" w:space="0" w:color="auto"/>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Delivery of the Victorian Government Aboriginal Annual Affairs Report to Parliament</w:t>
            </w:r>
          </w:p>
        </w:tc>
        <w:tc>
          <w:tcPr>
            <w:tcW w:w="906"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single" w:sz="6" w:space="0" w:color="auto"/>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w:t>
            </w:r>
          </w:p>
        </w:tc>
        <w:tc>
          <w:tcPr>
            <w:tcW w:w="992"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w:t>
            </w:r>
          </w:p>
        </w:tc>
        <w:tc>
          <w:tcPr>
            <w:tcW w:w="910"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Victorian Aboriginal Heritage Council meetings conducted within legislative timeframes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single" w:sz="6" w:space="0" w:color="auto"/>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higher than the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an increase in council meetings in 2015</w:t>
            </w:r>
            <w:r>
              <w:rPr>
                <w:rFonts w:eastAsiaTheme="minorEastAsia"/>
              </w:rPr>
              <w:noBreakHyphen/>
            </w:r>
            <w:r w:rsidRPr="001D3263">
              <w:rPr>
                <w:rFonts w:eastAsiaTheme="minorEastAsia"/>
              </w:rPr>
              <w:t>16.</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keepNext/>
              <w:autoSpaceDE w:val="0"/>
              <w:autoSpaceDN w:val="0"/>
              <w:adjustRightInd w:val="0"/>
              <w:spacing w:after="0"/>
              <w:ind w:left="230" w:hanging="230"/>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1"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Funding payments made in accordance with milestones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11"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New performance measure for 2016</w:t>
            </w:r>
            <w:r>
              <w:rPr>
                <w:rFonts w:eastAsiaTheme="minorEastAsia"/>
              </w:rPr>
              <w:noBreakHyphen/>
            </w:r>
            <w:r w:rsidRPr="001D3263">
              <w:rPr>
                <w:rFonts w:eastAsiaTheme="minorEastAsia"/>
              </w:rPr>
              <w:t xml:space="preserve">17 to reflect new funding for the </w:t>
            </w:r>
            <w:r>
              <w:rPr>
                <w:rFonts w:eastAsiaTheme="minorEastAsia"/>
              </w:rPr>
              <w:t>‘</w:t>
            </w:r>
            <w:r w:rsidRPr="001D3263">
              <w:rPr>
                <w:rFonts w:eastAsiaTheme="minorEastAsia"/>
              </w:rPr>
              <w:t>Community Infrastructure Program</w:t>
            </w:r>
            <w:r>
              <w:rPr>
                <w:rFonts w:eastAsiaTheme="minorEastAsia"/>
              </w:rPr>
              <w:t>’</w:t>
            </w:r>
            <w:r w:rsidRPr="001D3263">
              <w:rPr>
                <w:rFonts w:eastAsiaTheme="minorEastAsia"/>
              </w:rPr>
              <w:t xml:space="preserve"> initiative.</w:t>
            </w: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Participation of Aboriginal people in Local Indigenous Networks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2 343</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2 200</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2 200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2 078</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alignment with the recently released Local Aboriginal Networks Five Year Plan.</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1"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Assessments completed by Aboriginal Victoria (AV) within legislative timeframe: cultural heritage management plans</w:t>
            </w:r>
          </w:p>
        </w:tc>
        <w:tc>
          <w:tcPr>
            <w:tcW w:w="906"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11"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98</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97</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11"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11"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33.5</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19.9</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20.2</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16.6</w:t>
            </w:r>
          </w:p>
        </w:tc>
      </w:tr>
      <w:tr w:rsidR="00E25CC6" w:rsidRPr="001D3263" w:rsidTr="00FB792C">
        <w:trPr>
          <w:cantSplit/>
        </w:trPr>
        <w:tc>
          <w:tcPr>
            <w:tcW w:w="7767" w:type="dxa"/>
            <w:gridSpan w:val="6"/>
            <w:tcBorders>
              <w:top w:val="nil"/>
              <w:left w:val="nil"/>
              <w:bottom w:val="nil"/>
              <w:right w:val="nil"/>
            </w:tcBorders>
          </w:tcPr>
          <w:p w:rsidR="00E25CC6" w:rsidRPr="00C17937" w:rsidRDefault="00E25CC6" w:rsidP="00654395">
            <w:pPr>
              <w:pStyle w:val="OGNotes"/>
              <w:rPr>
                <w:rFonts w:eastAsiaTheme="minorEastAsia"/>
              </w:rPr>
            </w:pPr>
            <w:r w:rsidRPr="00C17937">
              <w:rPr>
                <w:rFonts w:eastAsiaTheme="minorEastAsia"/>
              </w:rPr>
              <w:t>The higher 2016</w:t>
            </w:r>
            <w:r w:rsidRPr="00C17937">
              <w:rPr>
                <w:rFonts w:eastAsiaTheme="minorEastAsia"/>
              </w:rPr>
              <w:noBreakHyphen/>
              <w:t xml:space="preserve">17 target reflects increased funding allocated through the </w:t>
            </w:r>
            <w:r w:rsidRPr="00C17937">
              <w:rPr>
                <w:rFonts w:eastAsiaTheme="minorEastAsia"/>
                <w:i w:val="0"/>
              </w:rPr>
              <w:t>2016</w:t>
            </w:r>
            <w:r w:rsidRPr="00C17937">
              <w:rPr>
                <w:rFonts w:eastAsiaTheme="minorEastAsia"/>
                <w:i w:val="0"/>
              </w:rPr>
              <w:noBreakHyphen/>
              <w:t>17 Budget</w:t>
            </w:r>
            <w:r w:rsidRPr="00C17937">
              <w:rPr>
                <w:rFonts w:eastAsiaTheme="minorEastAsia"/>
              </w:rPr>
              <w:t>.</w:t>
            </w:r>
          </w:p>
        </w:tc>
      </w:tr>
      <w:tr w:rsidR="00E25CC6" w:rsidRPr="001D3263" w:rsidTr="00654395">
        <w:trPr>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Multicultural Affairs Policy and Programs</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Text"/>
              <w:rPr>
                <w:rFonts w:eastAsiaTheme="minorEastAsia"/>
                <w:lang w:eastAsia="en-AU"/>
              </w:rPr>
            </w:pPr>
            <w:r w:rsidRPr="001D3263">
              <w:rPr>
                <w:rFonts w:eastAsiaTheme="minorEastAsia"/>
                <w:lang w:eastAsia="en-AU"/>
              </w:rPr>
              <w:t>Oversee the provision of policy advice on Multicultural Affairs, settlement coordination for newly arrived migrants and refugees and deliver programs to support Victoria</w:t>
            </w:r>
            <w:r>
              <w:rPr>
                <w:rFonts w:eastAsiaTheme="minorEastAsia"/>
                <w:lang w:eastAsia="en-AU"/>
              </w:rPr>
              <w:t>’</w:t>
            </w:r>
            <w:r w:rsidRPr="001D3263">
              <w:rPr>
                <w:rFonts w:eastAsiaTheme="minorEastAsia"/>
                <w:lang w:eastAsia="en-AU"/>
              </w:rPr>
              <w:t>s whole of government approach to multiculturalism. Coordinate the monitoring of government departments</w:t>
            </w:r>
            <w:r>
              <w:rPr>
                <w:rFonts w:eastAsiaTheme="minorEastAsia"/>
                <w:lang w:eastAsia="en-AU"/>
              </w:rPr>
              <w:t>’</w:t>
            </w:r>
            <w:r w:rsidRPr="001D3263">
              <w:rPr>
                <w:rFonts w:eastAsiaTheme="minorEastAsia"/>
                <w:lang w:eastAsia="en-AU"/>
              </w:rPr>
              <w:t xml:space="preserve"> responsiveness to Victorians from culturally, linguistically and religiously diverse backgrounds. </w:t>
            </w:r>
            <w:r>
              <w:rPr>
                <w:rFonts w:eastAsiaTheme="minorEastAsia"/>
                <w:lang w:eastAsia="en-AU"/>
              </w:rPr>
              <w:t xml:space="preserve"> </w:t>
            </w:r>
            <w:r>
              <w:rPr>
                <w:rFonts w:eastAsiaTheme="minorEastAsia"/>
                <w:lang w:eastAsia="en-AU"/>
              </w:rPr>
              <w:fldChar w:fldCharType="begin"/>
            </w:r>
            <w:r>
              <w:instrText xml:space="preserve"> XE "</w:instrText>
            </w:r>
            <w:r w:rsidRPr="002C17F5">
              <w:instrText>Multicultural Affairs</w:instrText>
            </w:r>
            <w:r>
              <w:instrText xml:space="preserve">" </w:instrText>
            </w:r>
            <w:r>
              <w:rPr>
                <w:rFonts w:eastAsiaTheme="minorEastAsia"/>
                <w:lang w:eastAsia="en-AU"/>
              </w:rPr>
              <w:fldChar w:fldCharType="end"/>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1"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Consultations with culturally and linguistically diverse (CALD) communities</w:t>
            </w:r>
          </w:p>
        </w:tc>
        <w:tc>
          <w:tcPr>
            <w:tcW w:w="906"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62</w:t>
            </w: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Number of strategic partnerships (place based and issue specific) funded to deliver coordinated settlement support for refugee and asylum seeker communities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single" w:sz="6" w:space="0" w:color="auto"/>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14</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New performance measure for 2016</w:t>
            </w:r>
            <w:r>
              <w:rPr>
                <w:rFonts w:eastAsiaTheme="minorEastAsia"/>
              </w:rPr>
              <w:noBreakHyphen/>
            </w:r>
            <w:r w:rsidRPr="001D3263">
              <w:rPr>
                <w:rFonts w:eastAsiaTheme="minorEastAsia"/>
              </w:rPr>
              <w:t xml:space="preserve">17 to reflect new funding for the </w:t>
            </w:r>
            <w:r>
              <w:rPr>
                <w:rFonts w:eastAsiaTheme="minorEastAsia"/>
              </w:rPr>
              <w:t>‘</w:t>
            </w:r>
            <w:r w:rsidRPr="001D3263">
              <w:rPr>
                <w:rFonts w:eastAsiaTheme="minorEastAsia"/>
              </w:rPr>
              <w:t>Settlement and Asylum Seeker support</w:t>
            </w:r>
            <w:r>
              <w:rPr>
                <w:rFonts w:eastAsiaTheme="minorEastAsia"/>
              </w:rPr>
              <w:t>’</w:t>
            </w:r>
            <w:r w:rsidRPr="001D3263">
              <w:rPr>
                <w:rFonts w:eastAsiaTheme="minorEastAsia"/>
              </w:rPr>
              <w:t xml:space="preserve"> initiative.</w:t>
            </w:r>
          </w:p>
        </w:tc>
      </w:tr>
      <w:tr w:rsidR="00E25CC6" w:rsidRPr="001D3263" w:rsidTr="00D63D1A">
        <w:trPr>
          <w:cantSplit/>
        </w:trPr>
        <w:tc>
          <w:tcPr>
            <w:tcW w:w="3141" w:type="dxa"/>
            <w:tcBorders>
              <w:top w:val="nil"/>
              <w:left w:val="nil"/>
              <w:bottom w:val="nil"/>
              <w:right w:val="nil"/>
            </w:tcBorders>
          </w:tcPr>
          <w:p w:rsidR="00E25CC6" w:rsidRPr="007177D1" w:rsidRDefault="00E25CC6" w:rsidP="00F801FF">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6"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i/>
                <w:iCs/>
                <w:color w:val="000000"/>
                <w:sz w:val="19"/>
                <w:szCs w:val="22"/>
                <w:lang w:eastAsia="en-AU"/>
              </w:rPr>
            </w:pPr>
          </w:p>
        </w:tc>
        <w:tc>
          <w:tcPr>
            <w:tcW w:w="911" w:type="dxa"/>
            <w:tcBorders>
              <w:top w:val="nil"/>
              <w:left w:val="nil"/>
              <w:right w:val="nil"/>
            </w:tcBorders>
            <w:shd w:val="clear" w:color="auto" w:fill="DCDCDC"/>
          </w:tcPr>
          <w:p w:rsidR="00E25CC6" w:rsidRPr="007177D1" w:rsidRDefault="00E25CC6" w:rsidP="00F801FF">
            <w:pPr>
              <w:keepNext/>
              <w:autoSpaceDE w:val="0"/>
              <w:autoSpaceDN w:val="0"/>
              <w:adjustRightInd w:val="0"/>
              <w:spacing w:after="0"/>
              <w:rPr>
                <w:rFonts w:ascii="Calibri" w:eastAsiaTheme="minorEastAsia" w:hAnsi="Calibri" w:cs="Calibri"/>
                <w:i/>
                <w:iCs/>
                <w:color w:val="000000"/>
                <w:sz w:val="19"/>
                <w:szCs w:val="22"/>
                <w:lang w:eastAsia="en-AU"/>
              </w:rPr>
            </w:pPr>
          </w:p>
        </w:tc>
        <w:tc>
          <w:tcPr>
            <w:tcW w:w="992"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i/>
                <w:iCs/>
                <w:color w:val="000000"/>
                <w:sz w:val="19"/>
                <w:szCs w:val="22"/>
                <w:lang w:eastAsia="en-AU"/>
              </w:rPr>
            </w:pPr>
          </w:p>
        </w:tc>
        <w:tc>
          <w:tcPr>
            <w:tcW w:w="910"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i/>
                <w:iCs/>
                <w:color w:val="000000"/>
                <w:sz w:val="19"/>
                <w:szCs w:val="22"/>
                <w:lang w:eastAsia="en-AU"/>
              </w:rPr>
            </w:pPr>
          </w:p>
        </w:tc>
      </w:tr>
      <w:tr w:rsidR="00E25CC6" w:rsidRPr="001D3263" w:rsidTr="00D63D1A">
        <w:trPr>
          <w:cantSplit/>
        </w:trPr>
        <w:tc>
          <w:tcPr>
            <w:tcW w:w="3141"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Attendance at Cultural Diversity Week flagship event, Viva Victoria</w:t>
            </w:r>
          </w:p>
        </w:tc>
        <w:tc>
          <w:tcPr>
            <w:tcW w:w="906"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45 000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45 000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45 000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45 550</w:t>
            </w:r>
          </w:p>
        </w:tc>
      </w:tr>
      <w:tr w:rsidR="00E25CC6" w:rsidRPr="001D3263" w:rsidTr="00D63D1A">
        <w:trPr>
          <w:cantSplit/>
        </w:trPr>
        <w:tc>
          <w:tcPr>
            <w:tcW w:w="3141" w:type="dxa"/>
            <w:tcBorders>
              <w:top w:val="single" w:sz="6" w:space="0" w:color="auto"/>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Proportion of grants approved which are provided to organisations in regional/rural areas</w:t>
            </w:r>
          </w:p>
        </w:tc>
        <w:tc>
          <w:tcPr>
            <w:tcW w:w="906"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11" w:type="dxa"/>
            <w:tcBorders>
              <w:top w:val="single" w:sz="6" w:space="0" w:color="auto"/>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92"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10"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23</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11"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Event briefs completed within the required timeframe</w:t>
            </w:r>
          </w:p>
        </w:tc>
        <w:tc>
          <w:tcPr>
            <w:tcW w:w="906"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11"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keepNext/>
              <w:autoSpaceDE w:val="0"/>
              <w:autoSpaceDN w:val="0"/>
              <w:adjustRightInd w:val="0"/>
              <w:spacing w:after="0"/>
              <w:ind w:left="230" w:hanging="230"/>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11"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keepNext/>
              <w:rPr>
                <w:rFonts w:eastAsiaTheme="minorEastAsia"/>
                <w:lang w:eastAsia="en-AU"/>
              </w:rPr>
            </w:pPr>
            <w:r w:rsidRPr="001D3263">
              <w:rPr>
                <w:rFonts w:eastAsiaTheme="minorEastAsia"/>
                <w:lang w:eastAsia="en-AU"/>
              </w:rPr>
              <w:t>Total output cost</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11"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46.8</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29.2</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28.5</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21.8</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C17937" w:rsidRDefault="00E25CC6" w:rsidP="00654395">
            <w:pPr>
              <w:pStyle w:val="OGNotes"/>
              <w:rPr>
                <w:rFonts w:eastAsiaTheme="minorEastAsia"/>
              </w:rPr>
            </w:pPr>
            <w:r w:rsidRPr="00C17937">
              <w:rPr>
                <w:rFonts w:eastAsiaTheme="minorEastAsia"/>
              </w:rPr>
              <w:t>The higher 2016</w:t>
            </w:r>
            <w:r w:rsidRPr="00C17937">
              <w:rPr>
                <w:rFonts w:eastAsiaTheme="minorEastAsia"/>
              </w:rPr>
              <w:noBreakHyphen/>
              <w:t xml:space="preserve">17 target reflects increased funding allocated through the </w:t>
            </w:r>
            <w:r w:rsidRPr="00C17937">
              <w:rPr>
                <w:rFonts w:eastAsiaTheme="minorEastAsia"/>
                <w:i w:val="0"/>
              </w:rPr>
              <w:t>2016</w:t>
            </w:r>
            <w:r w:rsidRPr="00C17937">
              <w:rPr>
                <w:rFonts w:eastAsiaTheme="minorEastAsia"/>
                <w:i w:val="0"/>
              </w:rPr>
              <w:noBreakHyphen/>
              <w:t>17 Budget</w:t>
            </w:r>
            <w:r w:rsidRPr="00C17937">
              <w:rPr>
                <w:rFonts w:eastAsiaTheme="minorEastAsia"/>
              </w:rPr>
              <w:t xml:space="preserve"> for various multicultural initiatives and the transfer of grant payments initially budgeted in 2015</w:t>
            </w:r>
            <w:r w:rsidRPr="00C17937">
              <w:rPr>
                <w:rFonts w:eastAsiaTheme="minorEastAsia"/>
              </w:rPr>
              <w:noBreakHyphen/>
              <w:t>16 but not expensed until 2016</w:t>
            </w:r>
            <w:r w:rsidRPr="00C17937">
              <w:rPr>
                <w:rFonts w:eastAsiaTheme="minorEastAsia"/>
              </w:rPr>
              <w:noBreakHyphen/>
              <w:t>17.</w:t>
            </w:r>
          </w:p>
        </w:tc>
      </w:tr>
      <w:tr w:rsidR="00E25CC6" w:rsidRPr="001D3263" w:rsidTr="00654395">
        <w:trPr>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Support to Veterans in Victoria</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Text"/>
              <w:rPr>
                <w:rFonts w:eastAsiaTheme="minorEastAsia"/>
                <w:lang w:eastAsia="en-AU"/>
              </w:rPr>
            </w:pPr>
            <w:r w:rsidRPr="001D3263">
              <w:rPr>
                <w:rFonts w:eastAsiaTheme="minorEastAsia"/>
                <w:lang w:eastAsia="en-AU"/>
              </w:rPr>
              <w:t xml:space="preserve">Coordinate veteran related issues at a State level, especially in relation to Anzac Centenary commemorations and other major anniversaries. Oversee commemoration, veteran welfare and education programs. Support the Shrine of Remembrance and the Victorian Veterans Council. </w:t>
            </w:r>
            <w:r>
              <w:rPr>
                <w:rFonts w:eastAsiaTheme="minorEastAsia"/>
                <w:lang w:eastAsia="en-AU"/>
              </w:rPr>
              <w:fldChar w:fldCharType="begin"/>
            </w:r>
            <w:r>
              <w:instrText xml:space="preserve"> XE "</w:instrText>
            </w:r>
            <w:r w:rsidRPr="002C17F5">
              <w:instrText>Veterans Affairs</w:instrText>
            </w:r>
            <w:r>
              <w:instrText xml:space="preserve">" </w:instrText>
            </w:r>
            <w:r>
              <w:rPr>
                <w:rFonts w:eastAsiaTheme="minorEastAsia"/>
                <w:lang w:eastAsia="en-AU"/>
              </w:rPr>
              <w:fldChar w:fldCharType="end"/>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1"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Entries received: Premier</w:t>
            </w:r>
            <w:r>
              <w:rPr>
                <w:rFonts w:eastAsiaTheme="minorEastAsia"/>
                <w:lang w:eastAsia="en-AU"/>
              </w:rPr>
              <w:t>’</w:t>
            </w:r>
            <w:r w:rsidRPr="001D3263">
              <w:rPr>
                <w:rFonts w:eastAsiaTheme="minorEastAsia"/>
                <w:lang w:eastAsia="en-AU"/>
              </w:rPr>
              <w:t>s Spirit of Anzac Prize</w:t>
            </w:r>
          </w:p>
        </w:tc>
        <w:tc>
          <w:tcPr>
            <w:tcW w:w="906" w:type="dxa"/>
            <w:tcBorders>
              <w:top w:val="nil"/>
              <w:left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11" w:type="dxa"/>
            <w:tcBorders>
              <w:top w:val="nil"/>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350</w:t>
            </w:r>
          </w:p>
        </w:tc>
        <w:tc>
          <w:tcPr>
            <w:tcW w:w="992"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196</w:t>
            </w:r>
          </w:p>
        </w:tc>
        <w:tc>
          <w:tcPr>
            <w:tcW w:w="907"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350</w:t>
            </w:r>
          </w:p>
        </w:tc>
        <w:tc>
          <w:tcPr>
            <w:tcW w:w="910"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660</w:t>
            </w:r>
          </w:p>
        </w:tc>
      </w:tr>
      <w:tr w:rsidR="00E25CC6" w:rsidRPr="001D3263" w:rsidTr="00756013">
        <w:trPr>
          <w:cantSplit/>
        </w:trPr>
        <w:tc>
          <w:tcPr>
            <w:tcW w:w="7767" w:type="dxa"/>
            <w:gridSpan w:val="6"/>
            <w:tcBorders>
              <w:top w:val="nil"/>
              <w:left w:val="nil"/>
              <w:bottom w:val="single" w:sz="4" w:space="0" w:color="auto"/>
              <w:right w:val="nil"/>
            </w:tcBorders>
          </w:tcPr>
          <w:p w:rsidR="00E25CC6" w:rsidRPr="00C17937" w:rsidRDefault="00E25CC6" w:rsidP="0090770E">
            <w:pPr>
              <w:pStyle w:val="OGNotes"/>
              <w:rPr>
                <w:rFonts w:eastAsiaTheme="minorEastAsia"/>
              </w:rPr>
            </w:pPr>
            <w:r w:rsidRPr="00C17937">
              <w:rPr>
                <w:rFonts w:eastAsiaTheme="minorEastAsia"/>
              </w:rPr>
              <w:t>The 2015</w:t>
            </w:r>
            <w:r w:rsidRPr="00C17937">
              <w:rPr>
                <w:rFonts w:eastAsiaTheme="minorEastAsia"/>
              </w:rPr>
              <w:noBreakHyphen/>
              <w:t>16 expected outcome is lower than the 2015</w:t>
            </w:r>
            <w:r w:rsidRPr="00C17937">
              <w:rPr>
                <w:rFonts w:eastAsiaTheme="minorEastAsia"/>
              </w:rPr>
              <w:noBreakHyphen/>
              <w:t>16 target due to an anticipated and significant decrease in the level of interest compared to the previous year, which was the Anzac Centenary. A review of the Premier</w:t>
            </w:r>
            <w:r>
              <w:rPr>
                <w:rFonts w:eastAsiaTheme="minorEastAsia"/>
              </w:rPr>
              <w:t>’</w:t>
            </w:r>
            <w:r w:rsidRPr="00C17937">
              <w:rPr>
                <w:rFonts w:eastAsiaTheme="minorEastAsia"/>
              </w:rPr>
              <w:t>s Spirit of Anzac Prize is being undertaken in 2016 which will consider future direction.</w:t>
            </w:r>
          </w:p>
        </w:tc>
      </w:tr>
      <w:tr w:rsidR="00E25CC6" w:rsidRPr="001D3263" w:rsidTr="00D63D1A">
        <w:trPr>
          <w:cantSplit/>
        </w:trPr>
        <w:tc>
          <w:tcPr>
            <w:tcW w:w="3141" w:type="dxa"/>
            <w:tcBorders>
              <w:top w:val="single" w:sz="4" w:space="0" w:color="auto"/>
              <w:left w:val="nil"/>
              <w:bottom w:val="single" w:sz="4"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Event attendance: Student participation in Shrine of Remembrance programs</w:t>
            </w:r>
          </w:p>
        </w:tc>
        <w:tc>
          <w:tcPr>
            <w:tcW w:w="906" w:type="dxa"/>
            <w:tcBorders>
              <w:top w:val="single" w:sz="4" w:space="0" w:color="auto"/>
              <w:left w:val="nil"/>
              <w:bottom w:val="single" w:sz="4" w:space="0" w:color="auto"/>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number</w:t>
            </w:r>
          </w:p>
        </w:tc>
        <w:tc>
          <w:tcPr>
            <w:tcW w:w="911" w:type="dxa"/>
            <w:tcBorders>
              <w:top w:val="single" w:sz="4" w:space="0" w:color="auto"/>
              <w:left w:val="nil"/>
              <w:bottom w:val="single" w:sz="4" w:space="0" w:color="auto"/>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&gt;65 000</w:t>
            </w:r>
          </w:p>
        </w:tc>
        <w:tc>
          <w:tcPr>
            <w:tcW w:w="992" w:type="dxa"/>
            <w:tcBorders>
              <w:top w:val="single" w:sz="4" w:space="0" w:color="auto"/>
              <w:left w:val="nil"/>
              <w:bottom w:val="single" w:sz="4" w:space="0" w:color="auto"/>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&gt;65 000</w:t>
            </w:r>
          </w:p>
        </w:tc>
        <w:tc>
          <w:tcPr>
            <w:tcW w:w="907" w:type="dxa"/>
            <w:tcBorders>
              <w:top w:val="single" w:sz="4" w:space="0" w:color="auto"/>
              <w:left w:val="nil"/>
              <w:bottom w:val="single" w:sz="4" w:space="0" w:color="auto"/>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&gt;65 000</w:t>
            </w:r>
          </w:p>
        </w:tc>
        <w:tc>
          <w:tcPr>
            <w:tcW w:w="910" w:type="dxa"/>
            <w:tcBorders>
              <w:top w:val="single" w:sz="4" w:space="0" w:color="auto"/>
              <w:left w:val="nil"/>
              <w:bottom w:val="single" w:sz="4"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59 620</w:t>
            </w:r>
          </w:p>
        </w:tc>
      </w:tr>
      <w:tr w:rsidR="00E25CC6" w:rsidRPr="001D3263" w:rsidTr="00D63D1A">
        <w:trPr>
          <w:cantSplit/>
        </w:trPr>
        <w:tc>
          <w:tcPr>
            <w:tcW w:w="3141" w:type="dxa"/>
            <w:tcBorders>
              <w:top w:val="single" w:sz="4" w:space="0" w:color="auto"/>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6" w:type="dxa"/>
            <w:tcBorders>
              <w:top w:val="single" w:sz="4" w:space="0" w:color="auto"/>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11" w:type="dxa"/>
            <w:tcBorders>
              <w:top w:val="single" w:sz="4" w:space="0" w:color="auto"/>
              <w:left w:val="nil"/>
              <w:right w:val="nil"/>
            </w:tcBorders>
            <w:shd w:val="clear" w:color="auto" w:fill="DCDCDC"/>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92" w:type="dxa"/>
            <w:tcBorders>
              <w:top w:val="single" w:sz="4" w:space="0" w:color="auto"/>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07" w:type="dxa"/>
            <w:tcBorders>
              <w:top w:val="single" w:sz="4" w:space="0" w:color="auto"/>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10" w:type="dxa"/>
            <w:tcBorders>
              <w:top w:val="single" w:sz="4" w:space="0" w:color="auto"/>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Commemorative and educative projects meet agreed project objectives</w:t>
            </w:r>
          </w:p>
        </w:tc>
        <w:tc>
          <w:tcPr>
            <w:tcW w:w="906" w:type="dxa"/>
            <w:tcBorders>
              <w:top w:val="nil"/>
              <w:left w:val="nil"/>
              <w:bottom w:val="single" w:sz="6" w:space="0" w:color="auto"/>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per cent</w:t>
            </w:r>
          </w:p>
        </w:tc>
        <w:tc>
          <w:tcPr>
            <w:tcW w:w="911" w:type="dxa"/>
            <w:tcBorders>
              <w:top w:val="nil"/>
              <w:left w:val="nil"/>
              <w:bottom w:val="single" w:sz="6" w:space="0" w:color="auto"/>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92" w:type="dxa"/>
            <w:tcBorders>
              <w:top w:val="nil"/>
              <w:left w:val="nil"/>
              <w:bottom w:val="single" w:sz="6" w:space="0" w:color="auto"/>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07" w:type="dxa"/>
            <w:tcBorders>
              <w:top w:val="nil"/>
              <w:left w:val="nil"/>
              <w:bottom w:val="single" w:sz="6" w:space="0" w:color="auto"/>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p>
        </w:tc>
        <w:tc>
          <w:tcPr>
            <w:tcW w:w="911" w:type="dxa"/>
            <w:tcBorders>
              <w:top w:val="single" w:sz="6" w:space="0" w:color="auto"/>
              <w:left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Deliver an annual program of grants within agreed, published timelines</w:t>
            </w:r>
          </w:p>
        </w:tc>
        <w:tc>
          <w:tcPr>
            <w:tcW w:w="906" w:type="dxa"/>
            <w:tcBorders>
              <w:top w:val="nil"/>
              <w:left w:val="nil"/>
              <w:bottom w:val="single" w:sz="6" w:space="0" w:color="auto"/>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per cent</w:t>
            </w:r>
          </w:p>
        </w:tc>
        <w:tc>
          <w:tcPr>
            <w:tcW w:w="911" w:type="dxa"/>
            <w:tcBorders>
              <w:top w:val="nil"/>
              <w:left w:val="nil"/>
              <w:bottom w:val="single" w:sz="6" w:space="0" w:color="auto"/>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92" w:type="dxa"/>
            <w:tcBorders>
              <w:top w:val="nil"/>
              <w:left w:val="nil"/>
              <w:bottom w:val="single" w:sz="6" w:space="0" w:color="auto"/>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07" w:type="dxa"/>
            <w:tcBorders>
              <w:top w:val="nil"/>
              <w:left w:val="nil"/>
              <w:bottom w:val="single" w:sz="6" w:space="0" w:color="auto"/>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p>
        </w:tc>
        <w:tc>
          <w:tcPr>
            <w:tcW w:w="911" w:type="dxa"/>
            <w:tcBorders>
              <w:top w:val="single" w:sz="6" w:space="0" w:color="auto"/>
              <w:left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 million</w:t>
            </w:r>
          </w:p>
        </w:tc>
        <w:tc>
          <w:tcPr>
            <w:tcW w:w="911"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6.9</w:t>
            </w: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7.2</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8.0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8.4</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C17937" w:rsidRDefault="00E25CC6" w:rsidP="00C65835">
            <w:pPr>
              <w:pStyle w:val="OGNotes"/>
              <w:rPr>
                <w:rFonts w:eastAsiaTheme="minorEastAsia"/>
              </w:rPr>
            </w:pPr>
            <w:r w:rsidRPr="00C17937">
              <w:rPr>
                <w:rFonts w:eastAsiaTheme="minorEastAsia"/>
              </w:rPr>
              <w:t>The 2015</w:t>
            </w:r>
            <w:r w:rsidRPr="00C17937">
              <w:rPr>
                <w:rFonts w:eastAsiaTheme="minorEastAsia"/>
              </w:rPr>
              <w:noBreakHyphen/>
              <w:t>16 expected outcome is lower than the 2015</w:t>
            </w:r>
            <w:r w:rsidRPr="00C17937">
              <w:rPr>
                <w:rFonts w:eastAsiaTheme="minorEastAsia"/>
              </w:rPr>
              <w:noBreakHyphen/>
              <w:t>16 target due to the deferral of some activities from 2015</w:t>
            </w:r>
            <w:r w:rsidRPr="00C17937">
              <w:rPr>
                <w:rFonts w:eastAsiaTheme="minorEastAsia"/>
              </w:rPr>
              <w:noBreakHyphen/>
              <w:t>16 to 2016</w:t>
            </w:r>
            <w:r w:rsidRPr="00C17937">
              <w:rPr>
                <w:rFonts w:eastAsiaTheme="minorEastAsia"/>
              </w:rPr>
              <w:noBreakHyphen/>
              <w:t>17. The lower 2016</w:t>
            </w:r>
            <w:r w:rsidRPr="00C17937">
              <w:rPr>
                <w:rFonts w:eastAsiaTheme="minorEastAsia"/>
              </w:rPr>
              <w:noBreakHyphen/>
              <w:t>17 target reflects the cessation of funds related to the successful completion of elements of the Anzac Centenary program.</w:t>
            </w:r>
          </w:p>
        </w:tc>
      </w:tr>
      <w:tr w:rsidR="00E25CC6" w:rsidRPr="001D3263" w:rsidTr="00654395">
        <w:trPr>
          <w:cantSplit/>
        </w:trPr>
        <w:tc>
          <w:tcPr>
            <w:tcW w:w="7767" w:type="dxa"/>
            <w:gridSpan w:val="6"/>
            <w:tcBorders>
              <w:top w:val="single" w:sz="6" w:space="0" w:color="auto"/>
              <w:left w:val="nil"/>
              <w:bottom w:val="nil"/>
              <w:right w:val="nil"/>
            </w:tcBorders>
          </w:tcPr>
          <w:p w:rsidR="00E25CC6" w:rsidRPr="00C17937" w:rsidRDefault="00E25CC6" w:rsidP="000B7441">
            <w:pPr>
              <w:pStyle w:val="OGHeading2"/>
              <w:rPr>
                <w:rFonts w:eastAsiaTheme="minorEastAsia"/>
                <w:lang w:eastAsia="en-AU"/>
              </w:rPr>
            </w:pPr>
            <w:r w:rsidRPr="00C17937">
              <w:rPr>
                <w:rFonts w:eastAsiaTheme="minorEastAsia"/>
                <w:lang w:eastAsia="en-AU"/>
              </w:rPr>
              <w:t>Women, the Prevention of Family Violence and LGBTI Equality Policy and Programs</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C17937" w:rsidRDefault="00E25CC6" w:rsidP="002D2E5D">
            <w:pPr>
              <w:pStyle w:val="OGText"/>
              <w:rPr>
                <w:rFonts w:eastAsiaTheme="minorEastAsia"/>
                <w:lang w:eastAsia="en-AU"/>
              </w:rPr>
            </w:pPr>
            <w:r>
              <w:rPr>
                <w:rFonts w:eastAsiaTheme="minorEastAsia"/>
                <w:lang w:eastAsia="en-AU"/>
              </w:rPr>
              <w:t>Engage with communities and l</w:t>
            </w:r>
            <w:r w:rsidRPr="00C17937">
              <w:rPr>
                <w:rFonts w:eastAsiaTheme="minorEastAsia"/>
                <w:lang w:eastAsia="en-AU"/>
              </w:rPr>
              <w:t>ead and coordinate whole of government policy</w:t>
            </w:r>
            <w:r>
              <w:rPr>
                <w:rFonts w:eastAsiaTheme="minorEastAsia"/>
                <w:lang w:eastAsia="en-AU"/>
              </w:rPr>
              <w:t xml:space="preserve"> relating to women, prevention of family violence and LGBTI Victorians. D</w:t>
            </w:r>
            <w:r w:rsidRPr="00C17937">
              <w:rPr>
                <w:rFonts w:eastAsiaTheme="minorEastAsia"/>
                <w:lang w:eastAsia="en-AU"/>
              </w:rPr>
              <w:t>eliv</w:t>
            </w:r>
            <w:r>
              <w:rPr>
                <w:rFonts w:eastAsiaTheme="minorEastAsia"/>
                <w:lang w:eastAsia="en-AU"/>
              </w:rPr>
              <w:t xml:space="preserve">er initiatives that support </w:t>
            </w:r>
            <w:r w:rsidRPr="00C17937">
              <w:rPr>
                <w:rFonts w:eastAsiaTheme="minorEastAsia"/>
                <w:lang w:eastAsia="en-AU"/>
              </w:rPr>
              <w:t>the prevention of family violence</w:t>
            </w:r>
            <w:r>
              <w:rPr>
                <w:rFonts w:eastAsiaTheme="minorEastAsia"/>
                <w:lang w:eastAsia="en-AU"/>
              </w:rPr>
              <w:t xml:space="preserve"> and support the economic, social and civic participation and inclusion of all Victorians</w:t>
            </w:r>
            <w:r w:rsidRPr="00C17937">
              <w:rPr>
                <w:rFonts w:eastAsiaTheme="minorEastAsia"/>
                <w:lang w:eastAsia="en-AU"/>
              </w:rPr>
              <w:t>.</w:t>
            </w:r>
            <w:r>
              <w:rPr>
                <w:rFonts w:eastAsiaTheme="minorEastAsia"/>
                <w:lang w:eastAsia="en-AU"/>
              </w:rPr>
              <w:t xml:space="preserve"> </w:t>
            </w:r>
            <w:r>
              <w:rPr>
                <w:rFonts w:eastAsiaTheme="minorEastAsia"/>
                <w:lang w:eastAsia="en-AU"/>
              </w:rPr>
              <w:fldChar w:fldCharType="begin"/>
            </w:r>
            <w:r>
              <w:instrText xml:space="preserve"> XE "</w:instrText>
            </w:r>
            <w:r w:rsidRPr="002C17F5">
              <w:instrText>Family Violence</w:instrText>
            </w:r>
            <w:r>
              <w:instrText xml:space="preserve">" </w:instrText>
            </w:r>
            <w:r>
              <w:rPr>
                <w:rFonts w:eastAsiaTheme="minorEastAsia"/>
                <w:lang w:eastAsia="en-AU"/>
              </w:rPr>
              <w:fldChar w:fldCharType="end"/>
            </w:r>
            <w:r>
              <w:rPr>
                <w:rFonts w:eastAsiaTheme="minorEastAsia"/>
                <w:lang w:eastAsia="en-AU"/>
              </w:rPr>
              <w:t xml:space="preserve"> </w:t>
            </w:r>
            <w:r>
              <w:rPr>
                <w:rFonts w:eastAsiaTheme="minorEastAsia"/>
                <w:lang w:eastAsia="en-AU"/>
              </w:rPr>
              <w:fldChar w:fldCharType="begin"/>
            </w:r>
            <w:r>
              <w:instrText xml:space="preserve"> XE "</w:instrText>
            </w:r>
            <w:r w:rsidRPr="002C17F5">
              <w:instrText>Women</w:instrText>
            </w:r>
            <w:r>
              <w:instrText xml:space="preserve"> and Equality Programs" </w:instrText>
            </w:r>
            <w:r>
              <w:rPr>
                <w:rFonts w:eastAsiaTheme="minorEastAsia"/>
                <w:lang w:eastAsia="en-AU"/>
              </w:rPr>
              <w:fldChar w:fldCharType="end"/>
            </w:r>
            <w:r>
              <w:rPr>
                <w:rFonts w:eastAsiaTheme="minorEastAsia"/>
                <w:lang w:eastAsia="en-AU"/>
              </w:rPr>
              <w:t xml:space="preserve"> LGBTI</w:t>
            </w:r>
          </w:p>
        </w:tc>
      </w:tr>
      <w:tr w:rsidR="00E25CC6" w:rsidRPr="001D3263" w:rsidTr="00D63D1A">
        <w:trPr>
          <w:cantSplit/>
        </w:trPr>
        <w:tc>
          <w:tcPr>
            <w:tcW w:w="3141" w:type="dxa"/>
            <w:tcBorders>
              <w:top w:val="nil"/>
              <w:left w:val="nil"/>
              <w:bottom w:val="nil"/>
              <w:right w:val="nil"/>
            </w:tcBorders>
          </w:tcPr>
          <w:p w:rsidR="00E25CC6" w:rsidRPr="00C17937" w:rsidRDefault="00E25CC6" w:rsidP="00654395">
            <w:pPr>
              <w:autoSpaceDE w:val="0"/>
              <w:autoSpaceDN w:val="0"/>
              <w:adjustRightInd w:val="0"/>
              <w:spacing w:after="0"/>
              <w:ind w:left="227" w:hanging="227"/>
              <w:rPr>
                <w:rFonts w:ascii="Calibri" w:eastAsiaTheme="minorEastAsia" w:hAnsi="Calibri" w:cs="Calibri"/>
                <w:i/>
                <w:iCs/>
                <w:sz w:val="19"/>
                <w:szCs w:val="22"/>
                <w:lang w:eastAsia="en-AU"/>
              </w:rPr>
            </w:pPr>
            <w:r w:rsidRPr="00C17937">
              <w:rPr>
                <w:rFonts w:ascii="Calibri" w:eastAsiaTheme="minorEastAsia" w:hAnsi="Calibri" w:cs="Calibri"/>
                <w:i/>
                <w:iCs/>
                <w:sz w:val="19"/>
                <w:szCs w:val="22"/>
                <w:lang w:eastAsia="en-AU"/>
              </w:rPr>
              <w:t>Quantity</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11" w:type="dxa"/>
            <w:tcBorders>
              <w:top w:val="nil"/>
              <w:left w:val="nil"/>
              <w:right w:val="nil"/>
            </w:tcBorders>
            <w:shd w:val="clear" w:color="auto" w:fill="DCDCDC"/>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nil"/>
              <w:right w:val="nil"/>
            </w:tcBorders>
          </w:tcPr>
          <w:p w:rsidR="00E25CC6" w:rsidRPr="00C17937" w:rsidRDefault="00E25CC6" w:rsidP="00654395">
            <w:pPr>
              <w:pStyle w:val="OGTabText"/>
              <w:rPr>
                <w:rFonts w:eastAsiaTheme="minorEastAsia"/>
                <w:lang w:eastAsia="en-AU"/>
              </w:rPr>
            </w:pPr>
            <w:r w:rsidRPr="00C17937">
              <w:rPr>
                <w:rFonts w:eastAsiaTheme="minorEastAsia"/>
                <w:lang w:eastAsia="en-AU"/>
              </w:rPr>
              <w:t>Number of meetings, forums and events held for Women and the Prevention of Family Violence consultation/engagement with key stakeholders</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number</w:t>
            </w:r>
          </w:p>
        </w:tc>
        <w:tc>
          <w:tcPr>
            <w:tcW w:w="911"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51</w:t>
            </w: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30</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20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0B7441">
            <w:pPr>
              <w:pStyle w:val="OGNotes"/>
              <w:rPr>
                <w:rFonts w:eastAsiaTheme="minorEastAsia"/>
              </w:rPr>
            </w:pPr>
            <w:r w:rsidRPr="00C17937">
              <w:rPr>
                <w:rFonts w:eastAsiaTheme="minorEastAsia"/>
              </w:rPr>
              <w:t>The 2015</w:t>
            </w:r>
            <w:r w:rsidRPr="00C17937">
              <w:rPr>
                <w:rFonts w:eastAsiaTheme="minorEastAsia"/>
              </w:rPr>
              <w:noBreakHyphen/>
              <w:t>16 expected outcome is higher than the 2015</w:t>
            </w:r>
            <w:r w:rsidRPr="00C17937">
              <w:rPr>
                <w:rFonts w:eastAsiaTheme="minorEastAsia"/>
              </w:rPr>
              <w:noBreakHyphen/>
              <w:t xml:space="preserve">16 target due to higher than projected stakeholder engagement relating to the Victoria Against Violence and around the Royal Commission into Family Violence. </w:t>
            </w:r>
          </w:p>
          <w:p w:rsidR="00E25CC6" w:rsidRPr="00C17937" w:rsidRDefault="00E25CC6" w:rsidP="000B7441">
            <w:pPr>
              <w:pStyle w:val="OGNotes"/>
              <w:rPr>
                <w:rFonts w:eastAsiaTheme="minorEastAsia"/>
              </w:rPr>
            </w:pPr>
            <w:r w:rsidRPr="00C17937">
              <w:rPr>
                <w:rFonts w:eastAsiaTheme="minorEastAsia"/>
              </w:rPr>
              <w:t>The higher 2016</w:t>
            </w:r>
            <w:r w:rsidRPr="00C17937">
              <w:rPr>
                <w:rFonts w:eastAsiaTheme="minorEastAsia"/>
              </w:rPr>
              <w:noBreakHyphen/>
              <w:t>17 target reflects additional funding for engagement arrangements to implement Royal Commission into Family Violence recommendations and develop a Gender Equality Strategy, including funding</w:t>
            </w:r>
            <w:r>
              <w:rPr>
                <w:rFonts w:eastAsiaTheme="minorEastAsia"/>
              </w:rPr>
              <w:t xml:space="preserve"> for a Victims Advisory Council and Family Violence Steering Committee.</w:t>
            </w:r>
          </w:p>
        </w:tc>
      </w:tr>
      <w:tr w:rsidR="00E25CC6" w:rsidRPr="001D3263" w:rsidTr="00D63D1A">
        <w:trPr>
          <w:cantSplit/>
        </w:trPr>
        <w:tc>
          <w:tcPr>
            <w:tcW w:w="3141" w:type="dxa"/>
            <w:tcBorders>
              <w:top w:val="nil"/>
              <w:left w:val="nil"/>
              <w:bottom w:val="nil"/>
              <w:right w:val="nil"/>
            </w:tcBorders>
          </w:tcPr>
          <w:p w:rsidR="00E25CC6" w:rsidRPr="00C17937" w:rsidRDefault="00E25CC6" w:rsidP="00654395">
            <w:pPr>
              <w:pStyle w:val="OGTabText"/>
              <w:rPr>
                <w:rFonts w:eastAsiaTheme="minorEastAsia"/>
                <w:lang w:eastAsia="en-AU"/>
              </w:rPr>
            </w:pPr>
            <w:r w:rsidRPr="00C17937">
              <w:rPr>
                <w:rFonts w:eastAsiaTheme="minorEastAsia"/>
                <w:lang w:eastAsia="en-AU"/>
              </w:rPr>
              <w:t>Number of women participating in funded programs, projects and events</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number</w:t>
            </w:r>
          </w:p>
        </w:tc>
        <w:tc>
          <w:tcPr>
            <w:tcW w:w="911"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2 270</w:t>
            </w:r>
          </w:p>
        </w:tc>
        <w:tc>
          <w:tcPr>
            <w:tcW w:w="992" w:type="dxa"/>
            <w:tcBorders>
              <w:top w:val="nil"/>
              <w:left w:val="nil"/>
              <w:bottom w:val="nil"/>
              <w:right w:val="nil"/>
            </w:tcBorders>
          </w:tcPr>
          <w:p w:rsidR="00E25CC6" w:rsidRPr="00C17937" w:rsidRDefault="00E25CC6" w:rsidP="000B7441">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1 830</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1 450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826</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02398B">
            <w:pPr>
              <w:pStyle w:val="OGNotes"/>
              <w:rPr>
                <w:rFonts w:eastAsiaTheme="minorEastAsia"/>
              </w:rPr>
            </w:pPr>
            <w:r w:rsidRPr="00C17937">
              <w:rPr>
                <w:rFonts w:eastAsiaTheme="minorEastAsia"/>
              </w:rPr>
              <w:t xml:space="preserve">This performance measure was proposed to be discontinued in the </w:t>
            </w:r>
            <w:r w:rsidRPr="00C17937">
              <w:rPr>
                <w:rFonts w:eastAsiaTheme="minorEastAsia"/>
                <w:i w:val="0"/>
              </w:rPr>
              <w:t>2015</w:t>
            </w:r>
            <w:r w:rsidRPr="00C17937">
              <w:rPr>
                <w:rFonts w:eastAsiaTheme="minorEastAsia"/>
                <w:i w:val="0"/>
              </w:rPr>
              <w:noBreakHyphen/>
              <w:t>16 Budget</w:t>
            </w:r>
            <w:r w:rsidRPr="00C17937">
              <w:rPr>
                <w:rFonts w:eastAsiaTheme="minorEastAsia"/>
              </w:rPr>
              <w:t>, however has been reinstated following the Parliamentary Accounts and Estimate Committee</w:t>
            </w:r>
            <w:r>
              <w:rPr>
                <w:rFonts w:eastAsiaTheme="minorEastAsia"/>
              </w:rPr>
              <w:t>’</w:t>
            </w:r>
            <w:r w:rsidRPr="00C17937">
              <w:rPr>
                <w:rFonts w:eastAsiaTheme="minorEastAsia"/>
              </w:rPr>
              <w:t>s review of the 2015</w:t>
            </w:r>
            <w:r w:rsidRPr="00C17937">
              <w:rPr>
                <w:rFonts w:eastAsiaTheme="minorEastAsia"/>
              </w:rPr>
              <w:noBreakHyphen/>
              <w:t xml:space="preserve">16 Budget Estimates. </w:t>
            </w:r>
          </w:p>
          <w:p w:rsidR="00E25CC6" w:rsidRDefault="00E25CC6" w:rsidP="0002398B">
            <w:pPr>
              <w:pStyle w:val="OGNotes"/>
              <w:rPr>
                <w:rFonts w:eastAsiaTheme="minorEastAsia"/>
              </w:rPr>
            </w:pPr>
            <w:r w:rsidRPr="00C17937">
              <w:rPr>
                <w:rFonts w:eastAsiaTheme="minorEastAsia"/>
              </w:rPr>
              <w:t>The 2015</w:t>
            </w:r>
            <w:r w:rsidRPr="00C17937">
              <w:rPr>
                <w:rFonts w:eastAsiaTheme="minorEastAsia"/>
              </w:rPr>
              <w:noBreakHyphen/>
              <w:t>16 expected outcome is higher than the 2015</w:t>
            </w:r>
            <w:r w:rsidRPr="00C17937">
              <w:rPr>
                <w:rFonts w:eastAsiaTheme="minorEastAsia"/>
              </w:rPr>
              <w:noBreakHyphen/>
              <w:t xml:space="preserve">16 target due to increased participation numbers relating to Victoria Against Violence (VAV) gender equality events and additional women using the Victorian Register of Women. </w:t>
            </w:r>
          </w:p>
          <w:p w:rsidR="00E25CC6" w:rsidRPr="00C17937" w:rsidRDefault="00E25CC6" w:rsidP="008A0DEF">
            <w:pPr>
              <w:pStyle w:val="OGNotes"/>
              <w:rPr>
                <w:rFonts w:eastAsiaTheme="minorEastAsia"/>
              </w:rPr>
            </w:pPr>
            <w:r w:rsidRPr="00C17937">
              <w:rPr>
                <w:rFonts w:eastAsiaTheme="minorEastAsia"/>
              </w:rPr>
              <w:t xml:space="preserve">The higher 2016-17 </w:t>
            </w:r>
            <w:r>
              <w:rPr>
                <w:rFonts w:eastAsiaTheme="minorEastAsia"/>
              </w:rPr>
              <w:t>target</w:t>
            </w:r>
            <w:r w:rsidRPr="00C17937">
              <w:rPr>
                <w:rFonts w:eastAsiaTheme="minorEastAsia"/>
              </w:rPr>
              <w:t xml:space="preserve"> reflects additional funding for women</w:t>
            </w:r>
            <w:r>
              <w:rPr>
                <w:rFonts w:eastAsiaTheme="minorEastAsia"/>
              </w:rPr>
              <w:t>’</w:t>
            </w:r>
            <w:r w:rsidRPr="00C17937">
              <w:rPr>
                <w:rFonts w:eastAsiaTheme="minorEastAsia"/>
              </w:rPr>
              <w:t xml:space="preserve">s programs in the </w:t>
            </w:r>
            <w:r w:rsidRPr="00C17937">
              <w:rPr>
                <w:rFonts w:eastAsiaTheme="minorEastAsia"/>
                <w:i w:val="0"/>
              </w:rPr>
              <w:t>2016</w:t>
            </w:r>
            <w:r w:rsidRPr="00C17937">
              <w:rPr>
                <w:rFonts w:eastAsiaTheme="minorEastAsia"/>
                <w:i w:val="0"/>
              </w:rPr>
              <w:noBreakHyphen/>
              <w:t>17 Budget</w:t>
            </w:r>
            <w:r w:rsidRPr="00C17937">
              <w:rPr>
                <w:rFonts w:eastAsiaTheme="minorEastAsia"/>
              </w:rPr>
              <w:t>.</w:t>
            </w:r>
          </w:p>
        </w:tc>
      </w:tr>
      <w:tr w:rsidR="00E25CC6" w:rsidRPr="001D3263" w:rsidTr="00D63D1A">
        <w:trPr>
          <w:cantSplit/>
        </w:trPr>
        <w:tc>
          <w:tcPr>
            <w:tcW w:w="3141" w:type="dxa"/>
            <w:tcBorders>
              <w:top w:val="nil"/>
              <w:left w:val="nil"/>
              <w:bottom w:val="nil"/>
              <w:right w:val="nil"/>
            </w:tcBorders>
          </w:tcPr>
          <w:p w:rsidR="00E25CC6" w:rsidRPr="00C17937" w:rsidRDefault="00E25CC6" w:rsidP="00654395">
            <w:pPr>
              <w:pStyle w:val="OGTabText"/>
              <w:rPr>
                <w:rFonts w:eastAsiaTheme="minorEastAsia"/>
                <w:lang w:eastAsia="en-AU"/>
              </w:rPr>
            </w:pPr>
            <w:r w:rsidRPr="00C17937">
              <w:rPr>
                <w:rFonts w:eastAsiaTheme="minorEastAsia"/>
                <w:lang w:eastAsia="en-AU"/>
              </w:rPr>
              <w:t>Number of people engaged with LGBTI equality projects and consultations</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number</w:t>
            </w:r>
          </w:p>
        </w:tc>
        <w:tc>
          <w:tcPr>
            <w:tcW w:w="911"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3 000</w:t>
            </w: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nm</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C17937" w:rsidRDefault="00E25CC6" w:rsidP="000B7441">
            <w:pPr>
              <w:pStyle w:val="OGNotes"/>
              <w:rPr>
                <w:rFonts w:eastAsiaTheme="minorEastAsia"/>
              </w:rPr>
            </w:pPr>
            <w:r w:rsidRPr="00C17937">
              <w:rPr>
                <w:rFonts w:eastAsiaTheme="minorEastAsia"/>
              </w:rPr>
              <w:t>New performance measure for 2016</w:t>
            </w:r>
            <w:r w:rsidRPr="00C17937">
              <w:rPr>
                <w:rFonts w:eastAsiaTheme="minorEastAsia"/>
              </w:rPr>
              <w:noBreakHyphen/>
              <w:t xml:space="preserve">17 to reflect new funding for the </w:t>
            </w:r>
            <w:r>
              <w:rPr>
                <w:rFonts w:eastAsiaTheme="minorEastAsia"/>
              </w:rPr>
              <w:t>‘</w:t>
            </w:r>
            <w:r w:rsidRPr="00C17937">
              <w:rPr>
                <w:rFonts w:eastAsiaTheme="minorEastAsia"/>
              </w:rPr>
              <w:t>Combatting homophobia</w:t>
            </w:r>
            <w:r>
              <w:rPr>
                <w:rFonts w:eastAsiaTheme="minorEastAsia"/>
              </w:rPr>
              <w:t>’</w:t>
            </w:r>
            <w:r w:rsidRPr="00C17937">
              <w:rPr>
                <w:rFonts w:eastAsiaTheme="minorEastAsia"/>
              </w:rPr>
              <w:t xml:space="preserve"> initiative.</w:t>
            </w:r>
          </w:p>
        </w:tc>
      </w:tr>
      <w:tr w:rsidR="00E25CC6" w:rsidRPr="001D3263" w:rsidTr="00D63D1A">
        <w:trPr>
          <w:cantSplit/>
        </w:trPr>
        <w:tc>
          <w:tcPr>
            <w:tcW w:w="3141" w:type="dxa"/>
            <w:tcBorders>
              <w:top w:val="nil"/>
              <w:left w:val="nil"/>
              <w:bottom w:val="nil"/>
              <w:right w:val="nil"/>
            </w:tcBorders>
          </w:tcPr>
          <w:p w:rsidR="00E25CC6" w:rsidRPr="00C17937" w:rsidRDefault="00E25CC6" w:rsidP="00654395">
            <w:pPr>
              <w:keepNext/>
              <w:autoSpaceDE w:val="0"/>
              <w:autoSpaceDN w:val="0"/>
              <w:adjustRightInd w:val="0"/>
              <w:spacing w:after="0"/>
              <w:ind w:left="230" w:hanging="230"/>
              <w:rPr>
                <w:rFonts w:ascii="Calibri" w:eastAsiaTheme="minorEastAsia" w:hAnsi="Calibri" w:cs="Calibri"/>
                <w:i/>
                <w:iCs/>
                <w:sz w:val="19"/>
                <w:szCs w:val="22"/>
                <w:lang w:eastAsia="en-AU"/>
              </w:rPr>
            </w:pPr>
            <w:r w:rsidRPr="00C17937">
              <w:rPr>
                <w:rFonts w:ascii="Calibri" w:eastAsiaTheme="minorEastAsia" w:hAnsi="Calibri" w:cs="Calibri"/>
                <w:i/>
                <w:iCs/>
                <w:sz w:val="19"/>
                <w:szCs w:val="22"/>
                <w:lang w:eastAsia="en-AU"/>
              </w:rPr>
              <w:t>Quality</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11" w:type="dxa"/>
            <w:tcBorders>
              <w:top w:val="nil"/>
              <w:left w:val="nil"/>
              <w:right w:val="nil"/>
            </w:tcBorders>
            <w:shd w:val="clear" w:color="auto" w:fill="DCDCDC"/>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bottom w:val="nil"/>
              <w:right w:val="nil"/>
            </w:tcBorders>
          </w:tcPr>
          <w:p w:rsidR="00E25CC6" w:rsidRPr="00C17937" w:rsidRDefault="00E25CC6" w:rsidP="00654395">
            <w:pPr>
              <w:pStyle w:val="OGTabText"/>
              <w:rPr>
                <w:rFonts w:eastAsiaTheme="minorEastAsia"/>
                <w:lang w:eastAsia="en-AU"/>
              </w:rPr>
            </w:pPr>
            <w:r w:rsidRPr="00C17937">
              <w:rPr>
                <w:rFonts w:eastAsiaTheme="minorEastAsia"/>
                <w:lang w:eastAsia="en-AU"/>
              </w:rPr>
              <w:t>Proportion of LGBTI grant program recipients who met or exceeded agreed outcomes</w:t>
            </w:r>
          </w:p>
        </w:tc>
        <w:tc>
          <w:tcPr>
            <w:tcW w:w="906"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per cent</w:t>
            </w:r>
          </w:p>
        </w:tc>
        <w:tc>
          <w:tcPr>
            <w:tcW w:w="911"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85</w:t>
            </w: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nm</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New performance measure for 2016</w:t>
            </w:r>
            <w:r>
              <w:rPr>
                <w:rFonts w:eastAsiaTheme="minorEastAsia"/>
              </w:rPr>
              <w:noBreakHyphen/>
            </w:r>
            <w:r w:rsidRPr="001D3263">
              <w:rPr>
                <w:rFonts w:eastAsiaTheme="minorEastAsia"/>
              </w:rPr>
              <w:t xml:space="preserve">17 to reflect new funding for the </w:t>
            </w:r>
            <w:r>
              <w:rPr>
                <w:rFonts w:eastAsiaTheme="minorEastAsia"/>
              </w:rPr>
              <w:t>‘</w:t>
            </w:r>
            <w:r w:rsidRPr="001D3263">
              <w:rPr>
                <w:rFonts w:eastAsiaTheme="minorEastAsia"/>
              </w:rPr>
              <w:t>LGTBI Grants Program</w:t>
            </w:r>
            <w:r>
              <w:rPr>
                <w:rFonts w:eastAsiaTheme="minorEastAsia"/>
              </w:rPr>
              <w:t>’</w:t>
            </w:r>
            <w:r w:rsidRPr="001D3263">
              <w:rPr>
                <w:rFonts w:eastAsiaTheme="minorEastAsia"/>
              </w:rPr>
              <w:t xml:space="preserve"> initiative.</w:t>
            </w:r>
          </w:p>
        </w:tc>
      </w:tr>
      <w:tr w:rsidR="00E25CC6" w:rsidRPr="001D3263" w:rsidTr="00D63D1A">
        <w:trPr>
          <w:cantSplit/>
        </w:trPr>
        <w:tc>
          <w:tcPr>
            <w:tcW w:w="3141" w:type="dxa"/>
            <w:tcBorders>
              <w:top w:val="single" w:sz="6" w:space="0" w:color="auto"/>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Women and the Prevention of Family Violence service agreements and contracts deliver agreed outcomes for the prevention of family violence and the social and economic participation of women</w:t>
            </w:r>
          </w:p>
        </w:tc>
        <w:tc>
          <w:tcPr>
            <w:tcW w:w="906"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11" w:type="dxa"/>
            <w:tcBorders>
              <w:top w:val="single" w:sz="6" w:space="0" w:color="auto"/>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D63D1A">
        <w:trPr>
          <w:cantSplit/>
        </w:trPr>
        <w:tc>
          <w:tcPr>
            <w:tcW w:w="3141" w:type="dxa"/>
            <w:tcBorders>
              <w:top w:val="nil"/>
              <w:left w:val="nil"/>
              <w:right w:val="nil"/>
            </w:tcBorders>
          </w:tcPr>
          <w:p w:rsidR="00E25CC6" w:rsidRPr="007177D1" w:rsidRDefault="00E25CC6" w:rsidP="007F002D">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6" w:type="dxa"/>
            <w:tcBorders>
              <w:top w:val="nil"/>
              <w:left w:val="nil"/>
              <w:right w:val="nil"/>
            </w:tcBorders>
          </w:tcPr>
          <w:p w:rsidR="00E25CC6" w:rsidRPr="007177D1" w:rsidRDefault="00E25CC6" w:rsidP="007F002D">
            <w:pPr>
              <w:keepNext/>
              <w:autoSpaceDE w:val="0"/>
              <w:autoSpaceDN w:val="0"/>
              <w:adjustRightInd w:val="0"/>
              <w:spacing w:after="0"/>
              <w:jc w:val="center"/>
              <w:rPr>
                <w:rFonts w:ascii="Calibri" w:eastAsiaTheme="minorEastAsia" w:hAnsi="Calibri" w:cs="Calibri"/>
                <w:color w:val="000000"/>
                <w:sz w:val="19"/>
                <w:szCs w:val="22"/>
                <w:lang w:eastAsia="en-AU"/>
              </w:rPr>
            </w:pPr>
          </w:p>
        </w:tc>
        <w:tc>
          <w:tcPr>
            <w:tcW w:w="911" w:type="dxa"/>
            <w:tcBorders>
              <w:top w:val="single" w:sz="6" w:space="0" w:color="auto"/>
              <w:left w:val="nil"/>
              <w:right w:val="nil"/>
            </w:tcBorders>
            <w:shd w:val="clear" w:color="auto" w:fill="DCDCDC"/>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right w:val="nil"/>
            </w:tcBorders>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right w:val="nil"/>
            </w:tcBorders>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right w:val="nil"/>
            </w:tcBorders>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right w:val="nil"/>
            </w:tcBorders>
          </w:tcPr>
          <w:p w:rsidR="00E25CC6" w:rsidRPr="001D3263" w:rsidRDefault="00E25CC6" w:rsidP="007F002D">
            <w:pPr>
              <w:pStyle w:val="OGTabText"/>
              <w:keepNext/>
              <w:rPr>
                <w:rFonts w:eastAsiaTheme="minorEastAsia"/>
                <w:lang w:eastAsia="en-AU"/>
              </w:rPr>
            </w:pPr>
            <w:r w:rsidRPr="001D3263">
              <w:rPr>
                <w:rFonts w:eastAsiaTheme="minorEastAsia"/>
                <w:lang w:eastAsia="en-AU"/>
              </w:rPr>
              <w:t>Timely delivery of poli</w:t>
            </w:r>
            <w:r>
              <w:rPr>
                <w:rFonts w:eastAsiaTheme="minorEastAsia"/>
                <w:lang w:eastAsia="en-AU"/>
              </w:rPr>
              <w:t>cy analysis and papers prepared</w:t>
            </w:r>
          </w:p>
        </w:tc>
        <w:tc>
          <w:tcPr>
            <w:tcW w:w="906" w:type="dxa"/>
            <w:tcBorders>
              <w:top w:val="nil"/>
              <w:left w:val="nil"/>
              <w:right w:val="nil"/>
            </w:tcBorders>
          </w:tcPr>
          <w:p w:rsidR="00E25CC6" w:rsidRPr="007177D1" w:rsidRDefault="00E25CC6" w:rsidP="007F002D">
            <w:pPr>
              <w:keepNext/>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11" w:type="dxa"/>
            <w:tcBorders>
              <w:top w:val="nil"/>
              <w:left w:val="nil"/>
              <w:right w:val="nil"/>
            </w:tcBorders>
            <w:shd w:val="clear" w:color="auto" w:fill="DCDCDC"/>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right w:val="nil"/>
            </w:tcBorders>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nil"/>
              <w:left w:val="nil"/>
              <w:right w:val="nil"/>
            </w:tcBorders>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right w:val="nil"/>
            </w:tcBorders>
          </w:tcPr>
          <w:p w:rsidR="00E25CC6" w:rsidRPr="007177D1" w:rsidRDefault="00E25CC6" w:rsidP="007F002D">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D63D1A">
        <w:trPr>
          <w:cantSplit/>
        </w:trPr>
        <w:tc>
          <w:tcPr>
            <w:tcW w:w="7767" w:type="dxa"/>
            <w:gridSpan w:val="6"/>
            <w:tcBorders>
              <w:left w:val="nil"/>
              <w:bottom w:val="single" w:sz="6" w:space="0" w:color="auto"/>
              <w:right w:val="nil"/>
            </w:tcBorders>
          </w:tcPr>
          <w:p w:rsidR="00E25CC6" w:rsidRPr="001D3263" w:rsidRDefault="00E25CC6" w:rsidP="00D5436B">
            <w:pPr>
              <w:pStyle w:val="OGNotes"/>
              <w:rPr>
                <w:rFonts w:eastAsiaTheme="minorEastAsia"/>
              </w:rPr>
            </w:pPr>
            <w:r w:rsidRPr="00D63D1A">
              <w:rPr>
                <w:rFonts w:eastAsiaTheme="minorEastAsia"/>
              </w:rPr>
              <w:t xml:space="preserve">This performance measure renames the 2015-16 performance measure </w:t>
            </w:r>
            <w:r>
              <w:rPr>
                <w:rFonts w:eastAsiaTheme="minorEastAsia"/>
              </w:rPr>
              <w:t>‘</w:t>
            </w:r>
            <w:r w:rsidRPr="00D63D1A">
              <w:rPr>
                <w:rFonts w:eastAsiaTheme="minorEastAsia"/>
              </w:rPr>
              <w:t>Timely delivery of policy analysis and papers prepared (including submissions to the Royal Commission). The Royal Commission Report was tabled in Parliament on 30 March 2016 and this is no longer a required component of the measure.</w:t>
            </w:r>
          </w:p>
        </w:tc>
      </w:tr>
      <w:tr w:rsidR="00E25CC6" w:rsidRPr="001D3263" w:rsidTr="00D63D1A">
        <w:trPr>
          <w:cantSplit/>
        </w:trPr>
        <w:tc>
          <w:tcPr>
            <w:tcW w:w="3141" w:type="dxa"/>
            <w:tcBorders>
              <w:top w:val="single" w:sz="6" w:space="0" w:color="auto"/>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Women and the Prevention of Family Violence projects and programs which support the prevention of family violence and the social and economic participation of women are delivered on time</w:t>
            </w:r>
          </w:p>
        </w:tc>
        <w:tc>
          <w:tcPr>
            <w:tcW w:w="906"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11" w:type="dxa"/>
            <w:tcBorders>
              <w:top w:val="single" w:sz="6" w:space="0" w:color="auto"/>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D63D1A">
        <w:trPr>
          <w:cantSplit/>
        </w:trPr>
        <w:tc>
          <w:tcPr>
            <w:tcW w:w="3141"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6"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11"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D63D1A">
        <w:trPr>
          <w:cantSplit/>
        </w:trPr>
        <w:tc>
          <w:tcPr>
            <w:tcW w:w="3141" w:type="dxa"/>
            <w:tcBorders>
              <w:top w:val="nil"/>
              <w:left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6" w:type="dxa"/>
            <w:tcBorders>
              <w:top w:val="nil"/>
              <w:left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11" w:type="dxa"/>
            <w:tcBorders>
              <w:top w:val="nil"/>
              <w:left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23.8</w:t>
            </w:r>
          </w:p>
        </w:tc>
        <w:tc>
          <w:tcPr>
            <w:tcW w:w="992" w:type="dxa"/>
            <w:tcBorders>
              <w:top w:val="nil"/>
              <w:left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19.0</w:t>
            </w:r>
          </w:p>
        </w:tc>
        <w:tc>
          <w:tcPr>
            <w:tcW w:w="907"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12.5</w:t>
            </w:r>
          </w:p>
        </w:tc>
        <w:tc>
          <w:tcPr>
            <w:tcW w:w="910"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6.3</w:t>
            </w:r>
          </w:p>
        </w:tc>
      </w:tr>
      <w:tr w:rsidR="00E25CC6" w:rsidRPr="001D3263" w:rsidTr="00F801FF">
        <w:trPr>
          <w:cantSplit/>
        </w:trPr>
        <w:tc>
          <w:tcPr>
            <w:tcW w:w="7767" w:type="dxa"/>
            <w:gridSpan w:val="6"/>
            <w:tcBorders>
              <w:top w:val="nil"/>
              <w:left w:val="nil"/>
              <w:bottom w:val="single" w:sz="12" w:space="0" w:color="auto"/>
              <w:right w:val="nil"/>
            </w:tcBorders>
          </w:tcPr>
          <w:p w:rsidR="00E25CC6" w:rsidRDefault="00E25CC6" w:rsidP="00835009">
            <w:pPr>
              <w:pStyle w:val="OGNotes"/>
              <w:rPr>
                <w:rFonts w:eastAsiaTheme="minorEastAsia"/>
              </w:rPr>
            </w:pPr>
            <w:r w:rsidRPr="00C17937">
              <w:rPr>
                <w:rFonts w:eastAsiaTheme="minorEastAsia"/>
              </w:rPr>
              <w:t>The 2015</w:t>
            </w:r>
            <w:r w:rsidRPr="00C17937">
              <w:rPr>
                <w:rFonts w:eastAsiaTheme="minorEastAsia"/>
              </w:rPr>
              <w:noBreakHyphen/>
              <w:t>16 expected outcome is higher than the 2015</w:t>
            </w:r>
            <w:r w:rsidRPr="00C17937">
              <w:rPr>
                <w:rFonts w:eastAsiaTheme="minorEastAsia"/>
              </w:rPr>
              <w:noBreakHyphen/>
              <w:t xml:space="preserve">16 target due to increased funding allocated through the </w:t>
            </w:r>
            <w:r w:rsidRPr="00C17937">
              <w:rPr>
                <w:rFonts w:eastAsiaTheme="minorEastAsia"/>
                <w:i w:val="0"/>
              </w:rPr>
              <w:t>2016</w:t>
            </w:r>
            <w:r w:rsidRPr="00C17937">
              <w:rPr>
                <w:rFonts w:eastAsiaTheme="minorEastAsia"/>
                <w:i w:val="0"/>
              </w:rPr>
              <w:noBreakHyphen/>
              <w:t>17 Budget</w:t>
            </w:r>
            <w:r w:rsidRPr="00C17937">
              <w:rPr>
                <w:rFonts w:eastAsiaTheme="minorEastAsia"/>
              </w:rPr>
              <w:t xml:space="preserve"> for family violence prevention initiatives. </w:t>
            </w:r>
          </w:p>
          <w:p w:rsidR="00E25CC6" w:rsidRPr="00C17937" w:rsidRDefault="00E25CC6" w:rsidP="00835009">
            <w:pPr>
              <w:pStyle w:val="OGNotes"/>
              <w:rPr>
                <w:rFonts w:eastAsiaTheme="minorEastAsia"/>
              </w:rPr>
            </w:pPr>
            <w:r w:rsidRPr="00C17937">
              <w:rPr>
                <w:rFonts w:eastAsiaTheme="minorEastAsia"/>
              </w:rPr>
              <w:t>The higher 2016</w:t>
            </w:r>
            <w:r w:rsidRPr="00C17937">
              <w:rPr>
                <w:rFonts w:eastAsiaTheme="minorEastAsia"/>
              </w:rPr>
              <w:noBreakHyphen/>
              <w:t xml:space="preserve">17 target reflects increased funding allocated through the </w:t>
            </w:r>
            <w:r w:rsidRPr="00C17937">
              <w:rPr>
                <w:rFonts w:eastAsiaTheme="minorEastAsia"/>
                <w:i w:val="0"/>
              </w:rPr>
              <w:t>2016</w:t>
            </w:r>
            <w:r w:rsidRPr="00C17937">
              <w:rPr>
                <w:rFonts w:eastAsiaTheme="minorEastAsia"/>
                <w:i w:val="0"/>
              </w:rPr>
              <w:noBreakHyphen/>
              <w:t>17 Budget</w:t>
            </w:r>
            <w:r w:rsidRPr="00C17937">
              <w:rPr>
                <w:rFonts w:eastAsiaTheme="minorEastAsia"/>
              </w:rPr>
              <w:t xml:space="preserve"> for family violence prevention and equality initiatives.</w:t>
            </w:r>
          </w:p>
        </w:tc>
      </w:tr>
    </w:tbl>
    <w:p w:rsidR="00E25CC6" w:rsidRDefault="00E25CC6" w:rsidP="00F801FF">
      <w:pPr>
        <w:pStyle w:val="Source"/>
      </w:pPr>
      <w:r>
        <w:t>Source: Department of Premier and Cabinet</w:t>
      </w:r>
      <w:bookmarkEnd w:id="99"/>
      <w:r>
        <w:t xml:space="preserve"> </w:t>
      </w:r>
      <w:r>
        <w:fldChar w:fldCharType="begin"/>
      </w:r>
      <w:r>
        <w:instrText xml:space="preserve"> XE "</w:instrText>
      </w:r>
      <w:r w:rsidRPr="00302B95">
        <w:instrText>Department of Premier and Cabinet:Engaged Citizens</w:instrText>
      </w:r>
      <w:r>
        <w:instrText xml:space="preserve">" \r "DPC_EngageCitz" </w:instrText>
      </w:r>
      <w:r>
        <w:fldChar w:fldCharType="end"/>
      </w:r>
    </w:p>
    <w:p w:rsidR="00E25CC6" w:rsidRDefault="00E25CC6" w:rsidP="00FB792C">
      <w:pPr>
        <w:pStyle w:val="OGText"/>
        <w:rPr>
          <w:lang w:eastAsia="en-AU"/>
        </w:rPr>
      </w:pPr>
    </w:p>
    <w:p w:rsidR="00E25CC6" w:rsidRDefault="00E25CC6">
      <w:pPr>
        <w:spacing w:after="0"/>
        <w:rPr>
          <w:rFonts w:ascii="Calibri" w:hAnsi="Calibri"/>
          <w:sz w:val="20"/>
          <w:szCs w:val="18"/>
          <w:lang w:eastAsia="en-AU"/>
        </w:rPr>
      </w:pPr>
      <w:r>
        <w:rPr>
          <w:lang w:eastAsia="en-AU"/>
        </w:rPr>
        <w:br w:type="page"/>
      </w:r>
    </w:p>
    <w:p w:rsidR="00E25CC6" w:rsidRDefault="00E25CC6" w:rsidP="00FB792C">
      <w:pPr>
        <w:pStyle w:val="OGHeading1"/>
        <w:rPr>
          <w:lang w:eastAsia="en-AU"/>
        </w:rPr>
      </w:pPr>
      <w:r>
        <w:rPr>
          <w:lang w:eastAsia="en-AU"/>
        </w:rPr>
        <w:t>Professional public administration</w:t>
      </w:r>
    </w:p>
    <w:p w:rsidR="00E25CC6" w:rsidRPr="00717819" w:rsidRDefault="00E25CC6" w:rsidP="00FB792C">
      <w:pPr>
        <w:pStyle w:val="OGText"/>
        <w:rPr>
          <w:lang w:eastAsia="en-AU"/>
        </w:rPr>
      </w:pPr>
      <w:bookmarkStart w:id="100" w:name="DPC_ProfPub"/>
      <w:r w:rsidRPr="00717819">
        <w:rPr>
          <w:lang w:eastAsia="en-AU"/>
        </w:rPr>
        <w:t>These outputs relate to the provision of independent services and aim to ensure effective management, governance and support in the public sector.</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7"/>
        <w:gridCol w:w="907"/>
        <w:gridCol w:w="992"/>
        <w:gridCol w:w="907"/>
        <w:gridCol w:w="910"/>
      </w:tblGrid>
      <w:tr w:rsidR="00E25CC6" w:rsidRPr="001D3263" w:rsidTr="00FB792C">
        <w:trPr>
          <w:cantSplit/>
          <w:tblHeader/>
        </w:trPr>
        <w:tc>
          <w:tcPr>
            <w:tcW w:w="3144" w:type="dxa"/>
            <w:tcBorders>
              <w:top w:val="nil"/>
              <w:left w:val="nil"/>
              <w:bottom w:val="single" w:sz="4" w:space="0" w:color="auto"/>
              <w:right w:val="nil"/>
            </w:tcBorders>
            <w:shd w:val="solid" w:color="000000" w:fill="auto"/>
            <w:vAlign w:val="bottom"/>
          </w:tcPr>
          <w:p w:rsidR="00E25CC6" w:rsidRPr="001D3263" w:rsidRDefault="00E25CC6" w:rsidP="009148AF">
            <w:pPr>
              <w:autoSpaceDE w:val="0"/>
              <w:autoSpaceDN w:val="0"/>
              <w:adjustRightInd w:val="0"/>
              <w:spacing w:after="0"/>
              <w:rPr>
                <w:rFonts w:ascii="Calibri" w:eastAsiaTheme="minorEastAsia" w:hAnsi="Calibri" w:cs="Calibri"/>
                <w:i/>
                <w:iCs/>
                <w:color w:val="FFFFFF"/>
                <w:sz w:val="19"/>
                <w:szCs w:val="22"/>
                <w:lang w:eastAsia="en-AU"/>
              </w:rPr>
            </w:pPr>
            <w:r w:rsidRPr="001D3263">
              <w:rPr>
                <w:rFonts w:ascii="Calibri" w:eastAsiaTheme="minorEastAsia" w:hAnsi="Calibri" w:cs="Calibri"/>
                <w:b/>
                <w:bCs/>
                <w:color w:val="FFFFFF"/>
                <w:sz w:val="19"/>
                <w:szCs w:val="22"/>
                <w:lang w:eastAsia="en-AU"/>
              </w:rPr>
              <w:t>Major outputs/deliverables</w:t>
            </w:r>
          </w:p>
          <w:p w:rsidR="00E25CC6" w:rsidRPr="007177D1" w:rsidRDefault="00E25CC6" w:rsidP="009148AF">
            <w:pPr>
              <w:autoSpaceDE w:val="0"/>
              <w:autoSpaceDN w:val="0"/>
              <w:adjustRightInd w:val="0"/>
              <w:spacing w:after="0"/>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7177D1" w:rsidRDefault="00E25CC6" w:rsidP="009148AF">
            <w:pPr>
              <w:autoSpaceDE w:val="0"/>
              <w:autoSpaceDN w:val="0"/>
              <w:adjustRightInd w:val="0"/>
              <w:spacing w:after="0"/>
              <w:jc w:val="center"/>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7177D1" w:rsidRDefault="00E25CC6" w:rsidP="009148AF">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7177D1" w:rsidRDefault="00E25CC6" w:rsidP="009148AF">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7177D1" w:rsidRDefault="00E25CC6" w:rsidP="009148AF">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16 target</w:t>
            </w:r>
          </w:p>
        </w:tc>
        <w:tc>
          <w:tcPr>
            <w:tcW w:w="910" w:type="dxa"/>
            <w:tcBorders>
              <w:top w:val="nil"/>
              <w:left w:val="nil"/>
              <w:bottom w:val="single" w:sz="4" w:space="0" w:color="auto"/>
              <w:right w:val="nil"/>
            </w:tcBorders>
            <w:shd w:val="solid" w:color="000000" w:fill="auto"/>
            <w:vAlign w:val="bottom"/>
          </w:tcPr>
          <w:p w:rsidR="00E25CC6" w:rsidRPr="007177D1" w:rsidRDefault="00E25CC6" w:rsidP="009148AF">
            <w:pPr>
              <w:autoSpaceDE w:val="0"/>
              <w:autoSpaceDN w:val="0"/>
              <w:adjustRightInd w:val="0"/>
              <w:spacing w:after="0"/>
              <w:jc w:val="right"/>
              <w:rPr>
                <w:rFonts w:ascii="Calibri" w:eastAsiaTheme="minorEastAsia" w:hAnsi="Calibri" w:cs="Calibri"/>
                <w:i/>
                <w:iCs/>
                <w:color w:val="FFFFFF"/>
                <w:sz w:val="19"/>
                <w:szCs w:val="22"/>
                <w:lang w:eastAsia="en-AU"/>
              </w:rPr>
            </w:pPr>
            <w:r w:rsidRPr="007177D1">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7177D1">
              <w:rPr>
                <w:rFonts w:ascii="Calibri" w:eastAsiaTheme="minorEastAsia" w:hAnsi="Calibri" w:cs="Calibri"/>
                <w:i/>
                <w:iCs/>
                <w:color w:val="FFFFFF"/>
                <w:sz w:val="19"/>
                <w:szCs w:val="22"/>
                <w:lang w:eastAsia="en-AU"/>
              </w:rPr>
              <w:t>15 actual</w:t>
            </w:r>
          </w:p>
        </w:tc>
      </w:tr>
      <w:tr w:rsidR="00E25CC6" w:rsidRPr="001D3263" w:rsidTr="00FB792C">
        <w:trPr>
          <w:cantSplit/>
        </w:trPr>
        <w:tc>
          <w:tcPr>
            <w:tcW w:w="7767" w:type="dxa"/>
            <w:gridSpan w:val="6"/>
            <w:tcBorders>
              <w:top w:val="single" w:sz="6" w:space="0" w:color="auto"/>
              <w:left w:val="nil"/>
              <w:bottom w:val="nil"/>
              <w:right w:val="nil"/>
            </w:tcBorders>
          </w:tcPr>
          <w:p w:rsidR="00E25CC6" w:rsidRPr="001D3263" w:rsidRDefault="00E25CC6" w:rsidP="002B38F1">
            <w:pPr>
              <w:pStyle w:val="OGHeading2"/>
              <w:rPr>
                <w:rFonts w:eastAsiaTheme="minorEastAsia"/>
                <w:lang w:eastAsia="en-AU"/>
              </w:rPr>
            </w:pPr>
            <w:r w:rsidRPr="001D3263">
              <w:rPr>
                <w:rFonts w:eastAsiaTheme="minorEastAsia"/>
                <w:lang w:eastAsia="en-AU"/>
              </w:rPr>
              <w:t>Advice and Support to the Govern</w:t>
            </w:r>
            <w:r>
              <w:rPr>
                <w:rFonts w:eastAsiaTheme="minorEastAsia"/>
                <w:lang w:eastAsia="en-AU"/>
              </w:rPr>
              <w:t>o</w:t>
            </w:r>
            <w:r w:rsidRPr="001D3263">
              <w:rPr>
                <w:rFonts w:eastAsiaTheme="minorEastAsia"/>
                <w:lang w:eastAsia="en-AU"/>
              </w:rPr>
              <w:t>r</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7177D1" w:rsidRDefault="00E25CC6" w:rsidP="002B38F1">
            <w:pPr>
              <w:pStyle w:val="OGText"/>
              <w:rPr>
                <w:rFonts w:eastAsiaTheme="minorEastAsia" w:cs="Calibri"/>
                <w:color w:val="000000"/>
                <w:sz w:val="19"/>
                <w:szCs w:val="22"/>
                <w:lang w:eastAsia="en-AU"/>
              </w:rPr>
            </w:pPr>
            <w:r w:rsidRPr="001D3263">
              <w:rPr>
                <w:rFonts w:eastAsiaTheme="minorEastAsia"/>
                <w:lang w:eastAsia="en-AU"/>
              </w:rPr>
              <w:t>Provide advice and support to the Governor, and maintain Government House and its collections as a heritage asset of national importance.</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Increase in the annual number of guests and visitors to Government House</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Maintenance of Government House in accordance with the asset management strategy</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Standard, physical appearance of gardens and grounds in accordance with contract key performance indicators</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85</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85</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85</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Support the Governor</w:t>
            </w:r>
            <w:r>
              <w:rPr>
                <w:rFonts w:eastAsiaTheme="minorEastAsia"/>
                <w:lang w:eastAsia="en-AU"/>
              </w:rPr>
              <w:t>’</w:t>
            </w:r>
            <w:r w:rsidRPr="001D3263">
              <w:rPr>
                <w:rFonts w:eastAsiaTheme="minorEastAsia"/>
                <w:lang w:eastAsia="en-AU"/>
              </w:rPr>
              <w:t>s community engagement activities by arranging all internal and external events in a timely manner</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Total output cost</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10.8</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10.3</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10.3</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10.2</w:t>
            </w:r>
          </w:p>
        </w:tc>
      </w:tr>
      <w:tr w:rsidR="00E25CC6" w:rsidRPr="001D3263" w:rsidTr="00FB792C">
        <w:trPr>
          <w:cantSplit/>
        </w:trPr>
        <w:tc>
          <w:tcPr>
            <w:tcW w:w="7767" w:type="dxa"/>
            <w:gridSpan w:val="6"/>
            <w:tcBorders>
              <w:top w:val="single" w:sz="6" w:space="0" w:color="auto"/>
              <w:left w:val="nil"/>
              <w:bottom w:val="nil"/>
              <w:right w:val="nil"/>
            </w:tcBorders>
          </w:tcPr>
          <w:p w:rsidR="00E25CC6" w:rsidRPr="001D3263" w:rsidRDefault="00E25CC6" w:rsidP="009148AF">
            <w:pPr>
              <w:pStyle w:val="OGHeading2"/>
              <w:rPr>
                <w:rFonts w:eastAsiaTheme="minorEastAsia"/>
                <w:lang w:eastAsia="en-AU"/>
              </w:rPr>
            </w:pPr>
            <w:r w:rsidRPr="001D3263">
              <w:rPr>
                <w:rFonts w:eastAsiaTheme="minorEastAsia"/>
                <w:lang w:eastAsia="en-AU"/>
              </w:rPr>
              <w:t>Chief Parliamentary Counsel Services</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9148AF">
            <w:pPr>
              <w:pStyle w:val="OGText"/>
              <w:rPr>
                <w:rFonts w:eastAsiaTheme="minorEastAsia"/>
                <w:lang w:eastAsia="en-AU"/>
              </w:rPr>
            </w:pPr>
            <w:r w:rsidRPr="001D3263">
              <w:rPr>
                <w:rFonts w:eastAsiaTheme="minorEastAsia"/>
                <w:lang w:eastAsia="en-AU"/>
              </w:rPr>
              <w:t xml:space="preserve">Preparation of Bills for introduction in Parliament, including: provision of quality and timely legislative drafting services; hard copy and electronic publication of Acts and Statutory Rules; and the maintenance of a database of Victorian legislation and legislative information on </w:t>
            </w:r>
            <w:r w:rsidRPr="001D7544">
              <w:rPr>
                <w:rFonts w:eastAsiaTheme="minorEastAsia"/>
                <w:u w:val="single"/>
                <w:lang w:eastAsia="en-AU"/>
              </w:rPr>
              <w:t>www.legislation.vic.gov.au</w:t>
            </w:r>
            <w:r w:rsidRPr="001D3263">
              <w:rPr>
                <w:rFonts w:eastAsiaTheme="minorEastAsia"/>
                <w:lang w:eastAsia="en-AU"/>
              </w:rPr>
              <w:t>.</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nil"/>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Formal advice provided on legislation</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450</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02398B">
            <w:pPr>
              <w:pStyle w:val="OGNotes"/>
              <w:rPr>
                <w:rFonts w:eastAsiaTheme="minorEastAsia"/>
              </w:rPr>
            </w:pPr>
            <w:r w:rsidRPr="001D3263">
              <w:rPr>
                <w:rFonts w:eastAsiaTheme="minorEastAsia"/>
              </w:rPr>
              <w:t>This performance measure replaces the 2015</w:t>
            </w:r>
            <w:r>
              <w:rPr>
                <w:rFonts w:eastAsiaTheme="minorEastAsia"/>
              </w:rPr>
              <w:noBreakHyphen/>
            </w:r>
            <w:r w:rsidRPr="001D3263">
              <w:rPr>
                <w:rFonts w:eastAsiaTheme="minorEastAsia"/>
              </w:rPr>
              <w:t xml:space="preserve">16 performance measure </w:t>
            </w:r>
            <w:r>
              <w:rPr>
                <w:rFonts w:eastAsiaTheme="minorEastAsia"/>
              </w:rPr>
              <w:t>‘</w:t>
            </w:r>
            <w:r w:rsidRPr="001D3263">
              <w:rPr>
                <w:rFonts w:eastAsiaTheme="minorEastAsia"/>
              </w:rPr>
              <w:t>Advice given on legislation in response to written requests</w:t>
            </w:r>
            <w:r>
              <w:rPr>
                <w:rFonts w:eastAsiaTheme="minorEastAsia"/>
              </w:rPr>
              <w:t>’</w:t>
            </w:r>
            <w:r w:rsidRPr="001D3263">
              <w:rPr>
                <w:rFonts w:eastAsiaTheme="minorEastAsia"/>
              </w:rPr>
              <w:t>. It has been expressed as a number rather than percentage as a better reflection of the work performed by the Office.</w:t>
            </w:r>
            <w:r w:rsidRPr="006154C3">
              <w:rPr>
                <w:rFonts w:eastAsiaTheme="minorEastAsia"/>
              </w:rPr>
              <w:t xml:space="preserve"> </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Number of Acts and Statutory Rules published electronically and in hard copy without error</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97</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97</w:t>
            </w:r>
          </w:p>
        </w:tc>
      </w:tr>
      <w:tr w:rsidR="00E25CC6" w:rsidRPr="001D3263" w:rsidTr="00FB792C">
        <w:trPr>
          <w:cantSplit/>
        </w:trPr>
        <w:tc>
          <w:tcPr>
            <w:tcW w:w="3144" w:type="dxa"/>
            <w:tcBorders>
              <w:top w:val="nil"/>
              <w:left w:val="nil"/>
              <w:bottom w:val="nil"/>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Statutory Rules made and Bills prepared and introduced into Parliament</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290</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290</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290</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283</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684FF5">
            <w:pPr>
              <w:pStyle w:val="OGNotes"/>
              <w:rPr>
                <w:rFonts w:eastAsiaTheme="minorEastAsia"/>
              </w:rPr>
            </w:pPr>
            <w:r w:rsidRPr="001D3263">
              <w:rPr>
                <w:rFonts w:eastAsiaTheme="minorEastAsia"/>
              </w:rPr>
              <w:t xml:space="preserve">This performance measure was proposed to be discontinued in the </w:t>
            </w:r>
            <w:r w:rsidRPr="004E2699">
              <w:rPr>
                <w:rFonts w:eastAsiaTheme="minorEastAsia"/>
                <w:i w:val="0"/>
              </w:rPr>
              <w:t>2015</w:t>
            </w:r>
            <w:r>
              <w:rPr>
                <w:rFonts w:eastAsiaTheme="minorEastAsia"/>
                <w:i w:val="0"/>
              </w:rPr>
              <w:noBreakHyphen/>
            </w:r>
            <w:r w:rsidRPr="004E2699">
              <w:rPr>
                <w:rFonts w:eastAsiaTheme="minorEastAsia"/>
                <w:i w:val="0"/>
              </w:rPr>
              <w:t>16 Budget</w:t>
            </w:r>
            <w:r w:rsidRPr="001D3263">
              <w:rPr>
                <w:rFonts w:eastAsiaTheme="minorEastAsia"/>
              </w:rPr>
              <w:t xml:space="preserve">, however has been reinstated </w:t>
            </w:r>
            <w:r w:rsidRPr="00C17937">
              <w:rPr>
                <w:rFonts w:eastAsiaTheme="minorEastAsia"/>
              </w:rPr>
              <w:t xml:space="preserve">following the Parliamentary </w:t>
            </w:r>
            <w:r w:rsidRPr="001D3263">
              <w:rPr>
                <w:rFonts w:eastAsiaTheme="minorEastAsia"/>
              </w:rPr>
              <w:t>Accounts and Estimate Committee</w:t>
            </w:r>
            <w:r>
              <w:rPr>
                <w:rFonts w:eastAsiaTheme="minorEastAsia"/>
              </w:rPr>
              <w:t>’</w:t>
            </w:r>
            <w:r w:rsidRPr="001D3263">
              <w:rPr>
                <w:rFonts w:eastAsiaTheme="minorEastAsia"/>
              </w:rPr>
              <w:t xml:space="preserve">s review of </w:t>
            </w:r>
            <w:r w:rsidRPr="001A4AE4">
              <w:rPr>
                <w:rFonts w:eastAsiaTheme="minorEastAsia"/>
              </w:rPr>
              <w:t>the 2015</w:t>
            </w:r>
            <w:r w:rsidRPr="001A4AE4">
              <w:rPr>
                <w:rFonts w:eastAsiaTheme="minorEastAsia"/>
              </w:rPr>
              <w:noBreakHyphen/>
              <w:t>16 budget</w:t>
            </w:r>
            <w:r w:rsidRPr="001D3263">
              <w:rPr>
                <w:rFonts w:eastAsiaTheme="minorEastAsia"/>
              </w:rPr>
              <w:t xml:space="preserve"> estimates. </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Number of Bills and Statutory Rules drafted or settled which meet required standard</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98</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98</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Bills and Statutory Rules drafted or settled within required timeframe</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98</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534C00">
            <w:pPr>
              <w:pStyle w:val="OGTabText"/>
              <w:rPr>
                <w:rFonts w:eastAsiaTheme="minorEastAsia"/>
                <w:lang w:eastAsia="en-AU"/>
              </w:rPr>
            </w:pPr>
            <w:r w:rsidRPr="001D3263">
              <w:rPr>
                <w:rFonts w:eastAsiaTheme="minorEastAsia"/>
                <w:lang w:eastAsia="en-AU"/>
              </w:rPr>
              <w:t xml:space="preserve">Electronically published versions of Principal Acts and Statutory Rules published within </w:t>
            </w:r>
            <w:r>
              <w:rPr>
                <w:rFonts w:eastAsiaTheme="minorEastAsia"/>
                <w:lang w:eastAsia="en-AU"/>
              </w:rPr>
              <w:t>three</w:t>
            </w:r>
            <w:r w:rsidRPr="001D3263">
              <w:rPr>
                <w:rFonts w:eastAsiaTheme="minorEastAsia"/>
                <w:lang w:eastAsia="en-AU"/>
              </w:rPr>
              <w:t xml:space="preserve"> business days of coming into operation and new Acts and Statutory Rules published within 24 hours of making</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Total output cost</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6.6</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6.5</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5.8</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6.4</w:t>
            </w:r>
          </w:p>
        </w:tc>
      </w:tr>
      <w:tr w:rsidR="00E25CC6" w:rsidRPr="001D3263" w:rsidTr="00654395">
        <w:trPr>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Management of Victoria</w:t>
            </w:r>
            <w:r>
              <w:rPr>
                <w:rFonts w:eastAsiaTheme="minorEastAsia"/>
                <w:lang w:eastAsia="en-AU"/>
              </w:rPr>
              <w:t>’</w:t>
            </w:r>
            <w:r w:rsidRPr="001D3263">
              <w:rPr>
                <w:rFonts w:eastAsiaTheme="minorEastAsia"/>
                <w:lang w:eastAsia="en-AU"/>
              </w:rPr>
              <w:t>s Public Records</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7177D1" w:rsidRDefault="00E25CC6" w:rsidP="00654395">
            <w:pPr>
              <w:pStyle w:val="OGText"/>
              <w:rPr>
                <w:rFonts w:eastAsiaTheme="minorEastAsia" w:cs="Calibri"/>
                <w:color w:val="000000"/>
                <w:sz w:val="19"/>
                <w:szCs w:val="22"/>
                <w:lang w:eastAsia="en-AU"/>
              </w:rPr>
            </w:pPr>
            <w:r w:rsidRPr="001D3263">
              <w:rPr>
                <w:rFonts w:eastAsiaTheme="minorEastAsia"/>
                <w:lang w:eastAsia="en-AU"/>
              </w:rPr>
              <w:t xml:space="preserve">Provide direction to Government on the management of public records and ensure that the historical memory of the Victorian Government endures, is secure and accessible. </w:t>
            </w:r>
            <w:r>
              <w:rPr>
                <w:rFonts w:eastAsiaTheme="minorEastAsia"/>
                <w:lang w:eastAsia="en-AU"/>
              </w:rPr>
              <w:fldChar w:fldCharType="begin"/>
            </w:r>
            <w:r>
              <w:instrText xml:space="preserve"> XE "</w:instrText>
            </w:r>
            <w:r w:rsidRPr="004A38E6">
              <w:instrText>Public Records Office</w:instrText>
            </w:r>
            <w:r>
              <w:instrText xml:space="preserve">" </w:instrText>
            </w:r>
            <w:r>
              <w:rPr>
                <w:rFonts w:eastAsiaTheme="minorEastAsia"/>
                <w:lang w:eastAsia="en-AU"/>
              </w:rPr>
              <w:fldChar w:fldCharType="end"/>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Collection Usage: Utilisation of physical and digital records held by Public Record Office Victoria</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2 500 000</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525 000</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250 000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654395">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higher than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an increase in the number of digital records available for viewing by the public on the Public Record Office Victoria (PROV) website, an increase in records shared by users on social media and new indexes to make searching for digital images easier. </w:t>
            </w:r>
          </w:p>
          <w:p w:rsidR="00E25CC6" w:rsidRPr="001D3263" w:rsidRDefault="00E25CC6" w:rsidP="00654395">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the inclusion of PROV digital records viewed on external genealogy sites following new agreements with several organisations expected to be signed in 2015</w:t>
            </w:r>
            <w:r>
              <w:rPr>
                <w:rFonts w:eastAsiaTheme="minorEastAsia"/>
              </w:rPr>
              <w:noBreakHyphen/>
            </w:r>
            <w:r w:rsidRPr="001D3263">
              <w:rPr>
                <w:rFonts w:eastAsiaTheme="minorEastAsia"/>
              </w:rPr>
              <w:t>16.</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i/>
                <w:iCs/>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Satisfaction with services provided by Public Records Office Victoria to government agencies and to the public</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Provision of services within published timeframes</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3144" w:type="dxa"/>
            <w:tcBorders>
              <w:top w:val="nil"/>
              <w:left w:val="nil"/>
              <w:bottom w:val="nil"/>
              <w:right w:val="nil"/>
            </w:tcBorders>
          </w:tcPr>
          <w:p w:rsidR="00E25CC6" w:rsidRPr="007177D1" w:rsidRDefault="00E25CC6" w:rsidP="00F801FF">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F801FF">
            <w:pPr>
              <w:keepNext/>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801FF">
        <w:trPr>
          <w:cantSplit/>
        </w:trPr>
        <w:tc>
          <w:tcPr>
            <w:tcW w:w="3144" w:type="dxa"/>
            <w:tcBorders>
              <w:top w:val="nil"/>
              <w:left w:val="nil"/>
              <w:right w:val="nil"/>
            </w:tcBorders>
          </w:tcPr>
          <w:p w:rsidR="00E25CC6" w:rsidRPr="001D3263" w:rsidRDefault="00E25CC6" w:rsidP="00F801FF">
            <w:pPr>
              <w:pStyle w:val="OGTabText"/>
              <w:keepNext/>
              <w:rPr>
                <w:rFonts w:eastAsiaTheme="minorEastAsia"/>
                <w:lang w:eastAsia="en-AU"/>
              </w:rPr>
            </w:pPr>
            <w:r w:rsidRPr="001D3263">
              <w:rPr>
                <w:rFonts w:eastAsiaTheme="minorEastAsia"/>
                <w:lang w:eastAsia="en-AU"/>
              </w:rPr>
              <w:t>Total output cost</w:t>
            </w:r>
          </w:p>
        </w:tc>
        <w:tc>
          <w:tcPr>
            <w:tcW w:w="907" w:type="dxa"/>
            <w:tcBorders>
              <w:top w:val="nil"/>
              <w:left w:val="nil"/>
              <w:right w:val="nil"/>
            </w:tcBorders>
          </w:tcPr>
          <w:p w:rsidR="00E25CC6" w:rsidRPr="007177D1" w:rsidRDefault="00E25CC6" w:rsidP="00F801FF">
            <w:pPr>
              <w:keepNext/>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19.9</w:t>
            </w:r>
          </w:p>
        </w:tc>
        <w:tc>
          <w:tcPr>
            <w:tcW w:w="992" w:type="dxa"/>
            <w:tcBorders>
              <w:top w:val="nil"/>
              <w:left w:val="nil"/>
              <w:right w:val="nil"/>
            </w:tcBorders>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16.9</w:t>
            </w:r>
          </w:p>
        </w:tc>
        <w:tc>
          <w:tcPr>
            <w:tcW w:w="907" w:type="dxa"/>
            <w:tcBorders>
              <w:top w:val="nil"/>
              <w:left w:val="nil"/>
              <w:right w:val="nil"/>
            </w:tcBorders>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17.4</w:t>
            </w:r>
          </w:p>
        </w:tc>
        <w:tc>
          <w:tcPr>
            <w:tcW w:w="910" w:type="dxa"/>
            <w:tcBorders>
              <w:top w:val="nil"/>
              <w:left w:val="nil"/>
              <w:right w:val="nil"/>
            </w:tcBorders>
          </w:tcPr>
          <w:p w:rsidR="00E25CC6" w:rsidRPr="007177D1" w:rsidRDefault="00E25CC6" w:rsidP="00F801FF">
            <w:pPr>
              <w:keepNext/>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17.7</w:t>
            </w:r>
          </w:p>
        </w:tc>
      </w:tr>
      <w:tr w:rsidR="00E25CC6" w:rsidRPr="001D3263" w:rsidTr="00F801FF">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an increase in funding allocated through the </w:t>
            </w:r>
            <w:r w:rsidRPr="00534C00">
              <w:rPr>
                <w:rFonts w:eastAsiaTheme="minorEastAsia"/>
                <w:i w:val="0"/>
              </w:rPr>
              <w:t>2016</w:t>
            </w:r>
            <w:r w:rsidRPr="00534C00">
              <w:rPr>
                <w:rFonts w:eastAsiaTheme="minorEastAsia"/>
                <w:i w:val="0"/>
              </w:rPr>
              <w:noBreakHyphen/>
              <w:t>17 Budget</w:t>
            </w:r>
            <w:r>
              <w:rPr>
                <w:rFonts w:eastAsiaTheme="minorEastAsia"/>
              </w:rPr>
              <w:t xml:space="preserve"> for various PROV initiatives.</w:t>
            </w:r>
          </w:p>
        </w:tc>
      </w:tr>
      <w:tr w:rsidR="00E25CC6" w:rsidRPr="001D3263" w:rsidTr="00F801FF">
        <w:trPr>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Public Administration Advice and Support</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Text"/>
              <w:rPr>
                <w:rFonts w:eastAsiaTheme="minorEastAsia"/>
                <w:lang w:eastAsia="en-AU"/>
              </w:rPr>
            </w:pPr>
            <w:r w:rsidRPr="001D3263">
              <w:rPr>
                <w:rFonts w:eastAsiaTheme="minorEastAsia"/>
                <w:lang w:eastAsia="en-AU"/>
              </w:rPr>
              <w:t>Through the Victorian Public Sector Commission, provide advice and support on issues relevant to public administration, governance, service delivery and workforce matters; undertake related research, data collection, reporting and dissemination of information. Advocate for an apolitical and professional public sector; monitor compliance with the public sector values, employment principles, codes and standards; conduct related reviews and make recommendations to public sector body heads.</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Advice and support provided to the public sector on relevant issues</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80</w:t>
            </w:r>
          </w:p>
        </w:tc>
      </w:tr>
      <w:tr w:rsidR="00E25CC6" w:rsidRPr="001D3263" w:rsidTr="00654395">
        <w:trPr>
          <w:cantSplit/>
        </w:trPr>
        <w:tc>
          <w:tcPr>
            <w:tcW w:w="3144" w:type="dxa"/>
            <w:tcBorders>
              <w:top w:val="single" w:sz="6" w:space="0" w:color="auto"/>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Referred reviews underway or completed aimed at improving service delivery, governance and/or public administration efficiency and effectiveness</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92"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10" w:type="dxa"/>
            <w:tcBorders>
              <w:top w:val="single" w:sz="6" w:space="0" w:color="auto"/>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Recommendations arising from reviews of actions (Section 64) implemented by the public service</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keepNext/>
              <w:autoSpaceDE w:val="0"/>
              <w:autoSpaceDN w:val="0"/>
              <w:adjustRightInd w:val="0"/>
              <w:spacing w:after="0"/>
              <w:ind w:left="230" w:hanging="230"/>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C17937" w:rsidRDefault="00E25CC6" w:rsidP="00654395">
            <w:pPr>
              <w:pStyle w:val="OGTabText"/>
              <w:rPr>
                <w:rFonts w:eastAsiaTheme="minorEastAsia"/>
                <w:lang w:eastAsia="en-AU"/>
              </w:rPr>
            </w:pPr>
            <w:r w:rsidRPr="00C17937">
              <w:rPr>
                <w:rFonts w:eastAsiaTheme="minorEastAsia"/>
                <w:lang w:eastAsia="en-AU"/>
              </w:rPr>
              <w:t>Proportion of data collection and reporting activities completed within target timeframes</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per cent</w:t>
            </w:r>
          </w:p>
        </w:tc>
        <w:tc>
          <w:tcPr>
            <w:tcW w:w="907"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90</w:t>
            </w:r>
          </w:p>
        </w:tc>
        <w:tc>
          <w:tcPr>
            <w:tcW w:w="910"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100</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654395">
            <w:pPr>
              <w:pStyle w:val="OGNotes"/>
              <w:rPr>
                <w:rFonts w:eastAsiaTheme="minorEastAsia"/>
              </w:rPr>
            </w:pPr>
            <w:r w:rsidRPr="00C17937">
              <w:rPr>
                <w:rFonts w:eastAsiaTheme="minorEastAsia"/>
              </w:rPr>
              <w:t>The 2015</w:t>
            </w:r>
            <w:r w:rsidRPr="00C17937">
              <w:rPr>
                <w:rFonts w:eastAsiaTheme="minorEastAsia"/>
              </w:rPr>
              <w:noBreakHyphen/>
              <w:t>16 expected outcome is higher than 2015</w:t>
            </w:r>
            <w:r w:rsidRPr="00C17937">
              <w:rPr>
                <w:rFonts w:eastAsiaTheme="minorEastAsia"/>
              </w:rPr>
              <w:noBreakHyphen/>
              <w:t xml:space="preserve">16 target due to data collection processes becoming more streamlined allowing all data reporting to be completed within timelines. </w:t>
            </w:r>
          </w:p>
          <w:p w:rsidR="00E25CC6" w:rsidRPr="00C17937" w:rsidRDefault="00E25CC6" w:rsidP="00654395">
            <w:pPr>
              <w:pStyle w:val="OGNotes"/>
              <w:rPr>
                <w:rFonts w:eastAsiaTheme="minorEastAsia"/>
              </w:rPr>
            </w:pPr>
            <w:r w:rsidRPr="00C17937">
              <w:rPr>
                <w:rFonts w:eastAsiaTheme="minorEastAsia"/>
              </w:rPr>
              <w:t>The higher 2016</w:t>
            </w:r>
            <w:r w:rsidRPr="00C17937">
              <w:rPr>
                <w:rFonts w:eastAsiaTheme="minorEastAsia"/>
              </w:rPr>
              <w:noBreakHyphen/>
              <w:t>17 target reflects a more streamlined process and previously exceeding the target.</w:t>
            </w:r>
          </w:p>
        </w:tc>
      </w:tr>
      <w:tr w:rsidR="00E25CC6" w:rsidRPr="001D3263" w:rsidTr="00654395">
        <w:trPr>
          <w:cantSplit/>
        </w:trPr>
        <w:tc>
          <w:tcPr>
            <w:tcW w:w="3144" w:type="dxa"/>
            <w:tcBorders>
              <w:top w:val="nil"/>
              <w:left w:val="nil"/>
              <w:bottom w:val="nil"/>
              <w:right w:val="nil"/>
            </w:tcBorders>
          </w:tcPr>
          <w:p w:rsidR="00E25CC6" w:rsidRPr="00C17937" w:rsidRDefault="00E25CC6" w:rsidP="00654395">
            <w:pPr>
              <w:autoSpaceDE w:val="0"/>
              <w:autoSpaceDN w:val="0"/>
              <w:adjustRightInd w:val="0"/>
              <w:spacing w:after="0"/>
              <w:ind w:left="227" w:hanging="227"/>
              <w:rPr>
                <w:rFonts w:ascii="Calibri" w:eastAsiaTheme="minorEastAsia" w:hAnsi="Calibri" w:cs="Calibri"/>
                <w:i/>
                <w:iCs/>
                <w:sz w:val="19"/>
                <w:szCs w:val="22"/>
                <w:lang w:eastAsia="en-AU"/>
              </w:rPr>
            </w:pPr>
            <w:r w:rsidRPr="00C17937">
              <w:rPr>
                <w:rFonts w:ascii="Calibri" w:eastAsiaTheme="minorEastAsia" w:hAnsi="Calibri" w:cs="Calibri"/>
                <w:i/>
                <w:iCs/>
                <w:sz w:val="19"/>
                <w:szCs w:val="22"/>
                <w:lang w:eastAsia="en-AU"/>
              </w:rPr>
              <w:t>Cost</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right w:val="nil"/>
            </w:tcBorders>
            <w:shd w:val="clear" w:color="auto" w:fill="DCDCDC"/>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c>
          <w:tcPr>
            <w:tcW w:w="910" w:type="dxa"/>
            <w:tcBorders>
              <w:top w:val="nil"/>
              <w:left w:val="nil"/>
              <w:bottom w:val="nil"/>
              <w:right w:val="nil"/>
            </w:tcBorders>
          </w:tcPr>
          <w:p w:rsidR="00E25CC6" w:rsidRPr="00C17937" w:rsidRDefault="00E25CC6" w:rsidP="00654395">
            <w:pPr>
              <w:autoSpaceDE w:val="0"/>
              <w:autoSpaceDN w:val="0"/>
              <w:adjustRightInd w:val="0"/>
              <w:spacing w:after="0"/>
              <w:rPr>
                <w:rFonts w:ascii="Calibri" w:eastAsiaTheme="minorEastAsia" w:hAnsi="Calibri" w:cs="Calibri"/>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C17937" w:rsidRDefault="00E25CC6" w:rsidP="00654395">
            <w:pPr>
              <w:pStyle w:val="OGTabText"/>
              <w:rPr>
                <w:rFonts w:eastAsiaTheme="minorEastAsia"/>
                <w:lang w:eastAsia="en-AU"/>
              </w:rPr>
            </w:pPr>
            <w:r w:rsidRPr="00C17937">
              <w:rPr>
                <w:rFonts w:eastAsiaTheme="minorEastAsia"/>
                <w:lang w:eastAsia="en-AU"/>
              </w:rPr>
              <w:t>Total output cost</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9.8</w:t>
            </w:r>
          </w:p>
        </w:tc>
        <w:tc>
          <w:tcPr>
            <w:tcW w:w="992"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7.2</w:t>
            </w:r>
          </w:p>
        </w:tc>
        <w:tc>
          <w:tcPr>
            <w:tcW w:w="907"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8.1</w:t>
            </w:r>
          </w:p>
        </w:tc>
        <w:tc>
          <w:tcPr>
            <w:tcW w:w="910" w:type="dxa"/>
            <w:tcBorders>
              <w:top w:val="nil"/>
              <w:left w:val="nil"/>
              <w:bottom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6.7</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654395">
            <w:pPr>
              <w:pStyle w:val="OGNotes"/>
              <w:rPr>
                <w:rFonts w:eastAsiaTheme="minorEastAsia"/>
              </w:rPr>
            </w:pPr>
            <w:r w:rsidRPr="00C17937">
              <w:rPr>
                <w:rFonts w:eastAsiaTheme="minorEastAsia"/>
              </w:rPr>
              <w:t>The 2015</w:t>
            </w:r>
            <w:r w:rsidRPr="00C17937">
              <w:rPr>
                <w:rFonts w:eastAsiaTheme="minorEastAsia"/>
              </w:rPr>
              <w:noBreakHyphen/>
              <w:t>16 expected outcome is lower than the 2015</w:t>
            </w:r>
            <w:r w:rsidRPr="00C17937">
              <w:rPr>
                <w:rFonts w:eastAsiaTheme="minorEastAsia"/>
              </w:rPr>
              <w:noBreakHyphen/>
              <w:t>16 target due to the deferral of some activities from 2015</w:t>
            </w:r>
            <w:r w:rsidRPr="00C17937">
              <w:rPr>
                <w:rFonts w:eastAsiaTheme="minorEastAsia"/>
              </w:rPr>
              <w:noBreakHyphen/>
              <w:t>16 to 2016</w:t>
            </w:r>
            <w:r w:rsidRPr="00C17937">
              <w:rPr>
                <w:rFonts w:eastAsiaTheme="minorEastAsia"/>
              </w:rPr>
              <w:noBreakHyphen/>
              <w:t xml:space="preserve">17. </w:t>
            </w:r>
          </w:p>
          <w:p w:rsidR="00E25CC6" w:rsidRPr="00C17937" w:rsidRDefault="00E25CC6" w:rsidP="00654395">
            <w:pPr>
              <w:pStyle w:val="OGNotes"/>
              <w:rPr>
                <w:rFonts w:eastAsiaTheme="minorEastAsia"/>
              </w:rPr>
            </w:pPr>
            <w:r w:rsidRPr="00C17937">
              <w:rPr>
                <w:rFonts w:eastAsiaTheme="minorEastAsia"/>
              </w:rPr>
              <w:t>The higher 2016</w:t>
            </w:r>
            <w:r w:rsidRPr="00C17937">
              <w:rPr>
                <w:rFonts w:eastAsiaTheme="minorEastAsia"/>
              </w:rPr>
              <w:noBreakHyphen/>
              <w:t xml:space="preserve">17 target is due to increased funding allocated through the </w:t>
            </w:r>
            <w:r w:rsidRPr="00C17937">
              <w:rPr>
                <w:rFonts w:eastAsiaTheme="minorEastAsia"/>
                <w:i w:val="0"/>
              </w:rPr>
              <w:t>2016</w:t>
            </w:r>
            <w:r w:rsidRPr="00C17937">
              <w:rPr>
                <w:rFonts w:eastAsiaTheme="minorEastAsia"/>
                <w:i w:val="0"/>
              </w:rPr>
              <w:noBreakHyphen/>
              <w:t>17 Budget</w:t>
            </w:r>
            <w:r w:rsidRPr="00C17937">
              <w:rPr>
                <w:rFonts w:eastAsiaTheme="minorEastAsia"/>
              </w:rPr>
              <w:t xml:space="preserve"> and the deferral of some activities from 2015</w:t>
            </w:r>
            <w:r w:rsidRPr="00C17937">
              <w:rPr>
                <w:rFonts w:eastAsiaTheme="minorEastAsia"/>
              </w:rPr>
              <w:noBreakHyphen/>
              <w:t>16 to 2016</w:t>
            </w:r>
            <w:r w:rsidRPr="00C17937">
              <w:rPr>
                <w:rFonts w:eastAsiaTheme="minorEastAsia"/>
              </w:rPr>
              <w:noBreakHyphen/>
              <w:t>17.</w:t>
            </w:r>
          </w:p>
        </w:tc>
      </w:tr>
      <w:tr w:rsidR="00E25CC6" w:rsidRPr="001D3263" w:rsidTr="00FB792C">
        <w:trPr>
          <w:cantSplit/>
        </w:trPr>
        <w:tc>
          <w:tcPr>
            <w:tcW w:w="7767" w:type="dxa"/>
            <w:gridSpan w:val="6"/>
            <w:tcBorders>
              <w:top w:val="single" w:sz="6" w:space="0" w:color="auto"/>
              <w:left w:val="nil"/>
              <w:bottom w:val="nil"/>
              <w:right w:val="nil"/>
            </w:tcBorders>
          </w:tcPr>
          <w:p w:rsidR="00E25CC6" w:rsidRPr="001D3263" w:rsidRDefault="00E25CC6" w:rsidP="009148AF">
            <w:pPr>
              <w:pStyle w:val="OGHeading2"/>
              <w:rPr>
                <w:rFonts w:eastAsiaTheme="minorEastAsia"/>
                <w:lang w:eastAsia="en-AU"/>
              </w:rPr>
            </w:pPr>
            <w:r w:rsidRPr="001D3263">
              <w:rPr>
                <w:rFonts w:eastAsiaTheme="minorEastAsia"/>
                <w:lang w:eastAsia="en-AU"/>
              </w:rPr>
              <w:t>Public Sector Integrity</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9148AF">
            <w:pPr>
              <w:pStyle w:val="OGText"/>
              <w:rPr>
                <w:rFonts w:eastAsiaTheme="minorEastAsia"/>
                <w:lang w:eastAsia="en-AU"/>
              </w:rPr>
            </w:pPr>
            <w:r w:rsidRPr="001D3263">
              <w:rPr>
                <w:rFonts w:eastAsiaTheme="minorEastAsia"/>
                <w:lang w:eastAsia="en-AU"/>
              </w:rPr>
              <w:t>Undertake independent investigations of complaints concerning administrative actions, alleged breaches of privacy and allegations of serious misconduct. Oversee the Victorian Protective Data Security regime. Enhance the Victorian Government</w:t>
            </w:r>
            <w:r>
              <w:rPr>
                <w:rFonts w:eastAsiaTheme="minorEastAsia"/>
                <w:lang w:eastAsia="en-AU"/>
              </w:rPr>
              <w:t>’</w:t>
            </w:r>
            <w:r w:rsidRPr="001D3263">
              <w:rPr>
                <w:rFonts w:eastAsiaTheme="minorEastAsia"/>
                <w:lang w:eastAsia="en-AU"/>
              </w:rPr>
              <w:t xml:space="preserve">s transparency and openness and provide advice, education and guidance to public agencies. </w:t>
            </w:r>
          </w:p>
        </w:tc>
      </w:tr>
      <w:tr w:rsidR="00E25CC6" w:rsidRPr="001D3263" w:rsidTr="00FB792C">
        <w:trPr>
          <w:cantSplit/>
        </w:trPr>
        <w:tc>
          <w:tcPr>
            <w:tcW w:w="3144" w:type="dxa"/>
            <w:tcBorders>
              <w:top w:val="nil"/>
              <w:left w:val="nil"/>
              <w:bottom w:val="nil"/>
              <w:right w:val="nil"/>
            </w:tcBorders>
          </w:tcPr>
          <w:p w:rsidR="00E25CC6" w:rsidRPr="007177D1" w:rsidRDefault="00E25CC6" w:rsidP="00F801FF">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nil"/>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Corruption prevention initiatives delivered by IBAC</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61</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60</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76</w:t>
            </w:r>
          </w:p>
        </w:tc>
      </w:tr>
      <w:tr w:rsidR="00E25CC6" w:rsidRPr="001D3263" w:rsidTr="00FB792C">
        <w:trPr>
          <w:cantSplit/>
        </w:trPr>
        <w:tc>
          <w:tcPr>
            <w:tcW w:w="7767" w:type="dxa"/>
            <w:gridSpan w:val="6"/>
            <w:tcBorders>
              <w:top w:val="nil"/>
              <w:left w:val="nil"/>
              <w:bottom w:val="single" w:sz="6" w:space="0" w:color="auto"/>
              <w:right w:val="nil"/>
            </w:tcBorders>
          </w:tcPr>
          <w:p w:rsidR="00E25CC6" w:rsidRDefault="00E25CC6" w:rsidP="0002398B">
            <w:pPr>
              <w:pStyle w:val="OGNotes"/>
              <w:rPr>
                <w:rFonts w:eastAsiaTheme="minorEastAsia"/>
              </w:rPr>
            </w:pPr>
            <w:r w:rsidRPr="00C17937">
              <w:rPr>
                <w:rFonts w:eastAsiaTheme="minorEastAsia"/>
              </w:rPr>
              <w:t xml:space="preserve">This performance measure was proposed to be discontinued in the </w:t>
            </w:r>
            <w:r w:rsidRPr="00C17937">
              <w:rPr>
                <w:rFonts w:eastAsiaTheme="minorEastAsia"/>
                <w:i w:val="0"/>
              </w:rPr>
              <w:t>2015</w:t>
            </w:r>
            <w:r w:rsidRPr="00C17937">
              <w:rPr>
                <w:rFonts w:eastAsiaTheme="minorEastAsia"/>
                <w:i w:val="0"/>
              </w:rPr>
              <w:noBreakHyphen/>
              <w:t>16 Budget</w:t>
            </w:r>
            <w:r w:rsidRPr="00C17937">
              <w:rPr>
                <w:rFonts w:eastAsiaTheme="minorEastAsia"/>
              </w:rPr>
              <w:t>, however has been reinstated following the Parliamentary Accounts and Estimate Committee</w:t>
            </w:r>
            <w:r>
              <w:rPr>
                <w:rFonts w:eastAsiaTheme="minorEastAsia"/>
              </w:rPr>
              <w:t>’</w:t>
            </w:r>
            <w:r w:rsidRPr="00C17937">
              <w:rPr>
                <w:rFonts w:eastAsiaTheme="minorEastAsia"/>
              </w:rPr>
              <w:t>s review of the 2015</w:t>
            </w:r>
            <w:r w:rsidRPr="00C17937">
              <w:rPr>
                <w:rFonts w:eastAsiaTheme="minorEastAsia"/>
              </w:rPr>
              <w:noBreakHyphen/>
              <w:t xml:space="preserve">16 budget estimates. </w:t>
            </w:r>
          </w:p>
          <w:p w:rsidR="00E25CC6" w:rsidRPr="00C17937" w:rsidRDefault="00E25CC6" w:rsidP="0002398B">
            <w:pPr>
              <w:pStyle w:val="OGNotes"/>
              <w:rPr>
                <w:rFonts w:eastAsiaTheme="minorEastAsia"/>
              </w:rPr>
            </w:pPr>
            <w:r w:rsidRPr="00C17937">
              <w:rPr>
                <w:rFonts w:eastAsiaTheme="minorEastAsia"/>
              </w:rPr>
              <w:t>The higher 2016</w:t>
            </w:r>
            <w:r w:rsidRPr="00C17937">
              <w:rPr>
                <w:rFonts w:eastAsiaTheme="minorEastAsia"/>
              </w:rPr>
              <w:noBreakHyphen/>
              <w:t>17 target reflects an increase in the number of corruption prevention initiatives conducted through implementation of IBAC</w:t>
            </w:r>
            <w:r>
              <w:rPr>
                <w:rFonts w:eastAsiaTheme="minorEastAsia"/>
              </w:rPr>
              <w:t>’</w:t>
            </w:r>
            <w:r w:rsidRPr="00C17937">
              <w:rPr>
                <w:rFonts w:eastAsiaTheme="minorEastAsia"/>
              </w:rPr>
              <w:t>s corruption prevention strategy and supporting the implementation and increased awareness of proposed legislative changes.</w:t>
            </w:r>
          </w:p>
        </w:tc>
      </w:tr>
      <w:tr w:rsidR="00E25CC6" w:rsidRPr="001D3263" w:rsidTr="00FB792C">
        <w:trPr>
          <w:cantSplit/>
        </w:trPr>
        <w:tc>
          <w:tcPr>
            <w:tcW w:w="3144" w:type="dxa"/>
            <w:tcBorders>
              <w:top w:val="nil"/>
              <w:left w:val="nil"/>
              <w:bottom w:val="nil"/>
              <w:right w:val="nil"/>
            </w:tcBorders>
          </w:tcPr>
          <w:p w:rsidR="00E25CC6" w:rsidRPr="00C17937" w:rsidRDefault="00E25CC6" w:rsidP="00EC69C2">
            <w:pPr>
              <w:pStyle w:val="OGTabText"/>
              <w:keepNext/>
              <w:rPr>
                <w:rFonts w:eastAsiaTheme="minorEastAsia"/>
                <w:lang w:eastAsia="en-AU"/>
              </w:rPr>
            </w:pPr>
            <w:r w:rsidRPr="00C17937">
              <w:rPr>
                <w:rFonts w:eastAsiaTheme="minorEastAsia"/>
                <w:lang w:eastAsia="en-AU"/>
              </w:rPr>
              <w:t>Education and training activities delivered by FOI Commissioner</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20</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16</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C17937" w:rsidRDefault="00E25CC6" w:rsidP="009148AF">
            <w:pPr>
              <w:pStyle w:val="OGNotes"/>
              <w:rPr>
                <w:rFonts w:eastAsiaTheme="minorEastAsia"/>
              </w:rPr>
            </w:pPr>
            <w:r w:rsidRPr="00C17937">
              <w:rPr>
                <w:rFonts w:eastAsiaTheme="minorEastAsia"/>
              </w:rPr>
              <w:t xml:space="preserve">This performance measure was proposed to be discontinued in the </w:t>
            </w:r>
            <w:r w:rsidRPr="00C17937">
              <w:rPr>
                <w:rFonts w:eastAsiaTheme="minorEastAsia"/>
                <w:i w:val="0"/>
              </w:rPr>
              <w:t>2015</w:t>
            </w:r>
            <w:r w:rsidRPr="00C17937">
              <w:rPr>
                <w:rFonts w:eastAsiaTheme="minorEastAsia"/>
                <w:i w:val="0"/>
              </w:rPr>
              <w:noBreakHyphen/>
              <w:t>16 Budget</w:t>
            </w:r>
            <w:r w:rsidRPr="00C17937">
              <w:rPr>
                <w:rFonts w:eastAsiaTheme="minorEastAsia"/>
              </w:rPr>
              <w:t>, however has been reinstated following the Parliamentary Accounts and Estimates Committee</w:t>
            </w:r>
            <w:r>
              <w:rPr>
                <w:rFonts w:eastAsiaTheme="minorEastAsia"/>
              </w:rPr>
              <w:t>’</w:t>
            </w:r>
            <w:r w:rsidRPr="00C17937">
              <w:rPr>
                <w:rFonts w:eastAsiaTheme="minorEastAsia"/>
              </w:rPr>
              <w:t>s review of the 2015</w:t>
            </w:r>
            <w:r w:rsidRPr="00C17937">
              <w:rPr>
                <w:rFonts w:eastAsiaTheme="minorEastAsia"/>
              </w:rPr>
              <w:noBreakHyphen/>
              <w:t xml:space="preserve">16 budget estimates. </w:t>
            </w:r>
          </w:p>
        </w:tc>
      </w:tr>
      <w:tr w:rsidR="00E25CC6" w:rsidRPr="001D3263" w:rsidTr="00FB792C">
        <w:trPr>
          <w:cantSplit/>
        </w:trPr>
        <w:tc>
          <w:tcPr>
            <w:tcW w:w="3144" w:type="dxa"/>
            <w:tcBorders>
              <w:top w:val="nil"/>
              <w:left w:val="nil"/>
              <w:bottom w:val="nil"/>
              <w:right w:val="nil"/>
            </w:tcBorders>
          </w:tcPr>
          <w:p w:rsidR="00E25CC6" w:rsidRPr="00C17937" w:rsidRDefault="00E25CC6" w:rsidP="001D7544">
            <w:pPr>
              <w:pStyle w:val="OGTabText"/>
              <w:rPr>
                <w:rFonts w:eastAsiaTheme="minorEastAsia"/>
                <w:lang w:eastAsia="en-AU"/>
              </w:rPr>
            </w:pPr>
            <w:r w:rsidRPr="00C17937">
              <w:rPr>
                <w:rFonts w:eastAsiaTheme="minorEastAsia"/>
                <w:lang w:eastAsia="en-AU"/>
              </w:rPr>
              <w:t>Jurisdictional complaints finalised</w:t>
            </w:r>
            <w:r>
              <w:rPr>
                <w:rFonts w:eastAsiaTheme="minorEastAsia"/>
                <w:lang w:eastAsia="en-AU"/>
              </w:rPr>
              <w:t> </w:t>
            </w:r>
            <w:r w:rsidRPr="00C17937">
              <w:rPr>
                <w:rFonts w:eastAsiaTheme="minorEastAsia"/>
                <w:lang w:eastAsia="en-AU"/>
              </w:rPr>
              <w:t>(VO)</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14 000</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14 000</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14 000</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1D3263">
              <w:rPr>
                <w:rFonts w:ascii="Calibri" w:eastAsiaTheme="minorEastAsia" w:hAnsi="Calibri" w:cs="Calibri"/>
                <w:color w:val="000000"/>
                <w:sz w:val="19"/>
                <w:szCs w:val="22"/>
                <w:lang w:eastAsia="en-AU"/>
              </w:rPr>
              <w:t>13 864</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C17937" w:rsidRDefault="00E25CC6" w:rsidP="009148AF">
            <w:pPr>
              <w:pStyle w:val="OGNotes"/>
              <w:rPr>
                <w:rFonts w:eastAsiaTheme="minorEastAsia"/>
              </w:rPr>
            </w:pPr>
            <w:r w:rsidRPr="00C17937">
              <w:rPr>
                <w:rFonts w:eastAsiaTheme="minorEastAsia"/>
              </w:rPr>
              <w:t xml:space="preserve">This performance measure was proposed to be discontinued in the </w:t>
            </w:r>
            <w:r w:rsidRPr="00C17937">
              <w:rPr>
                <w:rFonts w:eastAsiaTheme="minorEastAsia"/>
                <w:i w:val="0"/>
              </w:rPr>
              <w:t>2015</w:t>
            </w:r>
            <w:r w:rsidRPr="00C17937">
              <w:rPr>
                <w:rFonts w:eastAsiaTheme="minorEastAsia"/>
                <w:i w:val="0"/>
              </w:rPr>
              <w:noBreakHyphen/>
              <w:t>16 Budget</w:t>
            </w:r>
            <w:r w:rsidRPr="00C17937">
              <w:rPr>
                <w:rFonts w:eastAsiaTheme="minorEastAsia"/>
              </w:rPr>
              <w:t>, however has been reinstated following the Parliamentary Accounts and Estimate Committee</w:t>
            </w:r>
            <w:r>
              <w:rPr>
                <w:rFonts w:eastAsiaTheme="minorEastAsia"/>
              </w:rPr>
              <w:t>’</w:t>
            </w:r>
            <w:r w:rsidRPr="00C17937">
              <w:rPr>
                <w:rFonts w:eastAsiaTheme="minorEastAsia"/>
              </w:rPr>
              <w:t>s review of the 2015</w:t>
            </w:r>
            <w:r w:rsidRPr="00C17937">
              <w:rPr>
                <w:rFonts w:eastAsiaTheme="minorEastAsia"/>
              </w:rPr>
              <w:noBreakHyphen/>
              <w:t xml:space="preserve">16 budget estimates. </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C17937" w:rsidRDefault="00E25CC6" w:rsidP="009148AF">
            <w:pPr>
              <w:pStyle w:val="OGTabText"/>
              <w:rPr>
                <w:rFonts w:eastAsiaTheme="minorEastAsia"/>
                <w:lang w:eastAsia="en-AU"/>
              </w:rPr>
            </w:pPr>
            <w:r w:rsidRPr="00C17937">
              <w:rPr>
                <w:rFonts w:eastAsiaTheme="minorEastAsia"/>
                <w:lang w:eastAsia="en-AU"/>
              </w:rPr>
              <w:t>Law enforcement, data security and privacy reviews completed</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C17937" w:rsidRDefault="00E25CC6" w:rsidP="006154C3">
            <w:pPr>
              <w:pStyle w:val="OGTabText"/>
              <w:rPr>
                <w:rFonts w:eastAsiaTheme="minorEastAsia"/>
                <w:lang w:eastAsia="en-AU"/>
              </w:rPr>
            </w:pPr>
            <w:r w:rsidRPr="00C17937">
              <w:rPr>
                <w:rFonts w:eastAsiaTheme="minorEastAsia"/>
                <w:lang w:eastAsia="en-AU"/>
              </w:rPr>
              <w:t>Proportion of Independent Broad</w:t>
            </w:r>
            <w:r w:rsidRPr="00C17937">
              <w:rPr>
                <w:rFonts w:eastAsiaTheme="minorEastAsia"/>
                <w:lang w:eastAsia="en-AU"/>
              </w:rPr>
              <w:noBreakHyphen/>
              <w:t>Based Anti</w:t>
            </w:r>
            <w:r w:rsidRPr="00C17937">
              <w:rPr>
                <w:rFonts w:eastAsiaTheme="minorEastAsia"/>
                <w:lang w:eastAsia="en-AU"/>
              </w:rPr>
              <w:noBreakHyphen/>
              <w:t>Corruption Commission investigations completed within 12 months</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85</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Proportion of jurisdictional complaints independently investigated by the Victorian Ombudsman</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25</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22</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25</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Reviews and complaints completed by FOI Commissioner</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550</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550</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550</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Client satisfaction with data security and privacy training provided</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FOI Commissioner applicants that appeal to VCAT</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30</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30</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30</w:t>
            </w:r>
          </w:p>
        </w:tc>
        <w:tc>
          <w:tcPr>
            <w:tcW w:w="910" w:type="dxa"/>
            <w:tcBorders>
              <w:top w:val="single" w:sz="6" w:space="0" w:color="auto"/>
              <w:left w:val="nil"/>
              <w:bottom w:val="single" w:sz="6" w:space="0" w:color="auto"/>
              <w:right w:val="nil"/>
            </w:tcBorders>
          </w:tcPr>
          <w:p w:rsidR="00E25CC6" w:rsidRPr="004E2699" w:rsidRDefault="00E25CC6" w:rsidP="009148AF">
            <w:pPr>
              <w:autoSpaceDE w:val="0"/>
              <w:autoSpaceDN w:val="0"/>
              <w:adjustRightInd w:val="0"/>
              <w:spacing w:after="0"/>
              <w:jc w:val="right"/>
              <w:rPr>
                <w:rFonts w:ascii="Calibri" w:eastAsiaTheme="minorEastAsia" w:hAnsi="Calibri" w:cs="Calibri"/>
                <w:color w:val="000000"/>
                <w:sz w:val="18"/>
                <w:szCs w:val="18"/>
                <w:lang w:eastAsia="en-AU"/>
              </w:rPr>
            </w:pPr>
            <w:r w:rsidRPr="004E2699">
              <w:rPr>
                <w:rFonts w:ascii="Calibri" w:eastAsiaTheme="minorEastAsia" w:hAnsi="Calibri" w:cs="Calibri"/>
                <w:color w:val="000000"/>
                <w:sz w:val="18"/>
                <w:szCs w:val="18"/>
                <w:lang w:eastAsia="en-AU"/>
              </w:rPr>
              <w:t>Satis</w:t>
            </w:r>
            <w:r>
              <w:rPr>
                <w:rFonts w:ascii="Calibri" w:eastAsiaTheme="minorEastAsia" w:hAnsi="Calibri" w:cs="Calibri"/>
                <w:color w:val="000000"/>
                <w:sz w:val="18"/>
                <w:szCs w:val="18"/>
                <w:lang w:eastAsia="en-AU"/>
              </w:rPr>
              <w:t>-</w:t>
            </w:r>
            <w:r w:rsidRPr="004E2699">
              <w:rPr>
                <w:rFonts w:ascii="Calibri" w:eastAsiaTheme="minorEastAsia" w:hAnsi="Calibri" w:cs="Calibri"/>
                <w:color w:val="000000"/>
                <w:sz w:val="18"/>
                <w:szCs w:val="18"/>
                <w:lang w:eastAsia="en-AU"/>
              </w:rPr>
              <w:t>factory</w:t>
            </w:r>
          </w:p>
        </w:tc>
      </w:tr>
      <w:tr w:rsidR="00E25CC6" w:rsidRPr="001D3263" w:rsidTr="00FB792C">
        <w:trPr>
          <w:cantSplit/>
        </w:trPr>
        <w:tc>
          <w:tcPr>
            <w:tcW w:w="3144" w:type="dxa"/>
            <w:tcBorders>
              <w:top w:val="nil"/>
              <w:left w:val="nil"/>
              <w:bottom w:val="nil"/>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Proportion of jurisdictional complaints where the original outcome is set aside by a review undertaken in accordance with the Ombudsman</w:t>
            </w:r>
            <w:r>
              <w:rPr>
                <w:rFonts w:eastAsiaTheme="minorEastAsia"/>
                <w:lang w:eastAsia="en-AU"/>
              </w:rPr>
              <w:t>’</w:t>
            </w:r>
            <w:r w:rsidRPr="001D3263">
              <w:rPr>
                <w:rFonts w:eastAsiaTheme="minorEastAsia"/>
                <w:lang w:eastAsia="en-AU"/>
              </w:rPr>
              <w:t>s internal review policy</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&lt;1.5</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&lt;1.5</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&lt;1.5</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02398B">
            <w:pPr>
              <w:pStyle w:val="OGNotes"/>
              <w:rPr>
                <w:rFonts w:eastAsiaTheme="minorEastAsia"/>
              </w:rPr>
            </w:pPr>
            <w:r w:rsidRPr="001D3263">
              <w:rPr>
                <w:rFonts w:eastAsiaTheme="minorEastAsia"/>
              </w:rPr>
              <w:t xml:space="preserve">This performance measure was proposed to be discontinued in the </w:t>
            </w:r>
            <w:r w:rsidRPr="004E2699">
              <w:rPr>
                <w:rFonts w:eastAsiaTheme="minorEastAsia"/>
                <w:i w:val="0"/>
              </w:rPr>
              <w:t>2015</w:t>
            </w:r>
            <w:r>
              <w:rPr>
                <w:rFonts w:eastAsiaTheme="minorEastAsia"/>
                <w:i w:val="0"/>
              </w:rPr>
              <w:noBreakHyphen/>
            </w:r>
            <w:r w:rsidRPr="004E2699">
              <w:rPr>
                <w:rFonts w:eastAsiaTheme="minorEastAsia"/>
                <w:i w:val="0"/>
              </w:rPr>
              <w:t>16 Budget</w:t>
            </w:r>
            <w:r w:rsidRPr="001D3263">
              <w:rPr>
                <w:rFonts w:eastAsiaTheme="minorEastAsia"/>
              </w:rPr>
              <w:t xml:space="preserve">, however has been reinstated following </w:t>
            </w:r>
            <w:r>
              <w:rPr>
                <w:rFonts w:eastAsiaTheme="minorEastAsia"/>
              </w:rPr>
              <w:t>th</w:t>
            </w:r>
            <w:r w:rsidRPr="001D3263">
              <w:rPr>
                <w:rFonts w:eastAsiaTheme="minorEastAsia"/>
              </w:rPr>
              <w:t>e Parliamentary Accounts and Estimate Committee</w:t>
            </w:r>
            <w:r>
              <w:rPr>
                <w:rFonts w:eastAsiaTheme="minorEastAsia"/>
              </w:rPr>
              <w:t>’</w:t>
            </w:r>
            <w:r w:rsidRPr="001D3263">
              <w:rPr>
                <w:rFonts w:eastAsiaTheme="minorEastAsia"/>
              </w:rPr>
              <w:t>s review of the 2015</w:t>
            </w:r>
            <w:r>
              <w:rPr>
                <w:rFonts w:eastAsiaTheme="minorEastAsia"/>
              </w:rPr>
              <w:noBreakHyphen/>
            </w:r>
            <w:r w:rsidRPr="001D3263">
              <w:rPr>
                <w:rFonts w:eastAsiaTheme="minorEastAsia"/>
              </w:rPr>
              <w:t xml:space="preserve">16 budget estimates. </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Recommendations accepted by agencies upon completion of investigations by the Victorian Ombudsman</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96</w:t>
            </w:r>
          </w:p>
        </w:tc>
      </w:tr>
      <w:tr w:rsidR="00E25CC6" w:rsidRPr="001D3263" w:rsidTr="00FB792C">
        <w:trPr>
          <w:cantSplit/>
        </w:trPr>
        <w:tc>
          <w:tcPr>
            <w:tcW w:w="3144" w:type="dxa"/>
            <w:tcBorders>
              <w:top w:val="nil"/>
              <w:left w:val="nil"/>
              <w:bottom w:val="nil"/>
              <w:right w:val="nil"/>
            </w:tcBorders>
          </w:tcPr>
          <w:p w:rsidR="00E25CC6" w:rsidRPr="001D3263" w:rsidRDefault="00E25CC6" w:rsidP="00EC69C2">
            <w:pPr>
              <w:pStyle w:val="OGTabText"/>
              <w:keepNext/>
              <w:rPr>
                <w:rFonts w:eastAsiaTheme="minorEastAsia"/>
                <w:lang w:eastAsia="en-AU"/>
              </w:rPr>
            </w:pPr>
            <w:r w:rsidRPr="001D3263">
              <w:rPr>
                <w:rFonts w:eastAsiaTheme="minorEastAsia"/>
                <w:lang w:eastAsia="en-AU"/>
              </w:rPr>
              <w:t>Satisfaction rating with corruption prevention initiatives delivered by IBAC</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1D7544">
            <w:pPr>
              <w:pStyle w:val="OGNotes"/>
              <w:rPr>
                <w:rFonts w:eastAsiaTheme="minorEastAsia"/>
              </w:rPr>
            </w:pPr>
            <w:r w:rsidRPr="001D3263">
              <w:rPr>
                <w:rFonts w:eastAsiaTheme="minorEastAsia"/>
              </w:rPr>
              <w:t>This performance measure renames the 2015</w:t>
            </w:r>
            <w:r>
              <w:rPr>
                <w:rFonts w:eastAsia="MS Gothic" w:cs="MS Gothic"/>
              </w:rPr>
              <w:noBreakHyphen/>
            </w:r>
            <w:r w:rsidRPr="001D3263">
              <w:rPr>
                <w:rFonts w:eastAsiaTheme="minorEastAsia"/>
              </w:rPr>
              <w:t xml:space="preserve">16 performance measure </w:t>
            </w:r>
            <w:r>
              <w:rPr>
                <w:rFonts w:eastAsiaTheme="minorEastAsia"/>
              </w:rPr>
              <w:t>‘</w:t>
            </w:r>
            <w:r w:rsidRPr="001D3263">
              <w:rPr>
                <w:rFonts w:eastAsiaTheme="minorEastAsia"/>
              </w:rPr>
              <w:t>Satisfaction rating with IBAC</w:t>
            </w:r>
            <w:r>
              <w:rPr>
                <w:rFonts w:eastAsiaTheme="minorEastAsia"/>
              </w:rPr>
              <w:t>’</w:t>
            </w:r>
            <w:r w:rsidRPr="001D3263">
              <w:rPr>
                <w:rFonts w:eastAsiaTheme="minorEastAsia"/>
              </w:rPr>
              <w:t>s prevention and education initiatives delivered to stakeholders</w:t>
            </w:r>
            <w:r>
              <w:rPr>
                <w:rFonts w:eastAsiaTheme="minorEastAsia"/>
              </w:rPr>
              <w:t>’</w:t>
            </w:r>
            <w:r w:rsidRPr="001D3263">
              <w:rPr>
                <w:rFonts w:eastAsiaTheme="minorEastAsia"/>
              </w:rPr>
              <w:t>. The new measure reports on the same activities and</w:t>
            </w:r>
            <w:r w:rsidRPr="002B38F1">
              <w:rPr>
                <w:rFonts w:eastAsiaTheme="minorEastAsia"/>
              </w:rPr>
              <w:t xml:space="preserve"> </w:t>
            </w:r>
            <w:r w:rsidRPr="001D3263">
              <w:rPr>
                <w:rFonts w:eastAsiaTheme="minorEastAsia"/>
              </w:rPr>
              <w:t>targets as the previous measure, however been reworded to align with other IBAC performance measures.</w:t>
            </w:r>
          </w:p>
        </w:tc>
      </w:tr>
      <w:tr w:rsidR="00E25CC6" w:rsidRPr="001D3263" w:rsidTr="00FB792C">
        <w:trPr>
          <w:cantSplit/>
        </w:trPr>
        <w:tc>
          <w:tcPr>
            <w:tcW w:w="3144" w:type="dxa"/>
            <w:tcBorders>
              <w:top w:val="nil"/>
              <w:left w:val="nil"/>
              <w:bottom w:val="nil"/>
              <w:right w:val="nil"/>
            </w:tcBorders>
          </w:tcPr>
          <w:p w:rsidR="00E25CC6" w:rsidRPr="007177D1" w:rsidRDefault="00E25CC6" w:rsidP="009148AF">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Complaints or notifications assessed by IBAC within 45 days</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10" w:type="dxa"/>
            <w:tcBorders>
              <w:top w:val="nil"/>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nil"/>
              <w:left w:val="nil"/>
              <w:bottom w:val="nil"/>
              <w:right w:val="nil"/>
            </w:tcBorders>
          </w:tcPr>
          <w:p w:rsidR="00E25CC6" w:rsidRPr="001D3263" w:rsidRDefault="00E25CC6" w:rsidP="00D96BA8">
            <w:pPr>
              <w:pStyle w:val="OGTabText"/>
              <w:rPr>
                <w:rFonts w:eastAsiaTheme="minorEastAsia"/>
                <w:lang w:eastAsia="en-AU"/>
              </w:rPr>
            </w:pPr>
            <w:r w:rsidRPr="001D3263">
              <w:rPr>
                <w:rFonts w:eastAsiaTheme="minorEastAsia"/>
                <w:lang w:eastAsia="en-AU"/>
              </w:rPr>
              <w:t>Complaints received by the Local Government Inspectorate assessed</w:t>
            </w:r>
            <w:r>
              <w:rPr>
                <w:rFonts w:eastAsiaTheme="minorEastAsia"/>
                <w:lang w:eastAsia="en-AU"/>
              </w:rPr>
              <w:t> </w:t>
            </w:r>
            <w:r w:rsidRPr="001D3263">
              <w:rPr>
                <w:rFonts w:eastAsiaTheme="minorEastAsia"/>
                <w:lang w:eastAsia="en-AU"/>
              </w:rPr>
              <w:t>and actioned within five working days</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98</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100</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9148AF">
            <w:pPr>
              <w:pStyle w:val="OGNotes"/>
              <w:rPr>
                <w:rFonts w:eastAsiaTheme="minorEastAsia"/>
              </w:rPr>
            </w:pPr>
            <w:r w:rsidRPr="001D3263">
              <w:rPr>
                <w:rFonts w:eastAsiaTheme="minorEastAsia"/>
              </w:rPr>
              <w:t>The lower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an anticipated increase in the number of complaints due to the 2016 Local Government elections. </w:t>
            </w:r>
          </w:p>
        </w:tc>
      </w:tr>
      <w:tr w:rsidR="00E25CC6" w:rsidRPr="001D3263" w:rsidTr="00FB792C">
        <w:trPr>
          <w:cantSplit/>
        </w:trPr>
        <w:tc>
          <w:tcPr>
            <w:tcW w:w="3144" w:type="dxa"/>
            <w:tcBorders>
              <w:top w:val="nil"/>
              <w:left w:val="nil"/>
              <w:bottom w:val="nil"/>
              <w:right w:val="nil"/>
            </w:tcBorders>
          </w:tcPr>
          <w:p w:rsidR="00E25CC6" w:rsidRPr="001D3263" w:rsidRDefault="00E25CC6" w:rsidP="00D96BA8">
            <w:pPr>
              <w:pStyle w:val="OGTabText"/>
              <w:rPr>
                <w:rFonts w:eastAsiaTheme="minorEastAsia"/>
                <w:lang w:eastAsia="en-AU"/>
              </w:rPr>
            </w:pPr>
            <w:r w:rsidRPr="001D3263">
              <w:rPr>
                <w:rFonts w:eastAsiaTheme="minorEastAsia"/>
                <w:lang w:eastAsia="en-AU"/>
              </w:rPr>
              <w:t>Complaints resolved within 30</w:t>
            </w:r>
            <w:r>
              <w:rPr>
                <w:rFonts w:eastAsiaTheme="minorEastAsia"/>
                <w:lang w:eastAsia="en-AU"/>
              </w:rPr>
              <w:t> </w:t>
            </w:r>
            <w:r w:rsidRPr="001D3263">
              <w:rPr>
                <w:rFonts w:eastAsiaTheme="minorEastAsia"/>
                <w:lang w:eastAsia="en-AU"/>
              </w:rPr>
              <w:t>calendar days of receipt by the Victorian Ombudsman</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87</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88</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9148AF">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lower than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an increase in jurisdictional cases handled by the office and an increase in the number of complaints the Ombudsman enquires into or investigates. </w:t>
            </w:r>
          </w:p>
        </w:tc>
      </w:tr>
      <w:tr w:rsidR="00E25CC6" w:rsidRPr="001D3263" w:rsidTr="00FB792C">
        <w:trPr>
          <w:cantSplit/>
        </w:trPr>
        <w:tc>
          <w:tcPr>
            <w:tcW w:w="3144" w:type="dxa"/>
            <w:tcBorders>
              <w:top w:val="single" w:sz="6" w:space="0" w:color="auto"/>
              <w:left w:val="nil"/>
              <w:bottom w:val="single" w:sz="6" w:space="0" w:color="auto"/>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Responses within 15 days to written enquiries relating to the legislated responsibilities of the Commissioner for Privacy and Data Protection</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92"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07"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10" w:type="dxa"/>
            <w:tcBorders>
              <w:top w:val="single" w:sz="6" w:space="0" w:color="auto"/>
              <w:left w:val="nil"/>
              <w:bottom w:val="single" w:sz="6" w:space="0" w:color="auto"/>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nm</w:t>
            </w:r>
          </w:p>
        </w:tc>
      </w:tr>
      <w:tr w:rsidR="00E25CC6" w:rsidRPr="001D3263" w:rsidTr="00FB792C">
        <w:trPr>
          <w:cantSplit/>
        </w:trPr>
        <w:tc>
          <w:tcPr>
            <w:tcW w:w="3144" w:type="dxa"/>
            <w:tcBorders>
              <w:top w:val="nil"/>
              <w:left w:val="nil"/>
              <w:bottom w:val="nil"/>
              <w:right w:val="nil"/>
            </w:tcBorders>
          </w:tcPr>
          <w:p w:rsidR="00E25CC6" w:rsidRPr="001D3263" w:rsidRDefault="00E25CC6" w:rsidP="009148AF">
            <w:pPr>
              <w:pStyle w:val="OGTabText"/>
              <w:rPr>
                <w:rFonts w:eastAsiaTheme="minorEastAsia"/>
                <w:lang w:eastAsia="en-AU"/>
              </w:rPr>
            </w:pPr>
            <w:r w:rsidRPr="001D3263">
              <w:rPr>
                <w:rFonts w:eastAsiaTheme="minorEastAsia"/>
                <w:lang w:eastAsia="en-AU"/>
              </w:rPr>
              <w:t>Timeline agreed by FOI applicants for completion of reviews is met</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70</w:t>
            </w:r>
          </w:p>
        </w:tc>
        <w:tc>
          <w:tcPr>
            <w:tcW w:w="907"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85</w:t>
            </w:r>
          </w:p>
        </w:tc>
        <w:tc>
          <w:tcPr>
            <w:tcW w:w="910" w:type="dxa"/>
            <w:tcBorders>
              <w:top w:val="nil"/>
              <w:left w:val="nil"/>
              <w:bottom w:val="nil"/>
              <w:right w:val="nil"/>
            </w:tcBorders>
          </w:tcPr>
          <w:p w:rsidR="00E25CC6" w:rsidRPr="007177D1" w:rsidRDefault="00E25CC6" w:rsidP="009148AF">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82</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1D3263" w:rsidRDefault="00E25CC6" w:rsidP="009148AF">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lower than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the continued focus on completing ageing and complex reviews and complaints.</w:t>
            </w:r>
          </w:p>
        </w:tc>
      </w:tr>
      <w:tr w:rsidR="00E25CC6" w:rsidRPr="001D3263" w:rsidTr="00FB792C">
        <w:trPr>
          <w:cantSplit/>
        </w:trPr>
        <w:tc>
          <w:tcPr>
            <w:tcW w:w="3144" w:type="dxa"/>
            <w:tcBorders>
              <w:top w:val="nil"/>
              <w:left w:val="nil"/>
              <w:bottom w:val="nil"/>
              <w:right w:val="nil"/>
            </w:tcBorders>
          </w:tcPr>
          <w:p w:rsidR="00E25CC6" w:rsidRPr="007177D1" w:rsidRDefault="00E25CC6" w:rsidP="00F801FF">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F801FF">
            <w:pPr>
              <w:keepNext/>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B792C">
        <w:trPr>
          <w:cantSplit/>
        </w:trPr>
        <w:tc>
          <w:tcPr>
            <w:tcW w:w="3144" w:type="dxa"/>
            <w:tcBorders>
              <w:top w:val="nil"/>
              <w:left w:val="nil"/>
              <w:bottom w:val="nil"/>
              <w:right w:val="nil"/>
            </w:tcBorders>
          </w:tcPr>
          <w:p w:rsidR="00E25CC6" w:rsidRPr="00C17937" w:rsidRDefault="00E25CC6" w:rsidP="00F801FF">
            <w:pPr>
              <w:pStyle w:val="OGTabText"/>
              <w:keepNext/>
              <w:rPr>
                <w:rFonts w:eastAsiaTheme="minorEastAsia"/>
                <w:lang w:eastAsia="en-AU"/>
              </w:rPr>
            </w:pPr>
            <w:r w:rsidRPr="00C17937">
              <w:rPr>
                <w:rFonts w:eastAsiaTheme="minorEastAsia"/>
                <w:lang w:eastAsia="en-AU"/>
              </w:rPr>
              <w:t>Total output cost</w:t>
            </w:r>
          </w:p>
        </w:tc>
        <w:tc>
          <w:tcPr>
            <w:tcW w:w="907" w:type="dxa"/>
            <w:tcBorders>
              <w:top w:val="nil"/>
              <w:left w:val="nil"/>
              <w:bottom w:val="nil"/>
              <w:right w:val="nil"/>
            </w:tcBorders>
          </w:tcPr>
          <w:p w:rsidR="00E25CC6" w:rsidRPr="00C17937" w:rsidRDefault="00E25CC6" w:rsidP="00F801FF">
            <w:pPr>
              <w:keepNext/>
              <w:autoSpaceDE w:val="0"/>
              <w:autoSpaceDN w:val="0"/>
              <w:adjustRightInd w:val="0"/>
              <w:spacing w:after="0"/>
              <w:jc w:val="center"/>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 million</w:t>
            </w:r>
          </w:p>
        </w:tc>
        <w:tc>
          <w:tcPr>
            <w:tcW w:w="907" w:type="dxa"/>
            <w:tcBorders>
              <w:top w:val="nil"/>
              <w:left w:val="nil"/>
              <w:bottom w:val="nil"/>
              <w:right w:val="nil"/>
            </w:tcBorders>
            <w:shd w:val="clear" w:color="auto" w:fill="DCDCDC"/>
          </w:tcPr>
          <w:p w:rsidR="00E25CC6" w:rsidRPr="00C17937" w:rsidRDefault="00E25CC6" w:rsidP="00F801FF">
            <w:pPr>
              <w:keepNext/>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84.7</w:t>
            </w:r>
          </w:p>
        </w:tc>
        <w:tc>
          <w:tcPr>
            <w:tcW w:w="992" w:type="dxa"/>
            <w:tcBorders>
              <w:top w:val="nil"/>
              <w:left w:val="nil"/>
              <w:bottom w:val="nil"/>
              <w:right w:val="nil"/>
            </w:tcBorders>
          </w:tcPr>
          <w:p w:rsidR="00E25CC6" w:rsidRPr="00C17937" w:rsidRDefault="00E25CC6" w:rsidP="00F801FF">
            <w:pPr>
              <w:keepNext/>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68.4</w:t>
            </w:r>
          </w:p>
        </w:tc>
        <w:tc>
          <w:tcPr>
            <w:tcW w:w="907" w:type="dxa"/>
            <w:tcBorders>
              <w:top w:val="nil"/>
              <w:left w:val="nil"/>
              <w:bottom w:val="nil"/>
              <w:right w:val="nil"/>
            </w:tcBorders>
          </w:tcPr>
          <w:p w:rsidR="00E25CC6" w:rsidRPr="00C17937" w:rsidRDefault="00E25CC6" w:rsidP="00F801FF">
            <w:pPr>
              <w:keepNext/>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85.4</w:t>
            </w:r>
          </w:p>
        </w:tc>
        <w:tc>
          <w:tcPr>
            <w:tcW w:w="910" w:type="dxa"/>
            <w:tcBorders>
              <w:top w:val="nil"/>
              <w:left w:val="nil"/>
              <w:bottom w:val="nil"/>
              <w:right w:val="nil"/>
            </w:tcBorders>
          </w:tcPr>
          <w:p w:rsidR="00E25CC6" w:rsidRPr="00C17937" w:rsidRDefault="00E25CC6" w:rsidP="00F801FF">
            <w:pPr>
              <w:keepNext/>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nm</w:t>
            </w:r>
          </w:p>
        </w:tc>
      </w:tr>
      <w:tr w:rsidR="00E25CC6" w:rsidRPr="001D3263" w:rsidTr="00FB792C">
        <w:trPr>
          <w:cantSplit/>
        </w:trPr>
        <w:tc>
          <w:tcPr>
            <w:tcW w:w="7767" w:type="dxa"/>
            <w:gridSpan w:val="6"/>
            <w:tcBorders>
              <w:top w:val="nil"/>
              <w:left w:val="nil"/>
              <w:bottom w:val="single" w:sz="6" w:space="0" w:color="auto"/>
              <w:right w:val="nil"/>
            </w:tcBorders>
          </w:tcPr>
          <w:p w:rsidR="00E25CC6" w:rsidRPr="00C17937" w:rsidRDefault="00E25CC6" w:rsidP="0055387D">
            <w:pPr>
              <w:pStyle w:val="OGNotes"/>
              <w:rPr>
                <w:rFonts w:eastAsiaTheme="minorEastAsia"/>
              </w:rPr>
            </w:pPr>
            <w:r w:rsidRPr="00C17937">
              <w:rPr>
                <w:rFonts w:eastAsiaTheme="minorEastAsia"/>
              </w:rPr>
              <w:t>The 2015</w:t>
            </w:r>
            <w:r w:rsidRPr="00C17937">
              <w:rPr>
                <w:rFonts w:eastAsiaTheme="minorEastAsia"/>
              </w:rPr>
              <w:noBreakHyphen/>
              <w:t>16 expected outcome is lower than the 2015</w:t>
            </w:r>
            <w:r w:rsidRPr="00C17937">
              <w:rPr>
                <w:rFonts w:eastAsiaTheme="minorEastAsia"/>
              </w:rPr>
              <w:noBreakHyphen/>
              <w:t>16 target due mainly to re</w:t>
            </w:r>
            <w:r w:rsidRPr="00C17937">
              <w:rPr>
                <w:rFonts w:eastAsiaTheme="minorEastAsia"/>
              </w:rPr>
              <w:noBreakHyphen/>
              <w:t>phasing and IBAC continuing to build its full operational capacity.</w:t>
            </w:r>
          </w:p>
        </w:tc>
      </w:tr>
      <w:tr w:rsidR="00E25CC6" w:rsidRPr="001D3263" w:rsidTr="00654395">
        <w:trPr>
          <w:cantSplit/>
        </w:trPr>
        <w:tc>
          <w:tcPr>
            <w:tcW w:w="7767" w:type="dxa"/>
            <w:gridSpan w:val="6"/>
            <w:tcBorders>
              <w:top w:val="single" w:sz="6" w:space="0" w:color="auto"/>
              <w:left w:val="nil"/>
              <w:bottom w:val="nil"/>
              <w:right w:val="nil"/>
            </w:tcBorders>
          </w:tcPr>
          <w:p w:rsidR="00E25CC6" w:rsidRPr="001D3263" w:rsidRDefault="00E25CC6" w:rsidP="00654395">
            <w:pPr>
              <w:pStyle w:val="OGHeading2"/>
              <w:rPr>
                <w:rFonts w:eastAsiaTheme="minorEastAsia"/>
                <w:lang w:eastAsia="en-AU"/>
              </w:rPr>
            </w:pPr>
            <w:r w:rsidRPr="001D3263">
              <w:rPr>
                <w:rFonts w:eastAsiaTheme="minorEastAsia"/>
                <w:lang w:eastAsia="en-AU"/>
              </w:rPr>
              <w:t>State Electoral Roll and Electoral Events</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02398B">
            <w:pPr>
              <w:pStyle w:val="OGText"/>
              <w:rPr>
                <w:rFonts w:eastAsiaTheme="minorEastAsia"/>
                <w:lang w:eastAsia="en-AU"/>
              </w:rPr>
            </w:pPr>
            <w:r w:rsidRPr="001D3263">
              <w:rPr>
                <w:rFonts w:eastAsiaTheme="minorEastAsia"/>
                <w:lang w:eastAsia="en-AU"/>
              </w:rPr>
              <w:t xml:space="preserve">Through the Victorian Electoral Commission (VEC), maintain a high quality electoral system that supports democracy in Victoria through the administration of an accurate and secure electoral roll, electoral services to ensure fair and equitable representation, the conduct of fair and impartial elections and encouraging greater participation in civic life through education and awareness activities and improving ease of access. </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keepNext/>
              <w:autoSpaceDE w:val="0"/>
              <w:autoSpaceDN w:val="0"/>
              <w:adjustRightInd w:val="0"/>
              <w:spacing w:after="0"/>
              <w:ind w:left="230" w:hanging="230"/>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State elections, municipal and statutory elections, by</w:t>
            </w:r>
            <w:r>
              <w:rPr>
                <w:rFonts w:eastAsiaTheme="minorEastAsia"/>
                <w:lang w:eastAsia="en-AU"/>
              </w:rPr>
              <w:noBreakHyphen/>
            </w:r>
            <w:r w:rsidRPr="001D3263">
              <w:rPr>
                <w:rFonts w:eastAsiaTheme="minorEastAsia"/>
                <w:lang w:eastAsia="en-AU"/>
              </w:rPr>
              <w:t>elections, polls and electoral representation reviews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99</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40</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39</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135</w:t>
            </w:r>
          </w:p>
        </w:tc>
      </w:tr>
      <w:tr w:rsidR="00E25CC6" w:rsidRPr="001D3263" w:rsidTr="00654395">
        <w:trPr>
          <w:cantSplit/>
        </w:trPr>
        <w:tc>
          <w:tcPr>
            <w:tcW w:w="7767" w:type="dxa"/>
            <w:gridSpan w:val="6"/>
            <w:tcBorders>
              <w:top w:val="nil"/>
              <w:left w:val="nil"/>
              <w:bottom w:val="single" w:sz="6" w:space="0" w:color="auto"/>
              <w:right w:val="nil"/>
            </w:tcBorders>
          </w:tcPr>
          <w:p w:rsidR="00E25CC6" w:rsidRPr="001D3263" w:rsidRDefault="00E25CC6" w:rsidP="00654395">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the number of Local Government elections (79 in total) which are conducted quadrennially and are scheduled for November 2016.</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single" w:sz="6" w:space="0" w:color="auto"/>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Legal challenges to VEC conduct upheld</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0</w:t>
            </w:r>
          </w:p>
        </w:tc>
        <w:tc>
          <w:tcPr>
            <w:tcW w:w="992"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0</w:t>
            </w:r>
          </w:p>
        </w:tc>
        <w:tc>
          <w:tcPr>
            <w:tcW w:w="907"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0</w:t>
            </w:r>
          </w:p>
        </w:tc>
        <w:tc>
          <w:tcPr>
            <w:tcW w:w="910" w:type="dxa"/>
            <w:tcBorders>
              <w:top w:val="nil"/>
              <w:left w:val="nil"/>
              <w:bottom w:val="single" w:sz="6" w:space="0" w:color="auto"/>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0</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Timeliness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p>
        </w:tc>
      </w:tr>
      <w:tr w:rsidR="00E25CC6" w:rsidRPr="001D3263" w:rsidTr="00654395">
        <w:trPr>
          <w:cantSplit/>
        </w:trPr>
        <w:tc>
          <w:tcPr>
            <w:tcW w:w="3144" w:type="dxa"/>
            <w:tcBorders>
              <w:top w:val="nil"/>
              <w:left w:val="nil"/>
              <w:bottom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Changes to electors details, or additions to the Victorian Electoral Register are processed within set timeframes</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95</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90</w:t>
            </w: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97</w:t>
            </w:r>
          </w:p>
        </w:tc>
      </w:tr>
      <w:tr w:rsidR="00E25CC6" w:rsidRPr="001D3263" w:rsidTr="00654395">
        <w:trPr>
          <w:cantSplit/>
        </w:trPr>
        <w:tc>
          <w:tcPr>
            <w:tcW w:w="7767" w:type="dxa"/>
            <w:gridSpan w:val="6"/>
            <w:tcBorders>
              <w:top w:val="nil"/>
              <w:left w:val="nil"/>
              <w:bottom w:val="single" w:sz="6" w:space="0" w:color="auto"/>
              <w:right w:val="nil"/>
            </w:tcBorders>
          </w:tcPr>
          <w:p w:rsidR="00E25CC6" w:rsidRDefault="00E25CC6" w:rsidP="00654395">
            <w:pPr>
              <w:pStyle w:val="OGNotes"/>
              <w:rPr>
                <w:rFonts w:eastAsiaTheme="minorEastAsia"/>
              </w:rPr>
            </w:pPr>
            <w:r w:rsidRPr="001D3263">
              <w:rPr>
                <w:rFonts w:eastAsiaTheme="minorEastAsia"/>
              </w:rPr>
              <w:t>The 2015</w:t>
            </w:r>
            <w:r>
              <w:rPr>
                <w:rFonts w:eastAsiaTheme="minorEastAsia"/>
              </w:rPr>
              <w:noBreakHyphen/>
            </w:r>
            <w:r w:rsidRPr="001D3263">
              <w:rPr>
                <w:rFonts w:eastAsiaTheme="minorEastAsia"/>
              </w:rPr>
              <w:t xml:space="preserve">16 </w:t>
            </w:r>
            <w:r w:rsidRPr="006154C3">
              <w:rPr>
                <w:rFonts w:eastAsiaTheme="minorEastAsia"/>
              </w:rPr>
              <w:t>expected outcome</w:t>
            </w:r>
            <w:r w:rsidRPr="001D3263">
              <w:rPr>
                <w:rFonts w:eastAsiaTheme="minorEastAsia"/>
              </w:rPr>
              <w:t xml:space="preserve"> is higher than the 2015</w:t>
            </w:r>
            <w:r>
              <w:rPr>
                <w:rFonts w:eastAsiaTheme="minorEastAsia"/>
              </w:rPr>
              <w:noBreakHyphen/>
            </w:r>
            <w:r w:rsidRPr="001D3263">
              <w:rPr>
                <w:rFonts w:eastAsiaTheme="minorEastAsia"/>
              </w:rPr>
              <w:t xml:space="preserve">16 </w:t>
            </w:r>
            <w:r w:rsidRPr="006154C3">
              <w:rPr>
                <w:rFonts w:eastAsiaTheme="minorEastAsia"/>
              </w:rPr>
              <w:t>target</w:t>
            </w:r>
            <w:r w:rsidRPr="001D3263">
              <w:rPr>
                <w:rFonts w:eastAsiaTheme="minorEastAsia"/>
              </w:rPr>
              <w:t xml:space="preserve"> due to the implementation of the new operating model which has achieved a better than expected result for the processing of enrolment transactions.</w:t>
            </w:r>
            <w:r w:rsidRPr="002B38F1">
              <w:rPr>
                <w:rFonts w:eastAsiaTheme="minorEastAsia"/>
              </w:rPr>
              <w:t xml:space="preserve"> </w:t>
            </w:r>
          </w:p>
          <w:p w:rsidR="00E25CC6" w:rsidRPr="001D3263" w:rsidRDefault="00E25CC6" w:rsidP="00654395">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process improvements which are expected to continue through to 2016</w:t>
            </w:r>
            <w:r>
              <w:rPr>
                <w:rFonts w:eastAsiaTheme="minorEastAsia"/>
              </w:rPr>
              <w:noBreakHyphen/>
            </w:r>
            <w:r w:rsidRPr="001D3263">
              <w:rPr>
                <w:rFonts w:eastAsiaTheme="minorEastAsia"/>
              </w:rPr>
              <w:t>17.</w:t>
            </w:r>
          </w:p>
        </w:tc>
      </w:tr>
      <w:tr w:rsidR="00E25CC6" w:rsidRPr="001D3263" w:rsidTr="00654395">
        <w:trPr>
          <w:cantSplit/>
        </w:trPr>
        <w:tc>
          <w:tcPr>
            <w:tcW w:w="3144" w:type="dxa"/>
            <w:tcBorders>
              <w:top w:val="nil"/>
              <w:left w:val="nil"/>
              <w:bottom w:val="nil"/>
              <w:right w:val="nil"/>
            </w:tcBorders>
          </w:tcPr>
          <w:p w:rsidR="00E25CC6" w:rsidRPr="007177D1" w:rsidRDefault="00E25CC6" w:rsidP="00654395">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7177D1">
              <w:rPr>
                <w:rFonts w:ascii="Calibri" w:eastAsiaTheme="minorEastAsia" w:hAnsi="Calibri" w:cs="Calibri"/>
                <w:i/>
                <w:iCs/>
                <w:color w:val="000000"/>
                <w:sz w:val="19"/>
                <w:szCs w:val="22"/>
                <w:lang w:eastAsia="en-AU"/>
              </w:rPr>
              <w:t>Cost</w:t>
            </w: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c>
          <w:tcPr>
            <w:tcW w:w="910" w:type="dxa"/>
            <w:tcBorders>
              <w:top w:val="nil"/>
              <w:left w:val="nil"/>
              <w:bottom w:val="nil"/>
              <w:right w:val="nil"/>
            </w:tcBorders>
          </w:tcPr>
          <w:p w:rsidR="00E25CC6" w:rsidRPr="007177D1" w:rsidRDefault="00E25CC6" w:rsidP="00654395">
            <w:pPr>
              <w:autoSpaceDE w:val="0"/>
              <w:autoSpaceDN w:val="0"/>
              <w:adjustRightInd w:val="0"/>
              <w:spacing w:after="0"/>
              <w:rPr>
                <w:rFonts w:ascii="Calibri" w:eastAsiaTheme="minorEastAsia" w:hAnsi="Calibri" w:cs="Calibri"/>
                <w:color w:val="000000"/>
                <w:sz w:val="19"/>
                <w:szCs w:val="22"/>
                <w:lang w:eastAsia="en-AU"/>
              </w:rPr>
            </w:pPr>
          </w:p>
        </w:tc>
      </w:tr>
      <w:tr w:rsidR="00E25CC6" w:rsidRPr="001D3263" w:rsidTr="00F801FF">
        <w:trPr>
          <w:cantSplit/>
        </w:trPr>
        <w:tc>
          <w:tcPr>
            <w:tcW w:w="3144" w:type="dxa"/>
            <w:tcBorders>
              <w:top w:val="nil"/>
              <w:left w:val="nil"/>
              <w:right w:val="nil"/>
            </w:tcBorders>
          </w:tcPr>
          <w:p w:rsidR="00E25CC6" w:rsidRPr="001D3263" w:rsidRDefault="00E25CC6" w:rsidP="00654395">
            <w:pPr>
              <w:pStyle w:val="OGTabText"/>
              <w:rPr>
                <w:rFonts w:eastAsiaTheme="minorEastAsia"/>
                <w:lang w:eastAsia="en-AU"/>
              </w:rPr>
            </w:pPr>
            <w:r w:rsidRPr="001D3263">
              <w:rPr>
                <w:rFonts w:eastAsiaTheme="minorEastAsia"/>
                <w:lang w:eastAsia="en-AU"/>
              </w:rPr>
              <w:t>Total output cost</w:t>
            </w:r>
          </w:p>
        </w:tc>
        <w:tc>
          <w:tcPr>
            <w:tcW w:w="907" w:type="dxa"/>
            <w:tcBorders>
              <w:top w:val="nil"/>
              <w:left w:val="nil"/>
              <w:right w:val="nil"/>
            </w:tcBorders>
          </w:tcPr>
          <w:p w:rsidR="00E25CC6" w:rsidRPr="007177D1" w:rsidRDefault="00E25CC6" w:rsidP="00654395">
            <w:pPr>
              <w:autoSpaceDE w:val="0"/>
              <w:autoSpaceDN w:val="0"/>
              <w:adjustRightInd w:val="0"/>
              <w:spacing w:after="0"/>
              <w:jc w:val="center"/>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67.1</w:t>
            </w:r>
          </w:p>
        </w:tc>
        <w:tc>
          <w:tcPr>
            <w:tcW w:w="992" w:type="dxa"/>
            <w:tcBorders>
              <w:top w:val="nil"/>
              <w:left w:val="nil"/>
              <w:right w:val="nil"/>
            </w:tcBorders>
          </w:tcPr>
          <w:p w:rsidR="00E25CC6" w:rsidRPr="007177D1" w:rsidRDefault="00E25CC6" w:rsidP="00654395">
            <w:pPr>
              <w:autoSpaceDE w:val="0"/>
              <w:autoSpaceDN w:val="0"/>
              <w:adjustRightInd w:val="0"/>
              <w:spacing w:after="0"/>
              <w:jc w:val="right"/>
              <w:rPr>
                <w:rFonts w:ascii="Calibri" w:eastAsiaTheme="minorEastAsia" w:hAnsi="Calibri" w:cs="Calibri"/>
                <w:color w:val="000000"/>
                <w:sz w:val="19"/>
                <w:szCs w:val="22"/>
                <w:lang w:eastAsia="en-AU"/>
              </w:rPr>
            </w:pPr>
            <w:r w:rsidRPr="007177D1">
              <w:rPr>
                <w:rFonts w:ascii="Calibri" w:eastAsiaTheme="minorEastAsia" w:hAnsi="Calibri" w:cs="Calibri"/>
                <w:color w:val="000000"/>
                <w:sz w:val="19"/>
                <w:szCs w:val="22"/>
                <w:lang w:eastAsia="en-AU"/>
              </w:rPr>
              <w:t>30.0</w:t>
            </w:r>
          </w:p>
        </w:tc>
        <w:tc>
          <w:tcPr>
            <w:tcW w:w="907" w:type="dxa"/>
            <w:tcBorders>
              <w:top w:val="nil"/>
              <w:left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30.0</w:t>
            </w:r>
          </w:p>
        </w:tc>
        <w:tc>
          <w:tcPr>
            <w:tcW w:w="910" w:type="dxa"/>
            <w:tcBorders>
              <w:top w:val="nil"/>
              <w:left w:val="nil"/>
              <w:right w:val="nil"/>
            </w:tcBorders>
          </w:tcPr>
          <w:p w:rsidR="00E25CC6" w:rsidRPr="00C17937" w:rsidRDefault="00E25CC6" w:rsidP="00654395">
            <w:pPr>
              <w:autoSpaceDE w:val="0"/>
              <w:autoSpaceDN w:val="0"/>
              <w:adjustRightInd w:val="0"/>
              <w:spacing w:after="0"/>
              <w:jc w:val="right"/>
              <w:rPr>
                <w:rFonts w:ascii="Calibri" w:eastAsiaTheme="minorEastAsia" w:hAnsi="Calibri" w:cs="Calibri"/>
                <w:sz w:val="19"/>
                <w:szCs w:val="22"/>
                <w:lang w:eastAsia="en-AU"/>
              </w:rPr>
            </w:pPr>
            <w:r w:rsidRPr="00C17937">
              <w:rPr>
                <w:rFonts w:ascii="Calibri" w:eastAsiaTheme="minorEastAsia" w:hAnsi="Calibri" w:cs="Calibri"/>
                <w:sz w:val="19"/>
                <w:szCs w:val="22"/>
                <w:lang w:eastAsia="en-AU"/>
              </w:rPr>
              <w:t>63.2</w:t>
            </w:r>
          </w:p>
        </w:tc>
      </w:tr>
      <w:tr w:rsidR="00E25CC6" w:rsidRPr="001D3263" w:rsidTr="00F801FF">
        <w:trPr>
          <w:cantSplit/>
        </w:trPr>
        <w:tc>
          <w:tcPr>
            <w:tcW w:w="7767" w:type="dxa"/>
            <w:gridSpan w:val="6"/>
            <w:tcBorders>
              <w:top w:val="nil"/>
              <w:left w:val="nil"/>
              <w:bottom w:val="single" w:sz="12" w:space="0" w:color="auto"/>
              <w:right w:val="nil"/>
            </w:tcBorders>
          </w:tcPr>
          <w:p w:rsidR="00E25CC6" w:rsidRPr="001D3263" w:rsidRDefault="00E25CC6" w:rsidP="00654395">
            <w:pPr>
              <w:pStyle w:val="OGNotes"/>
              <w:rPr>
                <w:rFonts w:eastAsiaTheme="minorEastAsia"/>
              </w:rPr>
            </w:pPr>
            <w:r w:rsidRPr="001D3263">
              <w:rPr>
                <w:rFonts w:eastAsiaTheme="minorEastAsia"/>
              </w:rPr>
              <w:t>The higher 2016</w:t>
            </w:r>
            <w:r>
              <w:rPr>
                <w:rFonts w:eastAsiaTheme="minorEastAsia"/>
              </w:rPr>
              <w:noBreakHyphen/>
            </w:r>
            <w:r w:rsidRPr="001D3263">
              <w:rPr>
                <w:rFonts w:eastAsiaTheme="minorEastAsia"/>
              </w:rPr>
              <w:t xml:space="preserve">17 </w:t>
            </w:r>
            <w:r w:rsidRPr="006154C3">
              <w:rPr>
                <w:rFonts w:eastAsiaTheme="minorEastAsia"/>
              </w:rPr>
              <w:t>target</w:t>
            </w:r>
            <w:r w:rsidRPr="001D3263">
              <w:rPr>
                <w:rFonts w:eastAsiaTheme="minorEastAsia"/>
              </w:rPr>
              <w:t xml:space="preserve"> reflects the 2016</w:t>
            </w:r>
            <w:r>
              <w:rPr>
                <w:rFonts w:eastAsiaTheme="minorEastAsia"/>
              </w:rPr>
              <w:noBreakHyphen/>
            </w:r>
            <w:r w:rsidRPr="001D3263">
              <w:rPr>
                <w:rFonts w:eastAsiaTheme="minorEastAsia"/>
              </w:rPr>
              <w:t xml:space="preserve">17 Local Government Elections. </w:t>
            </w:r>
          </w:p>
        </w:tc>
      </w:tr>
    </w:tbl>
    <w:p w:rsidR="00E25CC6" w:rsidRDefault="00E25CC6" w:rsidP="006154C3">
      <w:pPr>
        <w:pStyle w:val="Source"/>
      </w:pPr>
      <w:r>
        <w:t>Source: Department of Premier and Cabinet</w:t>
      </w:r>
      <w:bookmarkEnd w:id="100"/>
      <w:r>
        <w:t xml:space="preserve"> </w:t>
      </w:r>
      <w:r>
        <w:fldChar w:fldCharType="begin"/>
      </w:r>
      <w:r>
        <w:instrText xml:space="preserve"> XE "</w:instrText>
      </w:r>
      <w:r w:rsidRPr="00FE023B">
        <w:instrText>Department of Premier and Cabinet:Professional Public Administration</w:instrText>
      </w:r>
      <w:r>
        <w:instrText xml:space="preserve">" \r "DPC_ProfPub" </w:instrText>
      </w:r>
      <w:r>
        <w:fldChar w:fldCharType="end"/>
      </w:r>
    </w:p>
    <w:p w:rsidR="00E25CC6" w:rsidRDefault="00E25CC6" w:rsidP="00520DA1">
      <w:pPr>
        <w:rPr>
          <w:rFonts w:eastAsiaTheme="minorHAnsi"/>
        </w:rPr>
      </w:pPr>
    </w:p>
    <w:p w:rsidR="00E25CC6" w:rsidRDefault="00E25CC6" w:rsidP="00243370">
      <w:pPr>
        <w:rPr>
          <w:rFonts w:eastAsiaTheme="minorHAnsi"/>
        </w:rPr>
        <w:sectPr w:rsidR="00E25CC6" w:rsidSect="007A3BD7">
          <w:footerReference w:type="even" r:id="rId39"/>
          <w:footerReference w:type="default" r:id="rId40"/>
          <w:pgSz w:w="9979" w:h="14181" w:code="34"/>
          <w:pgMar w:top="1140" w:right="1140" w:bottom="1140" w:left="1140" w:header="720" w:footer="431" w:gutter="0"/>
          <w:cols w:space="708"/>
          <w:docGrid w:linePitch="360"/>
        </w:sectPr>
      </w:pPr>
    </w:p>
    <w:p w:rsidR="00E25CC6" w:rsidRDefault="00E25CC6" w:rsidP="00405185">
      <w:pPr>
        <w:pStyle w:val="Heading1"/>
      </w:pPr>
      <w:bookmarkStart w:id="101" w:name="_Toc449109444"/>
      <w:r>
        <w:t>Department of Treasury and Finance</w:t>
      </w:r>
      <w:bookmarkEnd w:id="101"/>
    </w:p>
    <w:p w:rsidR="00E25CC6" w:rsidRDefault="00E25CC6" w:rsidP="00970B1F">
      <w:pPr>
        <w:pStyle w:val="Heading2"/>
        <w:rPr>
          <w:rFonts w:eastAsiaTheme="minorHAnsi"/>
        </w:rPr>
      </w:pPr>
      <w:r>
        <w:rPr>
          <w:rFonts w:eastAsiaTheme="minorHAnsi"/>
        </w:rPr>
        <w:t>Ministerial portfolios</w:t>
      </w:r>
    </w:p>
    <w:p w:rsidR="00E25CC6" w:rsidRDefault="00E25CC6" w:rsidP="00970B1F">
      <w:pPr>
        <w:rPr>
          <w:rFonts w:eastAsiaTheme="minorHAnsi"/>
        </w:rPr>
      </w:pPr>
      <w:r w:rsidRPr="00665927">
        <w:rPr>
          <w:rFonts w:eastAsiaTheme="minorHAnsi"/>
        </w:rPr>
        <w:t>The Department supports the ministerial portfolios of Treasurer and Minister for Finance.</w:t>
      </w:r>
    </w:p>
    <w:p w:rsidR="00E25CC6" w:rsidRDefault="00E25CC6" w:rsidP="00970B1F">
      <w:pPr>
        <w:pStyle w:val="Heading2"/>
        <w:rPr>
          <w:rFonts w:eastAsiaTheme="minorHAnsi"/>
        </w:rPr>
      </w:pPr>
      <w:r>
        <w:rPr>
          <w:rFonts w:eastAsiaTheme="minorHAnsi"/>
        </w:rPr>
        <w:t>Departmental mission statement</w:t>
      </w:r>
    </w:p>
    <w:p w:rsidR="00E25CC6" w:rsidRDefault="00E25CC6" w:rsidP="00970B1F">
      <w:pPr>
        <w:rPr>
          <w:rFonts w:eastAsiaTheme="minorHAnsi"/>
        </w:rPr>
      </w:pPr>
      <w:r w:rsidRPr="00665927">
        <w:rPr>
          <w:rFonts w:eastAsiaTheme="minorHAnsi"/>
        </w:rPr>
        <w:t>The Department of Treasury and Finance</w:t>
      </w:r>
      <w:r>
        <w:rPr>
          <w:rFonts w:eastAsiaTheme="minorHAnsi"/>
        </w:rPr>
        <w:t>’</w:t>
      </w:r>
      <w:r w:rsidRPr="00665927">
        <w:rPr>
          <w:rFonts w:eastAsiaTheme="minorHAnsi"/>
        </w:rPr>
        <w:t>s mission is to provide leadership in economic, financial and resource management.</w:t>
      </w:r>
    </w:p>
    <w:p w:rsidR="00E25CC6" w:rsidRDefault="00E25CC6" w:rsidP="00970B1F">
      <w:pPr>
        <w:pStyle w:val="Heading2"/>
        <w:rPr>
          <w:rFonts w:eastAsiaTheme="minorHAnsi"/>
        </w:rPr>
      </w:pPr>
      <w:r>
        <w:rPr>
          <w:rFonts w:eastAsiaTheme="minorHAnsi"/>
        </w:rPr>
        <w:t>Departmental objectives, indicators and outputs</w:t>
      </w:r>
    </w:p>
    <w:p w:rsidR="00E25CC6" w:rsidRDefault="00E25CC6" w:rsidP="00665927">
      <w:pPr>
        <w:rPr>
          <w:rFonts w:eastAsiaTheme="minorHAnsi"/>
        </w:rPr>
      </w:pPr>
      <w:r w:rsidRPr="00665927">
        <w:rPr>
          <w:rFonts w:eastAsiaTheme="minorHAnsi"/>
        </w:rPr>
        <w:t>The Department of Treasury and Finance</w:t>
      </w:r>
      <w:r>
        <w:rPr>
          <w:rFonts w:eastAsiaTheme="minorHAnsi"/>
        </w:rPr>
        <w:t>’</w:t>
      </w:r>
      <w:r w:rsidRPr="00665927">
        <w:rPr>
          <w:rFonts w:eastAsiaTheme="minorHAnsi"/>
        </w:rPr>
        <w:t>s objectives, indicators, and linked outputs are listed below.</w:t>
      </w:r>
    </w:p>
    <w:tbl>
      <w:tblPr>
        <w:tblW w:w="5000" w:type="pct"/>
        <w:tblBorders>
          <w:bottom w:val="single" w:sz="12" w:space="0" w:color="auto"/>
          <w:insideH w:val="single" w:sz="6" w:space="0" w:color="auto"/>
        </w:tblBorders>
        <w:tblCellMar>
          <w:left w:w="43" w:type="dxa"/>
          <w:right w:w="43" w:type="dxa"/>
        </w:tblCellMar>
        <w:tblLook w:val="04A0" w:firstRow="1" w:lastRow="0" w:firstColumn="1" w:lastColumn="0" w:noHBand="0" w:noVBand="1"/>
      </w:tblPr>
      <w:tblGrid>
        <w:gridCol w:w="2452"/>
        <w:gridCol w:w="3117"/>
        <w:gridCol w:w="2216"/>
      </w:tblGrid>
      <w:tr w:rsidR="00E25CC6" w:rsidTr="00665927">
        <w:trPr>
          <w:cantSplit/>
          <w:trHeight w:val="240"/>
          <w:tblHeader/>
        </w:trPr>
        <w:tc>
          <w:tcPr>
            <w:tcW w:w="1575" w:type="pct"/>
            <w:shd w:val="clear" w:color="auto" w:fill="000000"/>
          </w:tcPr>
          <w:p w:rsidR="00E25CC6" w:rsidRPr="00975E17" w:rsidRDefault="00E25CC6" w:rsidP="00665927">
            <w:pPr>
              <w:pStyle w:val="Tabletextheadingleft"/>
            </w:pPr>
            <w:r w:rsidRPr="00975E17">
              <w:t>Departmental objectives</w:t>
            </w:r>
          </w:p>
        </w:tc>
        <w:tc>
          <w:tcPr>
            <w:tcW w:w="2002" w:type="pct"/>
            <w:shd w:val="clear" w:color="auto" w:fill="000000"/>
          </w:tcPr>
          <w:p w:rsidR="00E25CC6" w:rsidRPr="00975E17" w:rsidRDefault="00E25CC6" w:rsidP="00665927">
            <w:pPr>
              <w:pStyle w:val="Tabletextheadingleft"/>
            </w:pPr>
            <w:r w:rsidRPr="00975E17">
              <w:t>Indicators</w:t>
            </w:r>
          </w:p>
        </w:tc>
        <w:tc>
          <w:tcPr>
            <w:tcW w:w="1423" w:type="pct"/>
            <w:shd w:val="clear" w:color="auto" w:fill="000000" w:themeFill="text1"/>
          </w:tcPr>
          <w:p w:rsidR="00E25CC6" w:rsidRPr="00DD1288" w:rsidRDefault="00E25CC6" w:rsidP="00665927">
            <w:pPr>
              <w:pStyle w:val="Tabletextheadingleft"/>
            </w:pPr>
            <w:r w:rsidRPr="00254167">
              <w:rPr>
                <w:color w:val="FFFFFF" w:themeColor="background1"/>
              </w:rPr>
              <w:t>Output</w:t>
            </w:r>
            <w:r>
              <w:rPr>
                <w:color w:val="FFFFFF" w:themeColor="background1"/>
              </w:rPr>
              <w:t>s</w:t>
            </w:r>
            <w:r w:rsidRPr="00254167">
              <w:rPr>
                <w:color w:val="FFFFFF" w:themeColor="background1"/>
              </w:rPr>
              <w:t xml:space="preserve"> </w:t>
            </w:r>
          </w:p>
        </w:tc>
      </w:tr>
      <w:tr w:rsidR="00E25CC6" w:rsidTr="00B22DB8">
        <w:trPr>
          <w:cantSplit/>
          <w:trHeight w:val="1139"/>
        </w:trPr>
        <w:tc>
          <w:tcPr>
            <w:tcW w:w="1575" w:type="pct"/>
            <w:tcBorders>
              <w:bottom w:val="single" w:sz="6" w:space="0" w:color="auto"/>
            </w:tcBorders>
            <w:shd w:val="clear" w:color="auto" w:fill="auto"/>
          </w:tcPr>
          <w:p w:rsidR="00E25CC6" w:rsidRDefault="00E25CC6" w:rsidP="00665927">
            <w:pPr>
              <w:pStyle w:val="Tabletextcentred"/>
              <w:jc w:val="left"/>
              <w:rPr>
                <w:b/>
              </w:rPr>
            </w:pPr>
            <w:r w:rsidRPr="008C519B">
              <w:rPr>
                <w:b/>
              </w:rPr>
              <w:t>Sound financial management of Victoria</w:t>
            </w:r>
            <w:r>
              <w:rPr>
                <w:b/>
              </w:rPr>
              <w:t>’</w:t>
            </w:r>
            <w:r w:rsidRPr="008C519B">
              <w:rPr>
                <w:b/>
              </w:rPr>
              <w:t>s fiscal resources</w:t>
            </w:r>
          </w:p>
          <w:p w:rsidR="00E25CC6" w:rsidRPr="000B58D1" w:rsidRDefault="00E25CC6" w:rsidP="00665927">
            <w:pPr>
              <w:pStyle w:val="Tabletextcentred"/>
              <w:jc w:val="left"/>
            </w:pPr>
            <w:r w:rsidRPr="008C519B">
              <w:t>The Department of Treasury and Finance has a central role in shaping Victoria</w:t>
            </w:r>
            <w:r>
              <w:t>’</w:t>
            </w:r>
            <w:r w:rsidRPr="008C519B">
              <w:t>s economic, social and fiscal policy to ensure that Government financial policies are fiscally sound</w:t>
            </w:r>
          </w:p>
        </w:tc>
        <w:tc>
          <w:tcPr>
            <w:tcW w:w="2002" w:type="pct"/>
            <w:tcBorders>
              <w:bottom w:val="single" w:sz="6" w:space="0" w:color="auto"/>
            </w:tcBorders>
            <w:shd w:val="clear" w:color="auto" w:fill="auto"/>
          </w:tcPr>
          <w:p w:rsidR="00E25CC6" w:rsidRDefault="00E25CC6" w:rsidP="00665927">
            <w:pPr>
              <w:pStyle w:val="Tabletextcentred"/>
              <w:jc w:val="left"/>
            </w:pPr>
            <w:r>
              <w:t>A net operating surplus consistent with maintaining general government net debt at a sustainable level over the medium</w:t>
            </w:r>
            <w:r>
              <w:noBreakHyphen/>
              <w:t xml:space="preserve">term </w:t>
            </w:r>
          </w:p>
          <w:p w:rsidR="00E25CC6" w:rsidRDefault="00E25CC6" w:rsidP="00665927">
            <w:pPr>
              <w:pStyle w:val="Tabletextcentred"/>
              <w:jc w:val="left"/>
            </w:pPr>
            <w:r>
              <w:t>General government net debt as a percentage of GSP to be maintained at a sustainable level over the medium</w:t>
            </w:r>
            <w:r>
              <w:noBreakHyphen/>
              <w:t>term </w:t>
            </w:r>
            <w:r w:rsidRPr="00F516C3">
              <w:rPr>
                <w:vertAlign w:val="superscript"/>
              </w:rPr>
              <w:t>(a)</w:t>
            </w:r>
          </w:p>
          <w:p w:rsidR="00E25CC6" w:rsidRPr="000B58D1" w:rsidRDefault="00E25CC6" w:rsidP="00276B62">
            <w:pPr>
              <w:pStyle w:val="Tabletextcentred"/>
              <w:jc w:val="left"/>
            </w:pPr>
            <w:r>
              <w:t>Provide high quality, timely and relevant advice on the State’s finances and budget, as assessed by feedback from our key clients </w:t>
            </w:r>
            <w:r>
              <w:rPr>
                <w:vertAlign w:val="superscript"/>
              </w:rPr>
              <w:t>(b</w:t>
            </w:r>
            <w:r w:rsidRPr="00300EF7">
              <w:rPr>
                <w:vertAlign w:val="superscript"/>
              </w:rPr>
              <w:t>)</w:t>
            </w:r>
          </w:p>
        </w:tc>
        <w:tc>
          <w:tcPr>
            <w:tcW w:w="1423" w:type="pct"/>
            <w:tcBorders>
              <w:bottom w:val="single" w:sz="6" w:space="0" w:color="auto"/>
            </w:tcBorders>
            <w:shd w:val="clear" w:color="auto" w:fill="auto"/>
          </w:tcPr>
          <w:p w:rsidR="00E25CC6" w:rsidRDefault="00E25CC6" w:rsidP="00665927">
            <w:pPr>
              <w:pStyle w:val="Tabletextcentred"/>
              <w:jc w:val="left"/>
            </w:pPr>
            <w:r>
              <w:t>Budget and Financial Advice</w:t>
            </w:r>
          </w:p>
          <w:p w:rsidR="00E25CC6" w:rsidRPr="00DE0333" w:rsidRDefault="00E25CC6" w:rsidP="00665927">
            <w:pPr>
              <w:pStyle w:val="Tabletextcentred"/>
              <w:jc w:val="left"/>
            </w:pPr>
            <w:r>
              <w:t>Revenue Management Services to Government</w:t>
            </w:r>
          </w:p>
        </w:tc>
      </w:tr>
      <w:tr w:rsidR="00E25CC6" w:rsidTr="00B22DB8">
        <w:trPr>
          <w:cantSplit/>
          <w:trHeight w:val="733"/>
        </w:trPr>
        <w:tc>
          <w:tcPr>
            <w:tcW w:w="1575" w:type="pct"/>
            <w:tcBorders>
              <w:top w:val="single" w:sz="6" w:space="0" w:color="auto"/>
              <w:bottom w:val="single" w:sz="6" w:space="0" w:color="auto"/>
            </w:tcBorders>
            <w:shd w:val="clear" w:color="auto" w:fill="auto"/>
          </w:tcPr>
          <w:p w:rsidR="00E25CC6" w:rsidRDefault="00E25CC6" w:rsidP="00665927">
            <w:pPr>
              <w:pStyle w:val="Tabletextcentred"/>
              <w:jc w:val="left"/>
              <w:rPr>
                <w:b/>
              </w:rPr>
            </w:pPr>
            <w:r w:rsidRPr="008C519B">
              <w:rPr>
                <w:b/>
              </w:rPr>
              <w:t>Guide government actions to increase Victoria</w:t>
            </w:r>
            <w:r>
              <w:rPr>
                <w:b/>
              </w:rPr>
              <w:t>’</w:t>
            </w:r>
            <w:r w:rsidRPr="008C519B">
              <w:rPr>
                <w:b/>
              </w:rPr>
              <w:t xml:space="preserve">s productivity and competitiveness </w:t>
            </w:r>
          </w:p>
          <w:p w:rsidR="00E25CC6" w:rsidRPr="000B58D1" w:rsidRDefault="00E25CC6" w:rsidP="00665927">
            <w:pPr>
              <w:pStyle w:val="Tabletextcentred"/>
              <w:jc w:val="left"/>
            </w:pPr>
            <w:r w:rsidRPr="008C519B">
              <w:t>The Department of Treasury and Finance provides Government with advice on key economic and financial issues, including longer term economic development, regulation, financial strategy and taxation policy</w:t>
            </w:r>
          </w:p>
        </w:tc>
        <w:tc>
          <w:tcPr>
            <w:tcW w:w="2002" w:type="pct"/>
            <w:tcBorders>
              <w:top w:val="single" w:sz="6" w:space="0" w:color="auto"/>
              <w:bottom w:val="single" w:sz="6" w:space="0" w:color="auto"/>
            </w:tcBorders>
            <w:shd w:val="clear" w:color="auto" w:fill="auto"/>
          </w:tcPr>
          <w:p w:rsidR="00E25CC6" w:rsidRDefault="00E25CC6" w:rsidP="00665927">
            <w:pPr>
              <w:pStyle w:val="Tabletextcentred"/>
              <w:jc w:val="left"/>
            </w:pPr>
            <w:r>
              <w:t xml:space="preserve">Reduce the costs and barriers to doing business in Victoria, including reducing the regulatory burden </w:t>
            </w:r>
          </w:p>
          <w:p w:rsidR="00E25CC6" w:rsidRPr="000B58D1" w:rsidRDefault="00E25CC6" w:rsidP="00665927">
            <w:pPr>
              <w:pStyle w:val="Tabletextcentred"/>
              <w:jc w:val="left"/>
            </w:pPr>
            <w:r>
              <w:t>Provide high quality, timely and relevant advice on economic policy, forecasts, legislation and frameworks as assessed by feedback from our key clients</w:t>
            </w:r>
          </w:p>
        </w:tc>
        <w:tc>
          <w:tcPr>
            <w:tcW w:w="1423" w:type="pct"/>
            <w:tcBorders>
              <w:top w:val="single" w:sz="6" w:space="0" w:color="auto"/>
              <w:bottom w:val="single" w:sz="6" w:space="0" w:color="auto"/>
            </w:tcBorders>
            <w:shd w:val="clear" w:color="auto" w:fill="auto"/>
          </w:tcPr>
          <w:p w:rsidR="00E25CC6" w:rsidRDefault="00E25CC6" w:rsidP="00665927">
            <w:pPr>
              <w:pStyle w:val="Tabletextcentred"/>
              <w:jc w:val="left"/>
            </w:pPr>
            <w:r>
              <w:t>Economic and Policy Advice</w:t>
            </w:r>
          </w:p>
          <w:p w:rsidR="00E25CC6" w:rsidRDefault="00E25CC6" w:rsidP="00665927">
            <w:pPr>
              <w:pStyle w:val="Tabletextcentred"/>
              <w:jc w:val="left"/>
            </w:pPr>
            <w:r>
              <w:t>Economic Regulatory Services</w:t>
            </w:r>
          </w:p>
          <w:p w:rsidR="00E25CC6" w:rsidRPr="00DE0333" w:rsidRDefault="00E25CC6" w:rsidP="00665927">
            <w:pPr>
              <w:pStyle w:val="Tabletextcentred"/>
              <w:jc w:val="left"/>
            </w:pPr>
            <w:r>
              <w:t>Business Environment Policy Advice</w:t>
            </w:r>
          </w:p>
        </w:tc>
      </w:tr>
      <w:tr w:rsidR="00E25CC6" w:rsidTr="00B22DB8">
        <w:trPr>
          <w:cantSplit/>
          <w:trHeight w:val="733"/>
        </w:trPr>
        <w:tc>
          <w:tcPr>
            <w:tcW w:w="1575" w:type="pct"/>
            <w:tcBorders>
              <w:top w:val="single" w:sz="6" w:space="0" w:color="auto"/>
              <w:bottom w:val="single" w:sz="6" w:space="0" w:color="auto"/>
            </w:tcBorders>
            <w:shd w:val="clear" w:color="auto" w:fill="auto"/>
          </w:tcPr>
          <w:p w:rsidR="00E25CC6" w:rsidRDefault="00E25CC6" w:rsidP="00665927">
            <w:pPr>
              <w:pStyle w:val="Tabletextcentred"/>
              <w:jc w:val="left"/>
              <w:rPr>
                <w:b/>
              </w:rPr>
            </w:pPr>
            <w:r w:rsidRPr="00864423">
              <w:rPr>
                <w:b/>
              </w:rPr>
              <w:t>Drive improvement in public sector commercial and asset management and the delivery of infrastructure</w:t>
            </w:r>
            <w:r>
              <w:rPr>
                <w:b/>
              </w:rPr>
              <w:t> </w:t>
            </w:r>
            <w:r>
              <w:rPr>
                <w:b/>
                <w:vertAlign w:val="superscript"/>
              </w:rPr>
              <w:t>(c</w:t>
            </w:r>
            <w:r w:rsidRPr="00400B93">
              <w:rPr>
                <w:b/>
                <w:vertAlign w:val="superscript"/>
              </w:rPr>
              <w:t>)</w:t>
            </w:r>
          </w:p>
          <w:p w:rsidR="00E25CC6" w:rsidRPr="008C519B" w:rsidRDefault="00E25CC6" w:rsidP="00044253">
            <w:pPr>
              <w:pStyle w:val="Tabletextcentred"/>
              <w:jc w:val="left"/>
              <w:rPr>
                <w:b/>
              </w:rPr>
            </w:pPr>
            <w:r w:rsidRPr="00864423">
              <w:t>The Department of Treasury and Finance develops and applies prudent commercial principles and practices to influence and deliver Government policies focused on major infrastructure, government business enterprise</w:t>
            </w:r>
            <w:r>
              <w:t>s and the State’s balance sheet</w:t>
            </w:r>
          </w:p>
        </w:tc>
        <w:tc>
          <w:tcPr>
            <w:tcW w:w="2002" w:type="pct"/>
            <w:tcBorders>
              <w:top w:val="single" w:sz="6" w:space="0" w:color="auto"/>
              <w:bottom w:val="single" w:sz="6" w:space="0" w:color="auto"/>
            </w:tcBorders>
            <w:shd w:val="clear" w:color="auto" w:fill="auto"/>
          </w:tcPr>
          <w:p w:rsidR="00E25CC6" w:rsidRDefault="00E25CC6" w:rsidP="00665927">
            <w:pPr>
              <w:pStyle w:val="Tabletextcentred"/>
              <w:jc w:val="left"/>
            </w:pPr>
            <w:r>
              <w:t>Ensure high</w:t>
            </w:r>
            <w:r>
              <w:noBreakHyphen/>
              <w:t>value high</w:t>
            </w:r>
            <w:r>
              <w:noBreakHyphen/>
              <w:t xml:space="preserve">risk Government projects are completed within agreed timeframes and scope through ensuring adherence to standards </w:t>
            </w:r>
          </w:p>
          <w:p w:rsidR="00E25CC6" w:rsidRDefault="00E25CC6" w:rsidP="00665927">
            <w:pPr>
              <w:pStyle w:val="Tabletextcentred"/>
              <w:jc w:val="left"/>
            </w:pPr>
            <w:r>
              <w:t>Effective financial risk management and prudential supervision of public financial corporations and public non</w:t>
            </w:r>
            <w:r>
              <w:noBreakHyphen/>
              <w:t>financial corporations </w:t>
            </w:r>
            <w:r>
              <w:rPr>
                <w:vertAlign w:val="superscript"/>
              </w:rPr>
              <w:t>(d</w:t>
            </w:r>
            <w:r w:rsidRPr="00400B93">
              <w:rPr>
                <w:vertAlign w:val="superscript"/>
              </w:rPr>
              <w:t>)</w:t>
            </w:r>
          </w:p>
          <w:p w:rsidR="00E25CC6" w:rsidRDefault="00E25CC6" w:rsidP="00276B62">
            <w:pPr>
              <w:pStyle w:val="Tabletextcentred"/>
              <w:jc w:val="left"/>
            </w:pPr>
            <w:r>
              <w:t>Provide high quality, timely and relevant advice on asset management, the delivery of infrastructure, management of government land, borrowings, investments, insurance, superannuation issues and prudential supervision, as assessed by feedback from our key clients </w:t>
            </w:r>
            <w:r>
              <w:rPr>
                <w:vertAlign w:val="superscript"/>
              </w:rPr>
              <w:t>(e</w:t>
            </w:r>
            <w:r w:rsidRPr="00400B93">
              <w:rPr>
                <w:vertAlign w:val="superscript"/>
              </w:rPr>
              <w:t>)</w:t>
            </w:r>
          </w:p>
        </w:tc>
        <w:tc>
          <w:tcPr>
            <w:tcW w:w="1423" w:type="pct"/>
            <w:tcBorders>
              <w:top w:val="single" w:sz="6" w:space="0" w:color="auto"/>
              <w:bottom w:val="single" w:sz="6" w:space="0" w:color="auto"/>
            </w:tcBorders>
            <w:shd w:val="clear" w:color="auto" w:fill="auto"/>
          </w:tcPr>
          <w:p w:rsidR="00E25CC6" w:rsidRDefault="00E25CC6" w:rsidP="00665927">
            <w:pPr>
              <w:pStyle w:val="Tabletextcentred"/>
              <w:jc w:val="left"/>
            </w:pPr>
            <w:r w:rsidRPr="00400B93">
              <w:t>Commercial</w:t>
            </w:r>
            <w:r>
              <w:t xml:space="preserve"> and Infrastructure A</w:t>
            </w:r>
            <w:r w:rsidRPr="00400B93">
              <w:t>dvice</w:t>
            </w:r>
          </w:p>
        </w:tc>
      </w:tr>
      <w:tr w:rsidR="00E25CC6" w:rsidTr="009A66FD">
        <w:trPr>
          <w:cantSplit/>
          <w:trHeight w:val="733"/>
        </w:trPr>
        <w:tc>
          <w:tcPr>
            <w:tcW w:w="1575" w:type="pct"/>
            <w:tcBorders>
              <w:top w:val="single" w:sz="6" w:space="0" w:color="auto"/>
              <w:bottom w:val="single" w:sz="12" w:space="0" w:color="auto"/>
            </w:tcBorders>
            <w:shd w:val="clear" w:color="auto" w:fill="auto"/>
          </w:tcPr>
          <w:p w:rsidR="00E25CC6" w:rsidRDefault="00E25CC6" w:rsidP="00665927">
            <w:pPr>
              <w:pStyle w:val="Tabletextcentred"/>
              <w:jc w:val="left"/>
              <w:rPr>
                <w:b/>
              </w:rPr>
            </w:pPr>
            <w:r w:rsidRPr="00864423">
              <w:rPr>
                <w:b/>
              </w:rPr>
              <w:t>Deliver efficient whole of government common services to the Victorian public sector</w:t>
            </w:r>
          </w:p>
          <w:p w:rsidR="00E25CC6" w:rsidRPr="008C519B" w:rsidRDefault="00E25CC6" w:rsidP="00665927">
            <w:pPr>
              <w:pStyle w:val="Tabletextcentred"/>
              <w:jc w:val="left"/>
              <w:rPr>
                <w:b/>
              </w:rPr>
            </w:pPr>
            <w:r w:rsidRPr="00864423">
              <w:t>The Department of Treasury and Finance assists government agencies in providing a more integrated approach to the managem</w:t>
            </w:r>
            <w:r>
              <w:t>ent of common services</w:t>
            </w:r>
          </w:p>
        </w:tc>
        <w:tc>
          <w:tcPr>
            <w:tcW w:w="2002" w:type="pct"/>
            <w:tcBorders>
              <w:top w:val="single" w:sz="6" w:space="0" w:color="auto"/>
              <w:bottom w:val="single" w:sz="12" w:space="0" w:color="auto"/>
            </w:tcBorders>
            <w:shd w:val="clear" w:color="auto" w:fill="auto"/>
          </w:tcPr>
          <w:p w:rsidR="00E25CC6" w:rsidRDefault="00E25CC6" w:rsidP="00665927">
            <w:pPr>
              <w:pStyle w:val="Tabletextcentred"/>
              <w:jc w:val="left"/>
            </w:pPr>
            <w:r>
              <w:t xml:space="preserve">Drive productivity and efficiency by increasing the benefits delivered from government procurement contracts </w:t>
            </w:r>
          </w:p>
          <w:p w:rsidR="00E25CC6" w:rsidRDefault="00E25CC6" w:rsidP="00665927">
            <w:pPr>
              <w:pStyle w:val="Tabletextcentred"/>
              <w:jc w:val="left"/>
            </w:pPr>
            <w:r>
              <w:t>Drive efficiency by maintaining low vacancy rates for government office accommodation</w:t>
            </w:r>
          </w:p>
          <w:p w:rsidR="00E25CC6" w:rsidRDefault="00E25CC6" w:rsidP="00665927">
            <w:pPr>
              <w:pStyle w:val="Tabletextcentred"/>
              <w:jc w:val="left"/>
            </w:pPr>
            <w:r>
              <w:t>Provide high quality, timely and relevant advice on services to Government as assessed by feedback from our key clients</w:t>
            </w:r>
          </w:p>
        </w:tc>
        <w:tc>
          <w:tcPr>
            <w:tcW w:w="1423" w:type="pct"/>
            <w:tcBorders>
              <w:top w:val="single" w:sz="6" w:space="0" w:color="auto"/>
              <w:bottom w:val="single" w:sz="12" w:space="0" w:color="auto"/>
            </w:tcBorders>
            <w:shd w:val="clear" w:color="auto" w:fill="auto"/>
          </w:tcPr>
          <w:p w:rsidR="00E25CC6" w:rsidRDefault="00E25CC6" w:rsidP="00665927">
            <w:pPr>
              <w:pStyle w:val="Tabletextcentred"/>
              <w:jc w:val="left"/>
            </w:pPr>
            <w:r w:rsidRPr="00400B93">
              <w:t>Services to Government</w:t>
            </w:r>
          </w:p>
        </w:tc>
      </w:tr>
    </w:tbl>
    <w:p w:rsidR="00E25CC6" w:rsidRDefault="00E25CC6" w:rsidP="00665927">
      <w:pPr>
        <w:pStyle w:val="Source"/>
        <w:rPr>
          <w:rFonts w:eastAsiaTheme="minorHAnsi"/>
        </w:rPr>
      </w:pPr>
      <w:r>
        <w:rPr>
          <w:rFonts w:eastAsiaTheme="minorHAnsi"/>
        </w:rPr>
        <w:t>Source: Department of Treasury and Finance</w:t>
      </w:r>
    </w:p>
    <w:p w:rsidR="00E25CC6" w:rsidRPr="00665927" w:rsidRDefault="00E25CC6" w:rsidP="00665927">
      <w:pPr>
        <w:pStyle w:val="Notes"/>
        <w:rPr>
          <w:rFonts w:eastAsiaTheme="minorHAnsi"/>
        </w:rPr>
      </w:pPr>
      <w:r w:rsidRPr="00665927">
        <w:rPr>
          <w:rFonts w:eastAsiaTheme="minorHAnsi"/>
        </w:rPr>
        <w:t>Notes:</w:t>
      </w:r>
    </w:p>
    <w:p w:rsidR="00E25CC6" w:rsidRDefault="00E25CC6" w:rsidP="00F516C3">
      <w:pPr>
        <w:pStyle w:val="Notes"/>
        <w:rPr>
          <w:rFonts w:eastAsiaTheme="minorHAnsi"/>
        </w:rPr>
      </w:pPr>
      <w:r w:rsidRPr="00665927">
        <w:rPr>
          <w:rFonts w:eastAsiaTheme="minorHAnsi"/>
        </w:rPr>
        <w:t>(a)</w:t>
      </w:r>
      <w:r w:rsidRPr="00665927">
        <w:rPr>
          <w:rFonts w:eastAsiaTheme="minorHAnsi"/>
        </w:rPr>
        <w:tab/>
      </w:r>
      <w:r>
        <w:rPr>
          <w:rFonts w:eastAsiaTheme="minorHAnsi"/>
        </w:rPr>
        <w:t xml:space="preserve">The objective indicator </w:t>
      </w:r>
      <w:r w:rsidRPr="00665927">
        <w:rPr>
          <w:rFonts w:eastAsiaTheme="minorHAnsi"/>
        </w:rPr>
        <w:t>has been updated to</w:t>
      </w:r>
      <w:r>
        <w:rPr>
          <w:rFonts w:eastAsiaTheme="minorHAnsi"/>
        </w:rPr>
        <w:t xml:space="preserve"> ‘</w:t>
      </w:r>
      <w:r w:rsidRPr="00F516C3">
        <w:rPr>
          <w:rFonts w:eastAsiaTheme="minorHAnsi"/>
        </w:rPr>
        <w:t>General government net debt as a percentage of GSP to be maintained at a su</w:t>
      </w:r>
      <w:r>
        <w:rPr>
          <w:rFonts w:eastAsiaTheme="minorHAnsi"/>
        </w:rPr>
        <w:t>stainable level over the medium-</w:t>
      </w:r>
      <w:r w:rsidRPr="00F516C3">
        <w:rPr>
          <w:rFonts w:eastAsiaTheme="minorHAnsi"/>
        </w:rPr>
        <w:t>term</w:t>
      </w:r>
      <w:r>
        <w:rPr>
          <w:rFonts w:eastAsiaTheme="minorHAnsi"/>
        </w:rPr>
        <w:t xml:space="preserve">’ to align with the Government’s financial measure target in Budget Paper No. 2. </w:t>
      </w:r>
    </w:p>
    <w:p w:rsidR="00E25CC6" w:rsidRPr="00665927" w:rsidRDefault="00E25CC6" w:rsidP="00665927">
      <w:pPr>
        <w:pStyle w:val="Notes"/>
        <w:rPr>
          <w:rFonts w:eastAsiaTheme="minorHAnsi"/>
        </w:rPr>
      </w:pPr>
      <w:r>
        <w:rPr>
          <w:rFonts w:eastAsiaTheme="minorHAnsi"/>
        </w:rPr>
        <w:t>(b)</w:t>
      </w:r>
      <w:r>
        <w:rPr>
          <w:rFonts w:eastAsiaTheme="minorHAnsi"/>
        </w:rPr>
        <w:tab/>
      </w:r>
      <w:r w:rsidRPr="00665927">
        <w:rPr>
          <w:rFonts w:eastAsiaTheme="minorHAnsi"/>
        </w:rPr>
        <w:t xml:space="preserve">The objective indicator </w:t>
      </w:r>
      <w:r>
        <w:rPr>
          <w:rFonts w:eastAsiaTheme="minorHAnsi"/>
        </w:rPr>
        <w:t>‘</w:t>
      </w:r>
      <w:r w:rsidRPr="00665927">
        <w:rPr>
          <w:rFonts w:eastAsiaTheme="minorHAnsi"/>
        </w:rPr>
        <w:t>Provide high quality, timely and relevant advice on the State</w:t>
      </w:r>
      <w:r>
        <w:rPr>
          <w:rFonts w:eastAsiaTheme="minorHAnsi"/>
        </w:rPr>
        <w:t>’</w:t>
      </w:r>
      <w:r w:rsidRPr="00665927">
        <w:rPr>
          <w:rFonts w:eastAsiaTheme="minorHAnsi"/>
        </w:rPr>
        <w:t>s finances and budget, borrowings, investments, insurance, superannuation issues and prudential supervision, as assessed by feedback from our key clients</w:t>
      </w:r>
      <w:r>
        <w:rPr>
          <w:rFonts w:eastAsiaTheme="minorHAnsi"/>
        </w:rPr>
        <w:t>’</w:t>
      </w:r>
      <w:r w:rsidRPr="00665927">
        <w:rPr>
          <w:rFonts w:eastAsiaTheme="minorHAnsi"/>
        </w:rPr>
        <w:t xml:space="preserve"> has been updated to </w:t>
      </w:r>
      <w:r>
        <w:rPr>
          <w:rFonts w:eastAsiaTheme="minorHAnsi"/>
        </w:rPr>
        <w:t>‘</w:t>
      </w:r>
      <w:r w:rsidRPr="00665927">
        <w:rPr>
          <w:rFonts w:eastAsiaTheme="minorHAnsi"/>
        </w:rPr>
        <w:t>Provide high quality, timely and relevant advice on the State</w:t>
      </w:r>
      <w:r>
        <w:rPr>
          <w:rFonts w:eastAsiaTheme="minorHAnsi"/>
        </w:rPr>
        <w:t>’</w:t>
      </w:r>
      <w:r w:rsidRPr="00665927">
        <w:rPr>
          <w:rFonts w:eastAsiaTheme="minorHAnsi"/>
        </w:rPr>
        <w:t>s finances and budget, as assessed by feedback from our key clients</w:t>
      </w:r>
      <w:r>
        <w:rPr>
          <w:rFonts w:eastAsiaTheme="minorHAnsi"/>
        </w:rPr>
        <w:t>’</w:t>
      </w:r>
      <w:r w:rsidRPr="00665927">
        <w:rPr>
          <w:rFonts w:eastAsiaTheme="minorHAnsi"/>
        </w:rPr>
        <w:t xml:space="preserve"> to more accurately describe the objective indicator.</w:t>
      </w:r>
    </w:p>
    <w:p w:rsidR="00E25CC6" w:rsidRPr="00665927" w:rsidRDefault="00E25CC6" w:rsidP="00665927">
      <w:pPr>
        <w:pStyle w:val="Notes"/>
        <w:rPr>
          <w:rFonts w:eastAsiaTheme="minorHAnsi"/>
        </w:rPr>
      </w:pPr>
      <w:r w:rsidRPr="00665927">
        <w:rPr>
          <w:rFonts w:eastAsiaTheme="minorHAnsi"/>
        </w:rPr>
        <w:t>(</w:t>
      </w:r>
      <w:r>
        <w:rPr>
          <w:rFonts w:eastAsiaTheme="minorHAnsi"/>
        </w:rPr>
        <w:t>c</w:t>
      </w:r>
      <w:r w:rsidRPr="00665927">
        <w:rPr>
          <w:rFonts w:eastAsiaTheme="minorHAnsi"/>
        </w:rPr>
        <w:t>)</w:t>
      </w:r>
      <w:r w:rsidRPr="00665927">
        <w:rPr>
          <w:rFonts w:eastAsiaTheme="minorHAnsi"/>
        </w:rPr>
        <w:tab/>
        <w:t xml:space="preserve">The objective </w:t>
      </w:r>
      <w:r>
        <w:rPr>
          <w:rFonts w:eastAsiaTheme="minorHAnsi"/>
        </w:rPr>
        <w:t>‘</w:t>
      </w:r>
      <w:r w:rsidRPr="00665927">
        <w:rPr>
          <w:rFonts w:eastAsiaTheme="minorHAnsi"/>
        </w:rPr>
        <w:t>Drive improvement in public sector asset management and the delivery of infrastructure</w:t>
      </w:r>
      <w:r>
        <w:rPr>
          <w:rFonts w:eastAsiaTheme="minorHAnsi"/>
        </w:rPr>
        <w:t>’</w:t>
      </w:r>
      <w:r w:rsidRPr="00665927">
        <w:rPr>
          <w:rFonts w:eastAsiaTheme="minorHAnsi"/>
        </w:rPr>
        <w:t xml:space="preserve"> has been updated to </w:t>
      </w:r>
      <w:r>
        <w:rPr>
          <w:rFonts w:eastAsiaTheme="minorHAnsi"/>
        </w:rPr>
        <w:t>‘</w:t>
      </w:r>
      <w:r w:rsidRPr="00665927">
        <w:rPr>
          <w:rFonts w:eastAsiaTheme="minorHAnsi"/>
        </w:rPr>
        <w:t>Drive improvement in public sector commercial and asset management and the delivery of infrastructure</w:t>
      </w:r>
      <w:r>
        <w:rPr>
          <w:rFonts w:eastAsiaTheme="minorHAnsi"/>
        </w:rPr>
        <w:t>’</w:t>
      </w:r>
      <w:r w:rsidRPr="00665927">
        <w:rPr>
          <w:rFonts w:eastAsiaTheme="minorHAnsi"/>
        </w:rPr>
        <w:t xml:space="preserve"> to more accurately describe the objective.</w:t>
      </w:r>
    </w:p>
    <w:p w:rsidR="00E25CC6" w:rsidRPr="00665927" w:rsidRDefault="00E25CC6" w:rsidP="00665927">
      <w:pPr>
        <w:pStyle w:val="Notes"/>
        <w:rPr>
          <w:rFonts w:eastAsiaTheme="minorHAnsi"/>
        </w:rPr>
      </w:pPr>
      <w:r>
        <w:rPr>
          <w:rFonts w:eastAsiaTheme="minorHAnsi"/>
        </w:rPr>
        <w:t>(d</w:t>
      </w:r>
      <w:r w:rsidRPr="00665927">
        <w:rPr>
          <w:rFonts w:eastAsiaTheme="minorHAnsi"/>
        </w:rPr>
        <w:t>)</w:t>
      </w:r>
      <w:r w:rsidRPr="00665927">
        <w:rPr>
          <w:rFonts w:eastAsiaTheme="minorHAnsi"/>
        </w:rPr>
        <w:tab/>
        <w:t xml:space="preserve">The objective indicator </w:t>
      </w:r>
      <w:r>
        <w:rPr>
          <w:rFonts w:eastAsiaTheme="minorHAnsi"/>
        </w:rPr>
        <w:t>‘</w:t>
      </w:r>
      <w:r w:rsidRPr="00665927">
        <w:rPr>
          <w:rFonts w:eastAsiaTheme="minorHAnsi"/>
        </w:rPr>
        <w:t>Effective financial risk management and prudential supervision of public financial corporations and public non</w:t>
      </w:r>
      <w:r>
        <w:rPr>
          <w:rFonts w:eastAsiaTheme="minorHAnsi"/>
        </w:rPr>
        <w:noBreakHyphen/>
      </w:r>
      <w:r w:rsidRPr="00665927">
        <w:rPr>
          <w:rFonts w:eastAsiaTheme="minorHAnsi"/>
        </w:rPr>
        <w:t>financial corporations</w:t>
      </w:r>
      <w:r>
        <w:rPr>
          <w:rFonts w:eastAsiaTheme="minorHAnsi"/>
        </w:rPr>
        <w:t>’</w:t>
      </w:r>
      <w:r w:rsidRPr="00665927">
        <w:rPr>
          <w:rFonts w:eastAsiaTheme="minorHAnsi"/>
        </w:rPr>
        <w:t xml:space="preserve"> has been moved to the objective </w:t>
      </w:r>
      <w:r>
        <w:rPr>
          <w:rFonts w:eastAsiaTheme="minorHAnsi"/>
        </w:rPr>
        <w:t>‘</w:t>
      </w:r>
      <w:r w:rsidRPr="00665927">
        <w:rPr>
          <w:rFonts w:eastAsiaTheme="minorHAnsi"/>
        </w:rPr>
        <w:t>Drive improvement in public sector commercial and asset management and the delivery of infrastructure</w:t>
      </w:r>
      <w:r>
        <w:rPr>
          <w:rFonts w:eastAsiaTheme="minorHAnsi"/>
        </w:rPr>
        <w:t>’</w:t>
      </w:r>
      <w:r w:rsidRPr="00665927">
        <w:rPr>
          <w:rFonts w:eastAsiaTheme="minorHAnsi"/>
        </w:rPr>
        <w:t xml:space="preserve"> to more accurately describe the objective indicator. </w:t>
      </w:r>
    </w:p>
    <w:p w:rsidR="00E25CC6" w:rsidRDefault="00E25CC6" w:rsidP="00665927">
      <w:pPr>
        <w:pStyle w:val="Notes"/>
        <w:rPr>
          <w:rFonts w:eastAsiaTheme="minorHAnsi"/>
        </w:rPr>
      </w:pPr>
      <w:r>
        <w:rPr>
          <w:rFonts w:eastAsiaTheme="minorHAnsi"/>
        </w:rPr>
        <w:t>(e</w:t>
      </w:r>
      <w:r w:rsidRPr="00665927">
        <w:rPr>
          <w:rFonts w:eastAsiaTheme="minorHAnsi"/>
        </w:rPr>
        <w:t>)</w:t>
      </w:r>
      <w:r w:rsidRPr="00665927">
        <w:rPr>
          <w:rFonts w:eastAsiaTheme="minorHAnsi"/>
        </w:rPr>
        <w:tab/>
        <w:t xml:space="preserve">The objective indicator </w:t>
      </w:r>
      <w:r>
        <w:rPr>
          <w:rFonts w:eastAsiaTheme="minorHAnsi"/>
        </w:rPr>
        <w:t>‘</w:t>
      </w:r>
      <w:r w:rsidRPr="00665927">
        <w:rPr>
          <w:rFonts w:eastAsiaTheme="minorHAnsi"/>
        </w:rPr>
        <w:t>Provide high quality, timely and relevant advice on asset management, the delivery of infrastructure and management of government land</w:t>
      </w:r>
      <w:r>
        <w:rPr>
          <w:rFonts w:eastAsiaTheme="minorHAnsi"/>
        </w:rPr>
        <w:t xml:space="preserve"> </w:t>
      </w:r>
      <w:r w:rsidRPr="00665927">
        <w:rPr>
          <w:rFonts w:eastAsiaTheme="minorHAnsi"/>
        </w:rPr>
        <w:t>as assessed by feedback from our key clients</w:t>
      </w:r>
      <w:r>
        <w:rPr>
          <w:rFonts w:eastAsiaTheme="minorHAnsi"/>
        </w:rPr>
        <w:t>’</w:t>
      </w:r>
      <w:r w:rsidRPr="00665927">
        <w:rPr>
          <w:rFonts w:eastAsiaTheme="minorHAnsi"/>
        </w:rPr>
        <w:t xml:space="preserve"> has been updated to </w:t>
      </w:r>
      <w:r>
        <w:rPr>
          <w:rFonts w:eastAsiaTheme="minorHAnsi"/>
        </w:rPr>
        <w:t>‘</w:t>
      </w:r>
      <w:r w:rsidRPr="00665927">
        <w:rPr>
          <w:rFonts w:eastAsiaTheme="minorHAnsi"/>
        </w:rPr>
        <w:t>Provide high quality, timely and relevant advice on asset management, the delivery of infrastructure, management of government land, borrowings, investments, insurance, superannuation issues and prudential supervision, as assessed by feedback from our key clients</w:t>
      </w:r>
      <w:r>
        <w:rPr>
          <w:rFonts w:eastAsiaTheme="minorHAnsi"/>
        </w:rPr>
        <w:t>’</w:t>
      </w:r>
      <w:r w:rsidRPr="00665927">
        <w:rPr>
          <w:rFonts w:eastAsiaTheme="minorHAnsi"/>
        </w:rPr>
        <w:t xml:space="preserve"> to more accurately describe the objective indicator.</w:t>
      </w: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970B1F">
      <w:pPr>
        <w:pStyle w:val="Heading2"/>
        <w:rPr>
          <w:rFonts w:eastAsiaTheme="minorHAnsi"/>
        </w:rPr>
      </w:pPr>
      <w:r>
        <w:rPr>
          <w:rFonts w:eastAsiaTheme="minorHAnsi"/>
        </w:rPr>
        <w:t>Changes to the output structure</w:t>
      </w:r>
    </w:p>
    <w:p w:rsidR="00E25CC6" w:rsidRDefault="00E25CC6" w:rsidP="00970B1F">
      <w:pPr>
        <w:rPr>
          <w:rFonts w:eastAsiaTheme="minorHAnsi"/>
        </w:rPr>
      </w:pPr>
      <w:r w:rsidRPr="00B63D67">
        <w:rPr>
          <w:rFonts w:eastAsiaTheme="minorHAnsi"/>
        </w:rPr>
        <w:t>The Department has made changes to its output structure for 2016</w:t>
      </w:r>
      <w:r>
        <w:rPr>
          <w:rFonts w:eastAsiaTheme="minorHAnsi"/>
        </w:rPr>
        <w:noBreakHyphen/>
      </w:r>
      <w:r w:rsidRPr="00B63D67">
        <w:rPr>
          <w:rFonts w:eastAsiaTheme="minorHAnsi"/>
        </w:rPr>
        <w:t>17 as shown in the table below:</w:t>
      </w:r>
    </w:p>
    <w:tbl>
      <w:tblPr>
        <w:tblW w:w="5000" w:type="pct"/>
        <w:tblBorders>
          <w:bottom w:val="single" w:sz="12" w:space="0" w:color="auto"/>
        </w:tblBorders>
        <w:tblCellMar>
          <w:left w:w="43" w:type="dxa"/>
          <w:right w:w="43" w:type="dxa"/>
        </w:tblCellMar>
        <w:tblLook w:val="04A0" w:firstRow="1" w:lastRow="0" w:firstColumn="1" w:lastColumn="0" w:noHBand="0" w:noVBand="1"/>
      </w:tblPr>
      <w:tblGrid>
        <w:gridCol w:w="2453"/>
        <w:gridCol w:w="2975"/>
        <w:gridCol w:w="2357"/>
      </w:tblGrid>
      <w:tr w:rsidR="00E25CC6" w:rsidTr="00B63D67">
        <w:trPr>
          <w:cantSplit/>
          <w:tblHeader/>
        </w:trPr>
        <w:tc>
          <w:tcPr>
            <w:tcW w:w="1575" w:type="pct"/>
            <w:shd w:val="clear" w:color="auto" w:fill="000000"/>
          </w:tcPr>
          <w:p w:rsidR="00E25CC6" w:rsidRDefault="00E25CC6" w:rsidP="00B63D67">
            <w:pPr>
              <w:pStyle w:val="Tabletextheadingleft"/>
            </w:pPr>
            <w:r>
              <w:t>2015</w:t>
            </w:r>
            <w:r>
              <w:noBreakHyphen/>
              <w:t>16 outputs</w:t>
            </w:r>
          </w:p>
        </w:tc>
        <w:tc>
          <w:tcPr>
            <w:tcW w:w="1911" w:type="pct"/>
            <w:shd w:val="clear" w:color="auto" w:fill="000000"/>
          </w:tcPr>
          <w:p w:rsidR="00E25CC6" w:rsidRDefault="00E25CC6" w:rsidP="00B63D67">
            <w:pPr>
              <w:pStyle w:val="Tabletextheadingleft"/>
            </w:pPr>
            <w:r>
              <w:t>Reason</w:t>
            </w:r>
          </w:p>
        </w:tc>
        <w:tc>
          <w:tcPr>
            <w:tcW w:w="1514" w:type="pct"/>
            <w:shd w:val="clear" w:color="auto" w:fill="000000"/>
          </w:tcPr>
          <w:p w:rsidR="00E25CC6" w:rsidRDefault="00E25CC6" w:rsidP="00B63D67">
            <w:pPr>
              <w:pStyle w:val="Tabletextheadingleft"/>
            </w:pPr>
            <w:r w:rsidRPr="002B7D48">
              <w:rPr>
                <w:color w:val="FFFFFF" w:themeColor="background1"/>
              </w:rPr>
              <w:t>201</w:t>
            </w:r>
            <w:r>
              <w:rPr>
                <w:color w:val="FFFFFF" w:themeColor="background1"/>
              </w:rPr>
              <w:t>6</w:t>
            </w:r>
            <w:r>
              <w:rPr>
                <w:color w:val="FFFFFF" w:themeColor="background1"/>
              </w:rPr>
              <w:noBreakHyphen/>
            </w:r>
            <w:r w:rsidRPr="002B7D48">
              <w:rPr>
                <w:color w:val="FFFFFF" w:themeColor="background1"/>
              </w:rPr>
              <w:t>1</w:t>
            </w:r>
            <w:r>
              <w:rPr>
                <w:color w:val="FFFFFF" w:themeColor="background1"/>
              </w:rPr>
              <w:t>7</w:t>
            </w:r>
            <w:r w:rsidRPr="002B7D48">
              <w:rPr>
                <w:color w:val="FFFFFF" w:themeColor="background1"/>
              </w:rPr>
              <w:t xml:space="preserve"> outputs</w:t>
            </w:r>
          </w:p>
        </w:tc>
      </w:tr>
      <w:tr w:rsidR="00E25CC6" w:rsidTr="00B63D67">
        <w:trPr>
          <w:cantSplit/>
        </w:trPr>
        <w:tc>
          <w:tcPr>
            <w:tcW w:w="1575" w:type="pct"/>
            <w:tcBorders>
              <w:top w:val="nil"/>
              <w:bottom w:val="single" w:sz="6" w:space="0" w:color="auto"/>
            </w:tcBorders>
            <w:shd w:val="clear" w:color="auto" w:fill="auto"/>
          </w:tcPr>
          <w:p w:rsidR="00E25CC6" w:rsidRPr="009E262E" w:rsidRDefault="00E25CC6" w:rsidP="00B63D67">
            <w:pPr>
              <w:pStyle w:val="Tabletextcentred"/>
              <w:jc w:val="left"/>
              <w:rPr>
                <w:szCs w:val="20"/>
              </w:rPr>
            </w:pPr>
            <w:r>
              <w:rPr>
                <w:szCs w:val="20"/>
              </w:rPr>
              <w:t>na</w:t>
            </w:r>
          </w:p>
        </w:tc>
        <w:tc>
          <w:tcPr>
            <w:tcW w:w="1911" w:type="pct"/>
            <w:tcBorders>
              <w:top w:val="nil"/>
              <w:bottom w:val="single" w:sz="6" w:space="0" w:color="auto"/>
            </w:tcBorders>
            <w:shd w:val="clear" w:color="auto" w:fill="auto"/>
          </w:tcPr>
          <w:p w:rsidR="00E25CC6" w:rsidRPr="009E262E" w:rsidRDefault="00E25CC6" w:rsidP="00B63D67">
            <w:pPr>
              <w:pStyle w:val="Tabletextcentred"/>
              <w:jc w:val="left"/>
              <w:rPr>
                <w:szCs w:val="20"/>
              </w:rPr>
            </w:pPr>
            <w:r w:rsidRPr="009E262E">
              <w:rPr>
                <w:szCs w:val="20"/>
              </w:rPr>
              <w:t>Components of the Business Envi</w:t>
            </w:r>
            <w:r>
              <w:rPr>
                <w:szCs w:val="20"/>
              </w:rPr>
              <w:t>ronment Policy Advice output have</w:t>
            </w:r>
            <w:r w:rsidRPr="009E262E">
              <w:rPr>
                <w:szCs w:val="20"/>
              </w:rPr>
              <w:t xml:space="preserve"> moved from the Department of Premier and Cabinet as a result of </w:t>
            </w:r>
            <w:r>
              <w:rPr>
                <w:szCs w:val="20"/>
              </w:rPr>
              <w:t>machinery of government changes</w:t>
            </w:r>
          </w:p>
        </w:tc>
        <w:tc>
          <w:tcPr>
            <w:tcW w:w="1514" w:type="pct"/>
            <w:tcBorders>
              <w:top w:val="nil"/>
              <w:bottom w:val="single" w:sz="6" w:space="0" w:color="auto"/>
            </w:tcBorders>
            <w:shd w:val="clear" w:color="auto" w:fill="auto"/>
          </w:tcPr>
          <w:p w:rsidR="00E25CC6" w:rsidRPr="009E262E" w:rsidRDefault="00E25CC6" w:rsidP="00B63D67">
            <w:pPr>
              <w:pStyle w:val="Tabletextcentred"/>
              <w:jc w:val="left"/>
              <w:rPr>
                <w:szCs w:val="20"/>
              </w:rPr>
            </w:pPr>
            <w:r>
              <w:rPr>
                <w:szCs w:val="20"/>
              </w:rPr>
              <w:t>Business E</w:t>
            </w:r>
            <w:r w:rsidRPr="009E262E">
              <w:rPr>
                <w:szCs w:val="20"/>
              </w:rPr>
              <w:t xml:space="preserve">nvironment </w:t>
            </w:r>
            <w:r>
              <w:rPr>
                <w:szCs w:val="20"/>
              </w:rPr>
              <w:t>P</w:t>
            </w:r>
            <w:r w:rsidRPr="009E262E">
              <w:rPr>
                <w:szCs w:val="20"/>
              </w:rPr>
              <w:t xml:space="preserve">olicy </w:t>
            </w:r>
            <w:r>
              <w:rPr>
                <w:szCs w:val="20"/>
              </w:rPr>
              <w:t>A</w:t>
            </w:r>
            <w:r w:rsidRPr="009E262E">
              <w:rPr>
                <w:szCs w:val="20"/>
              </w:rPr>
              <w:t>dvice</w:t>
            </w:r>
          </w:p>
        </w:tc>
      </w:tr>
      <w:tr w:rsidR="00E25CC6" w:rsidTr="00B63D67">
        <w:trPr>
          <w:cantSplit/>
        </w:trPr>
        <w:tc>
          <w:tcPr>
            <w:tcW w:w="1575" w:type="pct"/>
            <w:tcBorders>
              <w:top w:val="single" w:sz="6" w:space="0" w:color="auto"/>
              <w:bottom w:val="single" w:sz="6" w:space="0" w:color="auto"/>
            </w:tcBorders>
            <w:shd w:val="clear" w:color="auto" w:fill="auto"/>
          </w:tcPr>
          <w:p w:rsidR="00E25CC6" w:rsidRPr="009E262E" w:rsidRDefault="00E25CC6" w:rsidP="00B63D67">
            <w:pPr>
              <w:pStyle w:val="Tabletextcentred"/>
              <w:jc w:val="left"/>
              <w:rPr>
                <w:szCs w:val="20"/>
              </w:rPr>
            </w:pPr>
            <w:r w:rsidRPr="009E262E">
              <w:rPr>
                <w:szCs w:val="20"/>
              </w:rPr>
              <w:t>Land and Infrastructure Investment Management</w:t>
            </w:r>
          </w:p>
          <w:p w:rsidR="00E25CC6" w:rsidRPr="009E262E" w:rsidRDefault="00E25CC6" w:rsidP="00B63D67">
            <w:pPr>
              <w:pStyle w:val="Tabletextcentred"/>
              <w:jc w:val="left"/>
              <w:rPr>
                <w:szCs w:val="20"/>
              </w:rPr>
            </w:pPr>
            <w:r w:rsidRPr="009E262E">
              <w:rPr>
                <w:szCs w:val="20"/>
              </w:rPr>
              <w:t>GBE Performance Monitoring and Financial Risk Management</w:t>
            </w:r>
          </w:p>
        </w:tc>
        <w:tc>
          <w:tcPr>
            <w:tcW w:w="1911" w:type="pct"/>
            <w:tcBorders>
              <w:top w:val="single" w:sz="6" w:space="0" w:color="auto"/>
              <w:bottom w:val="single" w:sz="6" w:space="0" w:color="auto"/>
            </w:tcBorders>
            <w:shd w:val="clear" w:color="auto" w:fill="auto"/>
          </w:tcPr>
          <w:p w:rsidR="00E25CC6" w:rsidRPr="009E262E" w:rsidRDefault="00E25CC6" w:rsidP="008C3A85">
            <w:pPr>
              <w:pStyle w:val="Tabletextcentred"/>
              <w:jc w:val="left"/>
              <w:rPr>
                <w:szCs w:val="20"/>
              </w:rPr>
            </w:pPr>
            <w:r w:rsidRPr="009E262E">
              <w:rPr>
                <w:szCs w:val="20"/>
              </w:rPr>
              <w:t xml:space="preserve">These outputs are now reflected in the Commercial and </w:t>
            </w:r>
            <w:r>
              <w:rPr>
                <w:szCs w:val="20"/>
              </w:rPr>
              <w:t>Infrastructure Advice output</w:t>
            </w:r>
          </w:p>
        </w:tc>
        <w:tc>
          <w:tcPr>
            <w:tcW w:w="1514" w:type="pct"/>
            <w:tcBorders>
              <w:top w:val="single" w:sz="6" w:space="0" w:color="auto"/>
              <w:bottom w:val="single" w:sz="6" w:space="0" w:color="auto"/>
            </w:tcBorders>
            <w:shd w:val="clear" w:color="auto" w:fill="auto"/>
          </w:tcPr>
          <w:p w:rsidR="00E25CC6" w:rsidRPr="009E262E" w:rsidRDefault="00E25CC6" w:rsidP="00B63D67">
            <w:pPr>
              <w:pStyle w:val="Tabletextcentred"/>
              <w:jc w:val="left"/>
              <w:rPr>
                <w:szCs w:val="20"/>
              </w:rPr>
            </w:pPr>
            <w:r>
              <w:rPr>
                <w:szCs w:val="20"/>
              </w:rPr>
              <w:t>Commercial and I</w:t>
            </w:r>
            <w:r w:rsidRPr="009E262E">
              <w:rPr>
                <w:szCs w:val="20"/>
              </w:rPr>
              <w:t xml:space="preserve">nfrastructure </w:t>
            </w:r>
            <w:r>
              <w:rPr>
                <w:szCs w:val="20"/>
              </w:rPr>
              <w:t>A</w:t>
            </w:r>
            <w:r w:rsidRPr="009E262E">
              <w:rPr>
                <w:szCs w:val="20"/>
              </w:rPr>
              <w:t>dvice</w:t>
            </w:r>
          </w:p>
        </w:tc>
      </w:tr>
      <w:tr w:rsidR="00E25CC6" w:rsidTr="00B63D67">
        <w:trPr>
          <w:cantSplit/>
        </w:trPr>
        <w:tc>
          <w:tcPr>
            <w:tcW w:w="1575" w:type="pct"/>
            <w:tcBorders>
              <w:top w:val="single" w:sz="6" w:space="0" w:color="auto"/>
              <w:bottom w:val="single" w:sz="6" w:space="0" w:color="auto"/>
            </w:tcBorders>
            <w:shd w:val="clear" w:color="auto" w:fill="auto"/>
          </w:tcPr>
          <w:p w:rsidR="00E25CC6" w:rsidRPr="009E262E" w:rsidRDefault="00E25CC6" w:rsidP="00B63D67">
            <w:pPr>
              <w:pStyle w:val="Tabletextcentred"/>
              <w:jc w:val="left"/>
              <w:rPr>
                <w:szCs w:val="20"/>
              </w:rPr>
            </w:pPr>
            <w:r w:rsidRPr="009E262E">
              <w:rPr>
                <w:szCs w:val="20"/>
              </w:rPr>
              <w:t>Budget and Financial Policy Advice</w:t>
            </w:r>
          </w:p>
          <w:p w:rsidR="00E25CC6" w:rsidRPr="009E262E" w:rsidRDefault="00E25CC6" w:rsidP="00B63D67">
            <w:pPr>
              <w:pStyle w:val="Tabletextcentred"/>
              <w:jc w:val="left"/>
              <w:rPr>
                <w:szCs w:val="20"/>
              </w:rPr>
            </w:pPr>
            <w:r w:rsidRPr="009E262E">
              <w:rPr>
                <w:szCs w:val="20"/>
              </w:rPr>
              <w:t>Financial Reporting</w:t>
            </w:r>
          </w:p>
          <w:p w:rsidR="00E25CC6" w:rsidRPr="009E262E" w:rsidRDefault="00E25CC6" w:rsidP="00B63D67">
            <w:pPr>
              <w:pStyle w:val="Tabletextcentred"/>
              <w:jc w:val="left"/>
              <w:rPr>
                <w:szCs w:val="20"/>
              </w:rPr>
            </w:pPr>
            <w:r w:rsidRPr="009E262E">
              <w:rPr>
                <w:szCs w:val="20"/>
              </w:rPr>
              <w:t>Financial and Resource Management Frameworks Maintenance and Support</w:t>
            </w:r>
          </w:p>
        </w:tc>
        <w:tc>
          <w:tcPr>
            <w:tcW w:w="1911" w:type="pct"/>
            <w:tcBorders>
              <w:top w:val="single" w:sz="6" w:space="0" w:color="auto"/>
              <w:bottom w:val="single" w:sz="6" w:space="0" w:color="auto"/>
            </w:tcBorders>
            <w:shd w:val="clear" w:color="auto" w:fill="auto"/>
          </w:tcPr>
          <w:p w:rsidR="00E25CC6" w:rsidRPr="009E262E" w:rsidRDefault="00E25CC6" w:rsidP="008C3A85">
            <w:pPr>
              <w:pStyle w:val="Tabletextcentred"/>
              <w:jc w:val="left"/>
              <w:rPr>
                <w:szCs w:val="20"/>
              </w:rPr>
            </w:pPr>
            <w:r w:rsidRPr="009E262E">
              <w:rPr>
                <w:szCs w:val="20"/>
              </w:rPr>
              <w:t xml:space="preserve">These outputs are now reflected in the Budget and </w:t>
            </w:r>
            <w:r>
              <w:rPr>
                <w:szCs w:val="20"/>
              </w:rPr>
              <w:t>Financial Advice output</w:t>
            </w:r>
          </w:p>
        </w:tc>
        <w:tc>
          <w:tcPr>
            <w:tcW w:w="1514" w:type="pct"/>
            <w:tcBorders>
              <w:top w:val="single" w:sz="6" w:space="0" w:color="auto"/>
              <w:bottom w:val="single" w:sz="6" w:space="0" w:color="auto"/>
            </w:tcBorders>
            <w:shd w:val="clear" w:color="auto" w:fill="auto"/>
          </w:tcPr>
          <w:p w:rsidR="00E25CC6" w:rsidRPr="009E262E" w:rsidRDefault="00E25CC6" w:rsidP="00B63D67">
            <w:pPr>
              <w:pStyle w:val="Tabletextcentred"/>
              <w:jc w:val="left"/>
              <w:rPr>
                <w:szCs w:val="20"/>
              </w:rPr>
            </w:pPr>
            <w:r>
              <w:rPr>
                <w:szCs w:val="20"/>
              </w:rPr>
              <w:t>Budget and F</w:t>
            </w:r>
            <w:r w:rsidRPr="009E262E">
              <w:rPr>
                <w:szCs w:val="20"/>
              </w:rPr>
              <w:t xml:space="preserve">inancial </w:t>
            </w:r>
            <w:r>
              <w:rPr>
                <w:szCs w:val="20"/>
              </w:rPr>
              <w:t>A</w:t>
            </w:r>
            <w:r w:rsidRPr="009E262E">
              <w:rPr>
                <w:szCs w:val="20"/>
              </w:rPr>
              <w:t>dvice</w:t>
            </w:r>
          </w:p>
        </w:tc>
      </w:tr>
      <w:tr w:rsidR="00E25CC6" w:rsidTr="00B63D67">
        <w:trPr>
          <w:cantSplit/>
        </w:trPr>
        <w:tc>
          <w:tcPr>
            <w:tcW w:w="1575" w:type="pct"/>
            <w:tcBorders>
              <w:top w:val="single" w:sz="6" w:space="0" w:color="auto"/>
              <w:bottom w:val="single" w:sz="6" w:space="0" w:color="auto"/>
            </w:tcBorders>
            <w:shd w:val="clear" w:color="auto" w:fill="auto"/>
          </w:tcPr>
          <w:p w:rsidR="00E25CC6" w:rsidRPr="009E262E" w:rsidRDefault="00E25CC6" w:rsidP="008C3A85">
            <w:pPr>
              <w:pStyle w:val="Tabletextcentred"/>
              <w:jc w:val="left"/>
              <w:rPr>
                <w:szCs w:val="20"/>
              </w:rPr>
            </w:pPr>
            <w:r w:rsidRPr="009E262E">
              <w:rPr>
                <w:szCs w:val="20"/>
              </w:rPr>
              <w:t xml:space="preserve">Economic and Financial Policy </w:t>
            </w:r>
          </w:p>
        </w:tc>
        <w:tc>
          <w:tcPr>
            <w:tcW w:w="1911" w:type="pct"/>
            <w:tcBorders>
              <w:top w:val="single" w:sz="6" w:space="0" w:color="auto"/>
              <w:bottom w:val="single" w:sz="6" w:space="0" w:color="auto"/>
            </w:tcBorders>
            <w:shd w:val="clear" w:color="auto" w:fill="auto"/>
          </w:tcPr>
          <w:p w:rsidR="00E25CC6" w:rsidRPr="009E262E" w:rsidRDefault="00E25CC6" w:rsidP="00B63D67">
            <w:pPr>
              <w:pStyle w:val="Tabletextcentred"/>
              <w:jc w:val="left"/>
              <w:rPr>
                <w:sz w:val="20"/>
              </w:rPr>
            </w:pPr>
            <w:r w:rsidRPr="009E262E">
              <w:rPr>
                <w:sz w:val="20"/>
              </w:rPr>
              <w:t>This output has been renamed</w:t>
            </w:r>
          </w:p>
        </w:tc>
        <w:tc>
          <w:tcPr>
            <w:tcW w:w="1514" w:type="pct"/>
            <w:tcBorders>
              <w:top w:val="single" w:sz="6" w:space="0" w:color="auto"/>
              <w:bottom w:val="single" w:sz="6" w:space="0" w:color="auto"/>
            </w:tcBorders>
            <w:shd w:val="clear" w:color="auto" w:fill="auto"/>
          </w:tcPr>
          <w:p w:rsidR="00E25CC6" w:rsidRPr="009E262E" w:rsidRDefault="00E25CC6" w:rsidP="00B63D67">
            <w:pPr>
              <w:pStyle w:val="Tabletextcentred"/>
              <w:jc w:val="left"/>
              <w:rPr>
                <w:sz w:val="20"/>
              </w:rPr>
            </w:pPr>
            <w:r>
              <w:rPr>
                <w:sz w:val="20"/>
              </w:rPr>
              <w:t>Economic and Policy A</w:t>
            </w:r>
            <w:r w:rsidRPr="009E262E">
              <w:rPr>
                <w:sz w:val="20"/>
              </w:rPr>
              <w:t>dvice</w:t>
            </w:r>
          </w:p>
        </w:tc>
      </w:tr>
      <w:tr w:rsidR="00E25CC6" w:rsidTr="00B63D67">
        <w:trPr>
          <w:cantSplit/>
        </w:trPr>
        <w:tc>
          <w:tcPr>
            <w:tcW w:w="1575" w:type="pct"/>
            <w:tcBorders>
              <w:top w:val="single" w:sz="6" w:space="0" w:color="auto"/>
              <w:bottom w:val="single" w:sz="12" w:space="0" w:color="auto"/>
            </w:tcBorders>
            <w:shd w:val="clear" w:color="auto" w:fill="auto"/>
          </w:tcPr>
          <w:p w:rsidR="00E25CC6" w:rsidRPr="009E262E" w:rsidRDefault="00E25CC6" w:rsidP="00B63D67">
            <w:pPr>
              <w:pStyle w:val="Tabletextcentred"/>
              <w:jc w:val="left"/>
              <w:rPr>
                <w:szCs w:val="20"/>
              </w:rPr>
            </w:pPr>
            <w:r w:rsidRPr="009E262E">
              <w:rPr>
                <w:szCs w:val="20"/>
              </w:rPr>
              <w:t>Resource Management Services to Government</w:t>
            </w:r>
          </w:p>
        </w:tc>
        <w:tc>
          <w:tcPr>
            <w:tcW w:w="1911" w:type="pct"/>
            <w:tcBorders>
              <w:top w:val="single" w:sz="6" w:space="0" w:color="auto"/>
              <w:bottom w:val="single" w:sz="12" w:space="0" w:color="auto"/>
            </w:tcBorders>
            <w:shd w:val="clear" w:color="auto" w:fill="auto"/>
          </w:tcPr>
          <w:p w:rsidR="00E25CC6" w:rsidRPr="009E262E" w:rsidRDefault="00E25CC6" w:rsidP="00B63D67">
            <w:pPr>
              <w:pStyle w:val="Tabletextcentred"/>
              <w:jc w:val="left"/>
              <w:rPr>
                <w:sz w:val="20"/>
              </w:rPr>
            </w:pPr>
            <w:r w:rsidRPr="009E262E">
              <w:rPr>
                <w:sz w:val="20"/>
              </w:rPr>
              <w:t>This output has been renamed</w:t>
            </w:r>
          </w:p>
        </w:tc>
        <w:tc>
          <w:tcPr>
            <w:tcW w:w="1514" w:type="pct"/>
            <w:tcBorders>
              <w:top w:val="single" w:sz="6" w:space="0" w:color="auto"/>
              <w:bottom w:val="single" w:sz="12" w:space="0" w:color="auto"/>
            </w:tcBorders>
            <w:shd w:val="clear" w:color="auto" w:fill="auto"/>
          </w:tcPr>
          <w:p w:rsidR="00E25CC6" w:rsidRPr="009E262E" w:rsidRDefault="00E25CC6" w:rsidP="00B63D67">
            <w:pPr>
              <w:pStyle w:val="Tabletextcentred"/>
              <w:jc w:val="left"/>
              <w:rPr>
                <w:sz w:val="20"/>
              </w:rPr>
            </w:pPr>
            <w:r w:rsidRPr="009E262E">
              <w:rPr>
                <w:sz w:val="20"/>
              </w:rPr>
              <w:t>Services to Government</w:t>
            </w:r>
          </w:p>
        </w:tc>
      </w:tr>
    </w:tbl>
    <w:p w:rsidR="00E25CC6" w:rsidRDefault="00E25CC6" w:rsidP="009A66FD">
      <w:pPr>
        <w:pStyle w:val="Source"/>
        <w:rPr>
          <w:rFonts w:eastAsiaTheme="minorHAnsi"/>
        </w:rPr>
      </w:pPr>
      <w:r>
        <w:rPr>
          <w:rFonts w:eastAsiaTheme="minorHAnsi"/>
        </w:rPr>
        <w:t>Source: Department of Treasury and Finance</w:t>
      </w:r>
    </w:p>
    <w:p w:rsidR="00E25CC6" w:rsidRDefault="00E25CC6" w:rsidP="009A66FD">
      <w:pPr>
        <w:pStyle w:val="Source"/>
        <w:rPr>
          <w:rFonts w:eastAsiaTheme="minorHAnsi"/>
        </w:rPr>
      </w:pPr>
    </w:p>
    <w:p w:rsidR="00E25CC6" w:rsidRPr="00C25AB4" w:rsidRDefault="00E25CC6" w:rsidP="00C25AB4">
      <w:pPr>
        <w:rPr>
          <w:rFonts w:eastAsiaTheme="minorHAnsi"/>
        </w:rPr>
      </w:pPr>
    </w:p>
    <w:p w:rsidR="00E25CC6" w:rsidRDefault="00E25CC6">
      <w:pPr>
        <w:spacing w:after="0"/>
        <w:rPr>
          <w:rFonts w:eastAsiaTheme="minorHAnsi"/>
        </w:rPr>
      </w:pPr>
      <w:r>
        <w:rPr>
          <w:rFonts w:eastAsiaTheme="minorHAnsi"/>
        </w:rPr>
        <w:br w:type="page"/>
      </w:r>
    </w:p>
    <w:p w:rsidR="00E25CC6" w:rsidRDefault="00E25CC6" w:rsidP="00970B1F">
      <w:pPr>
        <w:rPr>
          <w:rFonts w:eastAsiaTheme="minorHAnsi"/>
        </w:rPr>
      </w:pPr>
      <w:r w:rsidRPr="00B63D67">
        <w:rPr>
          <w:rFonts w:eastAsiaTheme="minorHAnsi"/>
        </w:rPr>
        <w:t>The following table summarises the Department</w:t>
      </w:r>
      <w:r>
        <w:rPr>
          <w:rFonts w:eastAsiaTheme="minorHAnsi"/>
        </w:rPr>
        <w:t>’</w:t>
      </w:r>
      <w:r w:rsidRPr="00B63D67">
        <w:rPr>
          <w:rFonts w:eastAsiaTheme="minorHAnsi"/>
        </w:rPr>
        <w:t>s total output cost.</w:t>
      </w:r>
    </w:p>
    <w:p w:rsidR="00E25CC6" w:rsidRDefault="00E25CC6" w:rsidP="00970B1F">
      <w:pPr>
        <w:pStyle w:val="Tableheading"/>
        <w:rPr>
          <w:rFonts w:eastAsiaTheme="minorHAnsi"/>
        </w:rPr>
      </w:pPr>
      <w:r>
        <w:rPr>
          <w:rFonts w:eastAsiaTheme="minorHAnsi"/>
        </w:rPr>
        <w:t>Table 2.20:</w:t>
      </w:r>
      <w:r>
        <w:rPr>
          <w:rFonts w:eastAsiaTheme="minorHAnsi"/>
        </w:rPr>
        <w:tab/>
        <w:t>Output summary</w:t>
      </w:r>
    </w:p>
    <w:tbl>
      <w:tblPr>
        <w:tblW w:w="7765" w:type="dxa"/>
        <w:tblInd w:w="43" w:type="dxa"/>
        <w:tblLayout w:type="fixed"/>
        <w:tblCellMar>
          <w:left w:w="43" w:type="dxa"/>
          <w:right w:w="43" w:type="dxa"/>
        </w:tblCellMar>
        <w:tblLook w:val="0000" w:firstRow="0" w:lastRow="0" w:firstColumn="0" w:lastColumn="0" w:noHBand="0" w:noVBand="0"/>
      </w:tblPr>
      <w:tblGrid>
        <w:gridCol w:w="3828"/>
        <w:gridCol w:w="984"/>
        <w:gridCol w:w="984"/>
        <w:gridCol w:w="984"/>
        <w:gridCol w:w="985"/>
      </w:tblGrid>
      <w:tr w:rsidR="00E25CC6" w:rsidRPr="00B63D67" w:rsidTr="009A66FD">
        <w:trPr>
          <w:cantSplit/>
          <w:tblHeader/>
        </w:trPr>
        <w:tc>
          <w:tcPr>
            <w:tcW w:w="3828" w:type="dxa"/>
            <w:tcBorders>
              <w:bottom w:val="nil"/>
              <w:right w:val="nil"/>
            </w:tcBorders>
            <w:shd w:val="clear" w:color="auto" w:fill="000000"/>
            <w:vAlign w:val="bottom"/>
          </w:tcPr>
          <w:p w:rsidR="00E25CC6" w:rsidRPr="00B63D67" w:rsidRDefault="00E25CC6" w:rsidP="00B63D67">
            <w:pPr>
              <w:pStyle w:val="Tabletext"/>
              <w:rPr>
                <w:color w:val="FFFFFF"/>
                <w:lang w:eastAsia="en-AU"/>
              </w:rPr>
            </w:pPr>
            <w:r>
              <w:rPr>
                <w:color w:val="FFFFFF"/>
                <w:lang w:eastAsia="en-AU"/>
              </w:rPr>
              <w:t xml:space="preserve"> </w:t>
            </w:r>
          </w:p>
        </w:tc>
        <w:tc>
          <w:tcPr>
            <w:tcW w:w="984" w:type="dxa"/>
            <w:tcBorders>
              <w:left w:val="nil"/>
              <w:bottom w:val="nil"/>
              <w:right w:val="nil"/>
            </w:tcBorders>
            <w:shd w:val="clear" w:color="auto" w:fill="000000"/>
            <w:vAlign w:val="bottom"/>
          </w:tcPr>
          <w:p w:rsidR="00E25CC6" w:rsidRPr="00B63D67" w:rsidRDefault="00E25CC6" w:rsidP="00B63D67">
            <w:pPr>
              <w:pStyle w:val="Tabletextheading"/>
              <w:rPr>
                <w:color w:val="FFFFFF"/>
                <w:sz w:val="19"/>
                <w:lang w:eastAsia="en-AU"/>
              </w:rPr>
            </w:pPr>
            <w:r w:rsidRPr="00B63D67">
              <w:rPr>
                <w:color w:val="FFFFFF"/>
                <w:sz w:val="19"/>
                <w:lang w:eastAsia="en-AU"/>
              </w:rPr>
              <w:t>2015</w:t>
            </w:r>
            <w:r>
              <w:rPr>
                <w:color w:val="FFFFFF"/>
                <w:sz w:val="19"/>
                <w:lang w:eastAsia="en-AU"/>
              </w:rPr>
              <w:noBreakHyphen/>
            </w:r>
            <w:r w:rsidRPr="00B63D67">
              <w:rPr>
                <w:color w:val="FFFFFF"/>
                <w:sz w:val="19"/>
                <w:lang w:eastAsia="en-AU"/>
              </w:rPr>
              <w:t>16</w:t>
            </w:r>
          </w:p>
        </w:tc>
        <w:tc>
          <w:tcPr>
            <w:tcW w:w="984" w:type="dxa"/>
            <w:tcBorders>
              <w:left w:val="nil"/>
              <w:bottom w:val="nil"/>
              <w:right w:val="nil"/>
            </w:tcBorders>
            <w:shd w:val="clear" w:color="auto" w:fill="000000"/>
            <w:vAlign w:val="bottom"/>
          </w:tcPr>
          <w:p w:rsidR="00E25CC6" w:rsidRPr="00B63D67" w:rsidRDefault="00E25CC6" w:rsidP="00B63D67">
            <w:pPr>
              <w:pStyle w:val="Tabletextheading"/>
              <w:rPr>
                <w:color w:val="FFFFFF"/>
                <w:sz w:val="19"/>
                <w:lang w:eastAsia="en-AU"/>
              </w:rPr>
            </w:pPr>
            <w:r w:rsidRPr="00B63D67">
              <w:rPr>
                <w:color w:val="FFFFFF"/>
                <w:sz w:val="19"/>
                <w:lang w:eastAsia="en-AU"/>
              </w:rPr>
              <w:t>2015</w:t>
            </w:r>
            <w:r>
              <w:rPr>
                <w:color w:val="FFFFFF"/>
                <w:sz w:val="19"/>
                <w:lang w:eastAsia="en-AU"/>
              </w:rPr>
              <w:noBreakHyphen/>
            </w:r>
            <w:r w:rsidRPr="00B63D67">
              <w:rPr>
                <w:color w:val="FFFFFF"/>
                <w:sz w:val="19"/>
                <w:lang w:eastAsia="en-AU"/>
              </w:rPr>
              <w:t>16</w:t>
            </w:r>
          </w:p>
        </w:tc>
        <w:tc>
          <w:tcPr>
            <w:tcW w:w="984" w:type="dxa"/>
            <w:tcBorders>
              <w:left w:val="nil"/>
              <w:bottom w:val="nil"/>
              <w:right w:val="nil"/>
            </w:tcBorders>
            <w:shd w:val="clear" w:color="auto" w:fill="000000"/>
            <w:vAlign w:val="bottom"/>
          </w:tcPr>
          <w:p w:rsidR="00E25CC6" w:rsidRPr="00B63D67" w:rsidRDefault="00E25CC6" w:rsidP="00B63D67">
            <w:pPr>
              <w:pStyle w:val="Tabletextheading"/>
              <w:rPr>
                <w:color w:val="FFFFFF"/>
                <w:sz w:val="19"/>
                <w:lang w:eastAsia="en-AU"/>
              </w:rPr>
            </w:pPr>
            <w:r w:rsidRPr="00B63D67">
              <w:rPr>
                <w:color w:val="FFFFFF"/>
                <w:sz w:val="19"/>
                <w:lang w:eastAsia="en-AU"/>
              </w:rPr>
              <w:t>2016</w:t>
            </w:r>
            <w:r>
              <w:rPr>
                <w:color w:val="FFFFFF"/>
                <w:sz w:val="19"/>
                <w:lang w:eastAsia="en-AU"/>
              </w:rPr>
              <w:noBreakHyphen/>
            </w:r>
            <w:r w:rsidRPr="00B63D67">
              <w:rPr>
                <w:color w:val="FFFFFF"/>
                <w:sz w:val="19"/>
                <w:lang w:eastAsia="en-AU"/>
              </w:rPr>
              <w:t>17</w:t>
            </w:r>
          </w:p>
        </w:tc>
        <w:tc>
          <w:tcPr>
            <w:tcW w:w="985" w:type="dxa"/>
            <w:tcBorders>
              <w:left w:val="nil"/>
              <w:bottom w:val="nil"/>
            </w:tcBorders>
            <w:shd w:val="clear" w:color="auto" w:fill="000000"/>
            <w:vAlign w:val="bottom"/>
          </w:tcPr>
          <w:p w:rsidR="00E25CC6" w:rsidRPr="00B63D67" w:rsidRDefault="00E25CC6" w:rsidP="00276B62">
            <w:pPr>
              <w:pStyle w:val="Tabletextheading"/>
              <w:rPr>
                <w:color w:val="FFFFFF"/>
                <w:sz w:val="19"/>
                <w:vertAlign w:val="superscript"/>
                <w:lang w:eastAsia="en-AU"/>
              </w:rPr>
            </w:pPr>
            <w:r w:rsidRPr="00B63D67">
              <w:rPr>
                <w:color w:val="FFFFFF"/>
                <w:sz w:val="19"/>
                <w:lang w:eastAsia="en-AU"/>
              </w:rPr>
              <w:t>Variation</w:t>
            </w:r>
            <w:r>
              <w:rPr>
                <w:color w:val="FFFFFF"/>
                <w:sz w:val="19"/>
                <w:lang w:eastAsia="en-AU"/>
              </w:rPr>
              <w:t> </w:t>
            </w:r>
            <w:r w:rsidRPr="00B63D67">
              <w:rPr>
                <w:color w:val="FFFFFF"/>
                <w:sz w:val="19"/>
                <w:vertAlign w:val="superscript"/>
                <w:lang w:eastAsia="en-AU"/>
              </w:rPr>
              <w:t>(a)</w:t>
            </w:r>
          </w:p>
        </w:tc>
      </w:tr>
      <w:tr w:rsidR="00E25CC6" w:rsidRPr="00B63D67" w:rsidTr="009A66FD">
        <w:trPr>
          <w:cantSplit/>
          <w:tblHeader/>
        </w:trPr>
        <w:tc>
          <w:tcPr>
            <w:tcW w:w="3828" w:type="dxa"/>
            <w:tcBorders>
              <w:top w:val="nil"/>
              <w:bottom w:val="single" w:sz="6" w:space="0" w:color="auto"/>
              <w:right w:val="nil"/>
            </w:tcBorders>
            <w:shd w:val="clear" w:color="auto" w:fill="000000"/>
            <w:vAlign w:val="bottom"/>
          </w:tcPr>
          <w:p w:rsidR="00E25CC6" w:rsidRPr="00B63D67" w:rsidRDefault="00E25CC6" w:rsidP="00B63D67">
            <w:pPr>
              <w:pStyle w:val="Tabletext"/>
              <w:rPr>
                <w:color w:val="FFFFFF"/>
                <w:lang w:eastAsia="en-AU"/>
              </w:rPr>
            </w:pPr>
            <w:r>
              <w:rPr>
                <w:color w:val="FFFFFF"/>
                <w:lang w:eastAsia="en-AU"/>
              </w:rPr>
              <w:t xml:space="preserve"> </w:t>
            </w:r>
          </w:p>
        </w:tc>
        <w:tc>
          <w:tcPr>
            <w:tcW w:w="984" w:type="dxa"/>
            <w:tcBorders>
              <w:top w:val="nil"/>
              <w:left w:val="nil"/>
              <w:bottom w:val="single" w:sz="6" w:space="0" w:color="auto"/>
              <w:right w:val="nil"/>
            </w:tcBorders>
            <w:shd w:val="clear" w:color="auto" w:fill="000000"/>
            <w:vAlign w:val="bottom"/>
          </w:tcPr>
          <w:p w:rsidR="00E25CC6" w:rsidRPr="00B63D67" w:rsidRDefault="00E25CC6" w:rsidP="00B63D67">
            <w:pPr>
              <w:pStyle w:val="Tabletextheading"/>
              <w:rPr>
                <w:color w:val="FFFFFF"/>
                <w:sz w:val="19"/>
                <w:lang w:eastAsia="en-AU"/>
              </w:rPr>
            </w:pPr>
            <w:r w:rsidRPr="00B63D67">
              <w:rPr>
                <w:color w:val="FFFFFF"/>
                <w:sz w:val="19"/>
                <w:lang w:eastAsia="en-AU"/>
              </w:rPr>
              <w:t>budget</w:t>
            </w:r>
          </w:p>
        </w:tc>
        <w:tc>
          <w:tcPr>
            <w:tcW w:w="984" w:type="dxa"/>
            <w:tcBorders>
              <w:top w:val="nil"/>
              <w:left w:val="nil"/>
              <w:bottom w:val="single" w:sz="6" w:space="0" w:color="auto"/>
              <w:right w:val="nil"/>
            </w:tcBorders>
            <w:shd w:val="clear" w:color="auto" w:fill="000000"/>
            <w:vAlign w:val="bottom"/>
          </w:tcPr>
          <w:p w:rsidR="00E25CC6" w:rsidRPr="00B63D67" w:rsidRDefault="00E25CC6" w:rsidP="00B63D67">
            <w:pPr>
              <w:pStyle w:val="Tabletextheading"/>
              <w:rPr>
                <w:color w:val="FFFFFF"/>
                <w:sz w:val="19"/>
                <w:lang w:eastAsia="en-AU"/>
              </w:rPr>
            </w:pPr>
            <w:r w:rsidRPr="00B63D67">
              <w:rPr>
                <w:color w:val="FFFFFF"/>
                <w:sz w:val="19"/>
                <w:lang w:eastAsia="en-AU"/>
              </w:rPr>
              <w:t>revised</w:t>
            </w:r>
          </w:p>
        </w:tc>
        <w:tc>
          <w:tcPr>
            <w:tcW w:w="984" w:type="dxa"/>
            <w:tcBorders>
              <w:top w:val="nil"/>
              <w:left w:val="nil"/>
              <w:bottom w:val="single" w:sz="6" w:space="0" w:color="auto"/>
              <w:right w:val="nil"/>
            </w:tcBorders>
            <w:shd w:val="clear" w:color="auto" w:fill="000000"/>
            <w:vAlign w:val="bottom"/>
          </w:tcPr>
          <w:p w:rsidR="00E25CC6" w:rsidRPr="00B63D67" w:rsidRDefault="00E25CC6" w:rsidP="00B63D67">
            <w:pPr>
              <w:pStyle w:val="Tabletextheading"/>
              <w:rPr>
                <w:color w:val="FFFFFF"/>
                <w:sz w:val="19"/>
                <w:lang w:eastAsia="en-AU"/>
              </w:rPr>
            </w:pPr>
            <w:r w:rsidRPr="00B63D67">
              <w:rPr>
                <w:color w:val="FFFFFF"/>
                <w:sz w:val="19"/>
                <w:lang w:eastAsia="en-AU"/>
              </w:rPr>
              <w:t>budget</w:t>
            </w:r>
          </w:p>
        </w:tc>
        <w:tc>
          <w:tcPr>
            <w:tcW w:w="985" w:type="dxa"/>
            <w:tcBorders>
              <w:top w:val="nil"/>
              <w:left w:val="nil"/>
              <w:bottom w:val="single" w:sz="6" w:space="0" w:color="auto"/>
            </w:tcBorders>
            <w:shd w:val="clear" w:color="auto" w:fill="000000"/>
            <w:vAlign w:val="bottom"/>
          </w:tcPr>
          <w:p w:rsidR="00E25CC6" w:rsidRPr="00B63D67" w:rsidRDefault="00E25CC6" w:rsidP="00B63D67">
            <w:pPr>
              <w:pStyle w:val="Tabletextheading"/>
              <w:rPr>
                <w:color w:val="FFFFFF"/>
                <w:sz w:val="19"/>
                <w:lang w:eastAsia="en-AU"/>
              </w:rPr>
            </w:pPr>
            <w:r w:rsidRPr="00B63D67">
              <w:rPr>
                <w:color w:val="FFFFFF"/>
                <w:sz w:val="19"/>
                <w:lang w:eastAsia="en-AU"/>
              </w:rPr>
              <w:t>%</w:t>
            </w:r>
          </w:p>
        </w:tc>
      </w:tr>
      <w:tr w:rsidR="00E25CC6" w:rsidRPr="00B859D9" w:rsidTr="00ED1176">
        <w:trPr>
          <w:cantSplit/>
        </w:trPr>
        <w:tc>
          <w:tcPr>
            <w:tcW w:w="3828" w:type="dxa"/>
            <w:tcBorders>
              <w:top w:val="single" w:sz="6" w:space="0" w:color="auto"/>
              <w:left w:val="nil"/>
              <w:right w:val="nil"/>
            </w:tcBorders>
            <w:shd w:val="clear" w:color="auto" w:fill="FFFFFF"/>
          </w:tcPr>
          <w:p w:rsidR="00E25CC6" w:rsidRPr="00B859D9" w:rsidRDefault="00E25CC6" w:rsidP="00B63D67">
            <w:pPr>
              <w:pStyle w:val="Tabletext"/>
              <w:ind w:left="227" w:hanging="227"/>
            </w:pPr>
            <w:r w:rsidRPr="00B859D9">
              <w:t>Budget and Financial Advice</w:t>
            </w:r>
          </w:p>
        </w:tc>
        <w:tc>
          <w:tcPr>
            <w:tcW w:w="984" w:type="dxa"/>
            <w:tcBorders>
              <w:top w:val="single" w:sz="6" w:space="0" w:color="auto"/>
              <w:left w:val="nil"/>
              <w:right w:val="nil"/>
            </w:tcBorders>
            <w:shd w:val="clear" w:color="auto" w:fill="FFFFFF"/>
          </w:tcPr>
          <w:p w:rsidR="00E25CC6" w:rsidRPr="00B859D9" w:rsidRDefault="00E25CC6" w:rsidP="00B63D67">
            <w:pPr>
              <w:pStyle w:val="TableofFigures"/>
              <w:rPr>
                <w:sz w:val="19"/>
              </w:rPr>
            </w:pPr>
            <w:r w:rsidRPr="00B859D9">
              <w:rPr>
                <w:sz w:val="19"/>
              </w:rPr>
              <w:t>25.7</w:t>
            </w:r>
          </w:p>
        </w:tc>
        <w:tc>
          <w:tcPr>
            <w:tcW w:w="984" w:type="dxa"/>
            <w:tcBorders>
              <w:top w:val="single" w:sz="6" w:space="0" w:color="auto"/>
              <w:left w:val="nil"/>
              <w:right w:val="nil"/>
            </w:tcBorders>
            <w:shd w:val="clear" w:color="auto" w:fill="FFFFFF"/>
          </w:tcPr>
          <w:p w:rsidR="00E25CC6" w:rsidRPr="00B859D9" w:rsidRDefault="00E25CC6" w:rsidP="00B63D67">
            <w:pPr>
              <w:pStyle w:val="TableofFigures"/>
              <w:rPr>
                <w:sz w:val="19"/>
              </w:rPr>
            </w:pPr>
            <w:r w:rsidRPr="00B859D9">
              <w:rPr>
                <w:sz w:val="19"/>
              </w:rPr>
              <w:t>24.7</w:t>
            </w:r>
          </w:p>
        </w:tc>
        <w:tc>
          <w:tcPr>
            <w:tcW w:w="984" w:type="dxa"/>
            <w:tcBorders>
              <w:top w:val="single" w:sz="6" w:space="0" w:color="auto"/>
              <w:left w:val="nil"/>
              <w:right w:val="nil"/>
            </w:tcBorders>
            <w:shd w:val="clear" w:color="auto" w:fill="FFFFFF"/>
          </w:tcPr>
          <w:p w:rsidR="00E25CC6" w:rsidRPr="00B859D9" w:rsidRDefault="00E25CC6" w:rsidP="00B63D67">
            <w:pPr>
              <w:pStyle w:val="TableofFigures"/>
              <w:rPr>
                <w:sz w:val="19"/>
              </w:rPr>
            </w:pPr>
            <w:r w:rsidRPr="00B859D9">
              <w:rPr>
                <w:sz w:val="19"/>
              </w:rPr>
              <w:t>25.7</w:t>
            </w:r>
          </w:p>
        </w:tc>
        <w:tc>
          <w:tcPr>
            <w:tcW w:w="985" w:type="dxa"/>
            <w:tcBorders>
              <w:top w:val="single" w:sz="6" w:space="0" w:color="auto"/>
              <w:left w:val="nil"/>
              <w:right w:val="nil"/>
            </w:tcBorders>
            <w:shd w:val="clear" w:color="auto" w:fill="FFFFFF"/>
          </w:tcPr>
          <w:p w:rsidR="00E25CC6" w:rsidRPr="00B859D9" w:rsidRDefault="00E25CC6" w:rsidP="00B63D67">
            <w:pPr>
              <w:pStyle w:val="TableofFigures"/>
              <w:rPr>
                <w:sz w:val="19"/>
              </w:rPr>
            </w:pPr>
            <w:r w:rsidRPr="00B859D9">
              <w:rPr>
                <w:sz w:val="19"/>
              </w:rPr>
              <w:t>..</w:t>
            </w:r>
          </w:p>
        </w:tc>
      </w:tr>
      <w:tr w:rsidR="00E25CC6" w:rsidRPr="00B859D9" w:rsidTr="00ED1176">
        <w:trPr>
          <w:cantSplit/>
        </w:trPr>
        <w:tc>
          <w:tcPr>
            <w:tcW w:w="3828" w:type="dxa"/>
            <w:tcBorders>
              <w:top w:val="nil"/>
              <w:left w:val="nil"/>
              <w:right w:val="nil"/>
            </w:tcBorders>
            <w:shd w:val="clear" w:color="000000" w:fill="FFFFFF"/>
          </w:tcPr>
          <w:p w:rsidR="00E25CC6" w:rsidRPr="00B859D9" w:rsidRDefault="00E25CC6" w:rsidP="009E0359">
            <w:pPr>
              <w:pStyle w:val="Tabletext"/>
              <w:ind w:left="227" w:hanging="227"/>
            </w:pPr>
            <w:r w:rsidRPr="00B859D9">
              <w:t>Revenue Management Services to Government</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93.8</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91.7</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89.9</w:t>
            </w:r>
          </w:p>
        </w:tc>
        <w:tc>
          <w:tcPr>
            <w:tcW w:w="985"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(4.2)</w:t>
            </w:r>
          </w:p>
        </w:tc>
      </w:tr>
      <w:tr w:rsidR="00E25CC6" w:rsidRPr="00B859D9" w:rsidTr="009A66FD">
        <w:trPr>
          <w:cantSplit/>
        </w:trPr>
        <w:tc>
          <w:tcPr>
            <w:tcW w:w="3828" w:type="dxa"/>
            <w:tcBorders>
              <w:top w:val="nil"/>
              <w:left w:val="nil"/>
              <w:right w:val="nil"/>
            </w:tcBorders>
            <w:shd w:val="clear" w:color="auto" w:fill="FFFFFF"/>
          </w:tcPr>
          <w:p w:rsidR="00E25CC6" w:rsidRPr="00B859D9" w:rsidRDefault="00E25CC6" w:rsidP="00B63D67">
            <w:pPr>
              <w:pStyle w:val="Tabletext"/>
              <w:ind w:left="227" w:hanging="227"/>
            </w:pPr>
            <w:r w:rsidRPr="00B859D9">
              <w:t xml:space="preserve">Economic and Policy Advice </w:t>
            </w:r>
            <w:r w:rsidRPr="00B859D9">
              <w:rPr>
                <w:vertAlign w:val="superscript"/>
              </w:rPr>
              <w:t>(b)</w:t>
            </w:r>
          </w:p>
        </w:tc>
        <w:tc>
          <w:tcPr>
            <w:tcW w:w="984" w:type="dxa"/>
            <w:tcBorders>
              <w:top w:val="nil"/>
              <w:left w:val="nil"/>
              <w:right w:val="nil"/>
            </w:tcBorders>
            <w:shd w:val="clear" w:color="auto" w:fill="FFFFFF"/>
          </w:tcPr>
          <w:p w:rsidR="00E25CC6" w:rsidRPr="00B859D9" w:rsidRDefault="00E25CC6" w:rsidP="00B63D67">
            <w:pPr>
              <w:pStyle w:val="TableofFigures"/>
              <w:rPr>
                <w:sz w:val="19"/>
              </w:rPr>
            </w:pPr>
            <w:r w:rsidRPr="00B859D9">
              <w:rPr>
                <w:sz w:val="19"/>
              </w:rPr>
              <w:t>17.4</w:t>
            </w:r>
          </w:p>
        </w:tc>
        <w:tc>
          <w:tcPr>
            <w:tcW w:w="984" w:type="dxa"/>
            <w:tcBorders>
              <w:top w:val="nil"/>
              <w:left w:val="nil"/>
              <w:right w:val="nil"/>
            </w:tcBorders>
            <w:shd w:val="clear" w:color="auto" w:fill="FFFFFF"/>
          </w:tcPr>
          <w:p w:rsidR="00E25CC6" w:rsidRPr="00B859D9" w:rsidRDefault="00E25CC6" w:rsidP="00B63D67">
            <w:pPr>
              <w:pStyle w:val="TableofFigures"/>
              <w:rPr>
                <w:sz w:val="19"/>
              </w:rPr>
            </w:pPr>
            <w:r w:rsidRPr="00B859D9">
              <w:rPr>
                <w:sz w:val="19"/>
              </w:rPr>
              <w:t>19.6</w:t>
            </w:r>
          </w:p>
        </w:tc>
        <w:tc>
          <w:tcPr>
            <w:tcW w:w="984" w:type="dxa"/>
            <w:tcBorders>
              <w:top w:val="nil"/>
              <w:left w:val="nil"/>
              <w:right w:val="nil"/>
            </w:tcBorders>
            <w:shd w:val="clear" w:color="auto" w:fill="FFFFFF"/>
          </w:tcPr>
          <w:p w:rsidR="00E25CC6" w:rsidRPr="00B859D9" w:rsidRDefault="00E25CC6" w:rsidP="00B63D67">
            <w:pPr>
              <w:pStyle w:val="TableofFigures"/>
              <w:rPr>
                <w:sz w:val="19"/>
              </w:rPr>
            </w:pPr>
            <w:r w:rsidRPr="00B859D9">
              <w:rPr>
                <w:sz w:val="19"/>
              </w:rPr>
              <w:t>23.1</w:t>
            </w:r>
          </w:p>
        </w:tc>
        <w:tc>
          <w:tcPr>
            <w:tcW w:w="985" w:type="dxa"/>
            <w:tcBorders>
              <w:top w:val="nil"/>
              <w:left w:val="nil"/>
              <w:right w:val="nil"/>
            </w:tcBorders>
            <w:shd w:val="clear" w:color="auto" w:fill="FFFFFF"/>
          </w:tcPr>
          <w:p w:rsidR="00E25CC6" w:rsidRPr="00B859D9" w:rsidRDefault="00E25CC6" w:rsidP="00B63D67">
            <w:pPr>
              <w:pStyle w:val="TableofFigures"/>
              <w:rPr>
                <w:sz w:val="19"/>
              </w:rPr>
            </w:pPr>
            <w:r w:rsidRPr="00B859D9">
              <w:rPr>
                <w:sz w:val="19"/>
              </w:rPr>
              <w:t>32.8</w:t>
            </w:r>
          </w:p>
        </w:tc>
      </w:tr>
      <w:tr w:rsidR="00E25CC6" w:rsidRPr="00B859D9" w:rsidTr="009E0359">
        <w:trPr>
          <w:cantSplit/>
        </w:trPr>
        <w:tc>
          <w:tcPr>
            <w:tcW w:w="3828" w:type="dxa"/>
            <w:tcBorders>
              <w:top w:val="nil"/>
              <w:left w:val="nil"/>
              <w:right w:val="nil"/>
            </w:tcBorders>
            <w:shd w:val="clear" w:color="000000" w:fill="FFFFFF"/>
          </w:tcPr>
          <w:p w:rsidR="00E25CC6" w:rsidRPr="00B859D9" w:rsidRDefault="00E25CC6" w:rsidP="009E0359">
            <w:pPr>
              <w:pStyle w:val="Tabletext"/>
              <w:ind w:left="227" w:hanging="227"/>
            </w:pPr>
            <w:r w:rsidRPr="00B859D9">
              <w:t xml:space="preserve">Economic Regulatory Services </w:t>
            </w:r>
            <w:r w:rsidRPr="00B859D9">
              <w:rPr>
                <w:vertAlign w:val="superscript"/>
              </w:rPr>
              <w:t>(e)</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17.6</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21.6</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24.6</w:t>
            </w:r>
          </w:p>
        </w:tc>
        <w:tc>
          <w:tcPr>
            <w:tcW w:w="985"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39.8</w:t>
            </w:r>
          </w:p>
        </w:tc>
      </w:tr>
      <w:tr w:rsidR="00E25CC6" w:rsidRPr="00B859D9" w:rsidTr="009E0359">
        <w:trPr>
          <w:cantSplit/>
        </w:trPr>
        <w:tc>
          <w:tcPr>
            <w:tcW w:w="3828" w:type="dxa"/>
            <w:tcBorders>
              <w:top w:val="nil"/>
              <w:left w:val="nil"/>
              <w:right w:val="nil"/>
            </w:tcBorders>
            <w:shd w:val="clear" w:color="000000" w:fill="FFFFFF"/>
          </w:tcPr>
          <w:p w:rsidR="00E25CC6" w:rsidRPr="00B859D9" w:rsidRDefault="00E25CC6" w:rsidP="009E0359">
            <w:pPr>
              <w:pStyle w:val="Tabletext"/>
              <w:ind w:left="227" w:hanging="227"/>
            </w:pPr>
            <w:r w:rsidRPr="00B859D9">
              <w:t xml:space="preserve">Business Environment Policy Advice </w:t>
            </w:r>
            <w:r w:rsidRPr="00B859D9">
              <w:rPr>
                <w:vertAlign w:val="superscript"/>
              </w:rPr>
              <w:t>(d)</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4.2</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1.8</w:t>
            </w:r>
          </w:p>
        </w:tc>
        <w:tc>
          <w:tcPr>
            <w:tcW w:w="984"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2.8</w:t>
            </w:r>
          </w:p>
        </w:tc>
        <w:tc>
          <w:tcPr>
            <w:tcW w:w="985" w:type="dxa"/>
            <w:tcBorders>
              <w:top w:val="nil"/>
              <w:left w:val="nil"/>
              <w:right w:val="nil"/>
            </w:tcBorders>
            <w:shd w:val="clear" w:color="000000" w:fill="FFFFFF"/>
          </w:tcPr>
          <w:p w:rsidR="00E25CC6" w:rsidRPr="00B859D9" w:rsidRDefault="00E25CC6" w:rsidP="009E0359">
            <w:pPr>
              <w:pStyle w:val="TableofFigures"/>
              <w:rPr>
                <w:sz w:val="19"/>
              </w:rPr>
            </w:pPr>
            <w:r w:rsidRPr="00B859D9">
              <w:rPr>
                <w:sz w:val="19"/>
              </w:rPr>
              <w:t>(33.3)</w:t>
            </w:r>
          </w:p>
        </w:tc>
      </w:tr>
      <w:tr w:rsidR="00E25CC6" w:rsidRPr="00B859D9" w:rsidTr="009A66FD">
        <w:trPr>
          <w:cantSplit/>
        </w:trPr>
        <w:tc>
          <w:tcPr>
            <w:tcW w:w="3828" w:type="dxa"/>
            <w:tcBorders>
              <w:top w:val="nil"/>
              <w:left w:val="nil"/>
              <w:right w:val="nil"/>
            </w:tcBorders>
            <w:shd w:val="clear" w:color="000000" w:fill="FFFFFF"/>
          </w:tcPr>
          <w:p w:rsidR="00E25CC6" w:rsidRPr="00B859D9" w:rsidRDefault="00E25CC6" w:rsidP="00B63D67">
            <w:pPr>
              <w:pStyle w:val="Tabletext"/>
              <w:ind w:left="227" w:hanging="227"/>
            </w:pPr>
            <w:r w:rsidRPr="00B859D9">
              <w:t xml:space="preserve">Commercial and Infrastructure Advice </w:t>
            </w:r>
            <w:r w:rsidRPr="00B859D9">
              <w:rPr>
                <w:vertAlign w:val="superscript"/>
              </w:rPr>
              <w:t>(c)</w:t>
            </w:r>
          </w:p>
        </w:tc>
        <w:tc>
          <w:tcPr>
            <w:tcW w:w="984"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42.7</w:t>
            </w:r>
          </w:p>
        </w:tc>
        <w:tc>
          <w:tcPr>
            <w:tcW w:w="984"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57.6</w:t>
            </w:r>
          </w:p>
        </w:tc>
        <w:tc>
          <w:tcPr>
            <w:tcW w:w="984"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48.2</w:t>
            </w:r>
          </w:p>
        </w:tc>
        <w:tc>
          <w:tcPr>
            <w:tcW w:w="985"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12.9</w:t>
            </w:r>
          </w:p>
        </w:tc>
      </w:tr>
      <w:tr w:rsidR="00E25CC6" w:rsidRPr="00B859D9" w:rsidTr="009A66FD">
        <w:trPr>
          <w:cantSplit/>
        </w:trPr>
        <w:tc>
          <w:tcPr>
            <w:tcW w:w="3828" w:type="dxa"/>
            <w:tcBorders>
              <w:top w:val="nil"/>
              <w:left w:val="nil"/>
              <w:right w:val="nil"/>
            </w:tcBorders>
            <w:shd w:val="clear" w:color="000000" w:fill="FFFFFF"/>
          </w:tcPr>
          <w:p w:rsidR="00E25CC6" w:rsidRPr="00B859D9" w:rsidRDefault="00E25CC6" w:rsidP="00B63D67">
            <w:pPr>
              <w:pStyle w:val="Tabletext"/>
              <w:ind w:left="227" w:hanging="227"/>
            </w:pPr>
            <w:r w:rsidRPr="00B859D9">
              <w:t>Services to Government</w:t>
            </w:r>
          </w:p>
        </w:tc>
        <w:tc>
          <w:tcPr>
            <w:tcW w:w="984"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44.7</w:t>
            </w:r>
          </w:p>
        </w:tc>
        <w:tc>
          <w:tcPr>
            <w:tcW w:w="984"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41.5</w:t>
            </w:r>
          </w:p>
        </w:tc>
        <w:tc>
          <w:tcPr>
            <w:tcW w:w="984"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43.8</w:t>
            </w:r>
          </w:p>
        </w:tc>
        <w:tc>
          <w:tcPr>
            <w:tcW w:w="985" w:type="dxa"/>
            <w:tcBorders>
              <w:top w:val="nil"/>
              <w:left w:val="nil"/>
              <w:right w:val="nil"/>
            </w:tcBorders>
            <w:shd w:val="clear" w:color="000000" w:fill="FFFFFF"/>
          </w:tcPr>
          <w:p w:rsidR="00E25CC6" w:rsidRPr="00B859D9" w:rsidRDefault="00E25CC6" w:rsidP="00B63D67">
            <w:pPr>
              <w:pStyle w:val="TableofFigures"/>
              <w:rPr>
                <w:sz w:val="19"/>
              </w:rPr>
            </w:pPr>
            <w:r w:rsidRPr="00B859D9">
              <w:rPr>
                <w:sz w:val="19"/>
              </w:rPr>
              <w:t>(2.0)</w:t>
            </w:r>
          </w:p>
        </w:tc>
      </w:tr>
      <w:tr w:rsidR="00E25CC6" w:rsidRPr="00B63D67" w:rsidTr="009A66FD">
        <w:trPr>
          <w:cantSplit/>
        </w:trPr>
        <w:tc>
          <w:tcPr>
            <w:tcW w:w="3828" w:type="dxa"/>
            <w:tcBorders>
              <w:top w:val="single" w:sz="6" w:space="0" w:color="auto"/>
              <w:left w:val="nil"/>
              <w:bottom w:val="single" w:sz="12" w:space="0" w:color="auto"/>
              <w:right w:val="nil"/>
            </w:tcBorders>
            <w:shd w:val="clear" w:color="auto" w:fill="FFFFFF"/>
          </w:tcPr>
          <w:p w:rsidR="00E25CC6" w:rsidRPr="00B63D67" w:rsidRDefault="00E25CC6" w:rsidP="00B63D67">
            <w:pPr>
              <w:pStyle w:val="Tabletext"/>
              <w:ind w:left="227" w:hanging="227"/>
              <w:rPr>
                <w:b/>
                <w:bCs/>
                <w:color w:val="000000"/>
                <w:lang w:eastAsia="en-AU"/>
              </w:rPr>
            </w:pPr>
            <w:r w:rsidRPr="00B63D67">
              <w:rPr>
                <w:b/>
                <w:bCs/>
                <w:color w:val="000000"/>
                <w:lang w:eastAsia="en-AU"/>
              </w:rPr>
              <w:t>Total</w:t>
            </w:r>
          </w:p>
        </w:tc>
        <w:tc>
          <w:tcPr>
            <w:tcW w:w="984" w:type="dxa"/>
            <w:tcBorders>
              <w:top w:val="single" w:sz="6" w:space="0" w:color="auto"/>
              <w:left w:val="nil"/>
              <w:bottom w:val="single" w:sz="12" w:space="0" w:color="auto"/>
              <w:right w:val="nil"/>
            </w:tcBorders>
            <w:shd w:val="clear" w:color="auto" w:fill="FFFFFF"/>
          </w:tcPr>
          <w:p w:rsidR="00E25CC6" w:rsidRPr="00B63D67" w:rsidRDefault="00E25CC6" w:rsidP="00B63D67">
            <w:pPr>
              <w:pStyle w:val="TableofFigures"/>
              <w:rPr>
                <w:b/>
                <w:bCs/>
                <w:color w:val="000000"/>
                <w:sz w:val="19"/>
                <w:szCs w:val="22"/>
                <w:lang w:eastAsia="en-AU"/>
              </w:rPr>
            </w:pPr>
            <w:r w:rsidRPr="00B63D67">
              <w:rPr>
                <w:b/>
                <w:sz w:val="19"/>
              </w:rPr>
              <w:t>246.1</w:t>
            </w:r>
          </w:p>
        </w:tc>
        <w:tc>
          <w:tcPr>
            <w:tcW w:w="984" w:type="dxa"/>
            <w:tcBorders>
              <w:top w:val="single" w:sz="6" w:space="0" w:color="auto"/>
              <w:left w:val="nil"/>
              <w:bottom w:val="single" w:sz="12" w:space="0" w:color="auto"/>
              <w:right w:val="nil"/>
            </w:tcBorders>
            <w:shd w:val="clear" w:color="auto" w:fill="FFFFFF"/>
          </w:tcPr>
          <w:p w:rsidR="00E25CC6" w:rsidRPr="00B63D67" w:rsidRDefault="00E25CC6" w:rsidP="00B63D67">
            <w:pPr>
              <w:pStyle w:val="TableofFigures"/>
              <w:rPr>
                <w:b/>
                <w:bCs/>
                <w:sz w:val="19"/>
                <w:szCs w:val="22"/>
                <w:lang w:eastAsia="en-AU"/>
              </w:rPr>
            </w:pPr>
            <w:r w:rsidRPr="00B63D67">
              <w:rPr>
                <w:b/>
                <w:bCs/>
                <w:sz w:val="19"/>
                <w:szCs w:val="22"/>
                <w:lang w:eastAsia="en-AU"/>
              </w:rPr>
              <w:t>258.5</w:t>
            </w:r>
          </w:p>
        </w:tc>
        <w:tc>
          <w:tcPr>
            <w:tcW w:w="984" w:type="dxa"/>
            <w:tcBorders>
              <w:top w:val="single" w:sz="6" w:space="0" w:color="auto"/>
              <w:left w:val="nil"/>
              <w:bottom w:val="single" w:sz="12" w:space="0" w:color="auto"/>
              <w:right w:val="nil"/>
            </w:tcBorders>
            <w:shd w:val="clear" w:color="auto" w:fill="FFFFFF"/>
          </w:tcPr>
          <w:p w:rsidR="00E25CC6" w:rsidRPr="00B63D67" w:rsidRDefault="00E25CC6" w:rsidP="00B63D67">
            <w:pPr>
              <w:pStyle w:val="TableofFigures"/>
              <w:rPr>
                <w:b/>
                <w:bCs/>
                <w:sz w:val="19"/>
                <w:szCs w:val="22"/>
                <w:lang w:eastAsia="en-AU"/>
              </w:rPr>
            </w:pPr>
            <w:r w:rsidRPr="00B63D67">
              <w:rPr>
                <w:b/>
                <w:bCs/>
                <w:sz w:val="19"/>
                <w:szCs w:val="22"/>
                <w:lang w:eastAsia="en-AU"/>
              </w:rPr>
              <w:t>258.1</w:t>
            </w:r>
          </w:p>
        </w:tc>
        <w:tc>
          <w:tcPr>
            <w:tcW w:w="985" w:type="dxa"/>
            <w:tcBorders>
              <w:top w:val="single" w:sz="6" w:space="0" w:color="auto"/>
              <w:left w:val="nil"/>
              <w:bottom w:val="single" w:sz="12" w:space="0" w:color="auto"/>
              <w:right w:val="nil"/>
            </w:tcBorders>
            <w:shd w:val="clear" w:color="auto" w:fill="FFFFFF"/>
          </w:tcPr>
          <w:p w:rsidR="00E25CC6" w:rsidRPr="00B63D67" w:rsidRDefault="00E25CC6" w:rsidP="00B63D67">
            <w:pPr>
              <w:pStyle w:val="TableofFigures"/>
              <w:rPr>
                <w:b/>
                <w:bCs/>
                <w:sz w:val="19"/>
                <w:szCs w:val="22"/>
                <w:lang w:eastAsia="en-AU"/>
              </w:rPr>
            </w:pPr>
            <w:r w:rsidRPr="00B63D67">
              <w:rPr>
                <w:b/>
                <w:bCs/>
                <w:sz w:val="19"/>
                <w:szCs w:val="22"/>
                <w:lang w:eastAsia="en-AU"/>
              </w:rPr>
              <w:t>4.9</w:t>
            </w:r>
          </w:p>
        </w:tc>
      </w:tr>
    </w:tbl>
    <w:p w:rsidR="00E25CC6" w:rsidRPr="008020C0" w:rsidRDefault="00E25CC6" w:rsidP="008E5CBA">
      <w:pPr>
        <w:pStyle w:val="Source"/>
        <w:rPr>
          <w:rFonts w:eastAsiaTheme="minorHAnsi"/>
          <w:i w:val="0"/>
        </w:rPr>
      </w:pPr>
      <w:r>
        <w:rPr>
          <w:rFonts w:eastAsiaTheme="minorHAnsi"/>
        </w:rPr>
        <w:t xml:space="preserve">Source: </w:t>
      </w:r>
      <w:r w:rsidRPr="008020C0">
        <w:rPr>
          <w:rFonts w:eastAsiaTheme="minorHAnsi"/>
        </w:rPr>
        <w:t>Department of Treasury and Finance</w:t>
      </w:r>
      <w:r>
        <w:rPr>
          <w:rFonts w:eastAsiaTheme="minorHAnsi"/>
        </w:rPr>
        <w:t xml:space="preserve"> </w:t>
      </w:r>
      <w:r>
        <w:rPr>
          <w:rFonts w:eastAsiaTheme="minorHAnsi"/>
        </w:rPr>
        <w:fldChar w:fldCharType="begin"/>
      </w:r>
      <w:r>
        <w:instrText xml:space="preserve"> XE "</w:instrText>
      </w:r>
      <w:r w:rsidRPr="00DD0C0D">
        <w:instrText>Department of Treasury and Finance:Output summary</w:instrText>
      </w:r>
      <w:r>
        <w:instrText xml:space="preserve">" </w:instrText>
      </w:r>
      <w:r>
        <w:rPr>
          <w:rFonts w:eastAsiaTheme="minorHAnsi"/>
        </w:rPr>
        <w:fldChar w:fldCharType="end"/>
      </w:r>
    </w:p>
    <w:p w:rsidR="00E25CC6" w:rsidRPr="00B63D67" w:rsidRDefault="00E25CC6" w:rsidP="00B63D67">
      <w:pPr>
        <w:pStyle w:val="Notes"/>
        <w:rPr>
          <w:rFonts w:eastAsiaTheme="minorHAnsi"/>
        </w:rPr>
      </w:pPr>
      <w:r>
        <w:rPr>
          <w:rFonts w:eastAsiaTheme="minorHAnsi"/>
        </w:rPr>
        <w:t>Notes:</w:t>
      </w:r>
    </w:p>
    <w:p w:rsidR="00E25CC6" w:rsidRPr="00044253" w:rsidRDefault="00E25CC6" w:rsidP="00044253">
      <w:pPr>
        <w:pStyle w:val="Notes"/>
        <w:rPr>
          <w:rFonts w:eastAsiaTheme="minorHAnsi"/>
        </w:rPr>
      </w:pPr>
      <w:r w:rsidRPr="00044253">
        <w:rPr>
          <w:rFonts w:eastAsiaTheme="minorHAnsi"/>
        </w:rPr>
        <w:t>(a)</w:t>
      </w:r>
      <w:r w:rsidRPr="00044253">
        <w:rPr>
          <w:rFonts w:eastAsiaTheme="minorHAnsi"/>
        </w:rPr>
        <w:tab/>
        <w:t>Variation between 2015</w:t>
      </w:r>
      <w:r w:rsidRPr="00044253">
        <w:rPr>
          <w:rFonts w:eastAsiaTheme="minorHAnsi"/>
        </w:rPr>
        <w:noBreakHyphen/>
        <w:t>16 budget and 2016</w:t>
      </w:r>
      <w:r w:rsidRPr="00044253">
        <w:rPr>
          <w:rFonts w:eastAsiaTheme="minorHAnsi"/>
        </w:rPr>
        <w:noBreakHyphen/>
        <w:t>17 budget.</w:t>
      </w:r>
    </w:p>
    <w:p w:rsidR="00E25CC6" w:rsidRPr="00044253" w:rsidRDefault="00E25CC6" w:rsidP="00044253">
      <w:pPr>
        <w:pStyle w:val="Notes"/>
        <w:rPr>
          <w:rFonts w:eastAsiaTheme="minorHAnsi"/>
        </w:rPr>
      </w:pPr>
      <w:r w:rsidRPr="00044253">
        <w:rPr>
          <w:rFonts w:eastAsiaTheme="minorHAnsi"/>
        </w:rPr>
        <w:t>(b)</w:t>
      </w:r>
      <w:r w:rsidRPr="00044253">
        <w:rPr>
          <w:rFonts w:eastAsiaTheme="minorHAnsi"/>
        </w:rPr>
        <w:tab/>
        <w:t>The higher 2016</w:t>
      </w:r>
      <w:r w:rsidRPr="00044253">
        <w:rPr>
          <w:rFonts w:eastAsiaTheme="minorHAnsi"/>
        </w:rPr>
        <w:noBreakHyphen/>
        <w:t>17 budget includes additional funding to build capability and internal reprioritisation for additional policy functions.</w:t>
      </w:r>
    </w:p>
    <w:p w:rsidR="00E25CC6" w:rsidRPr="006D23B1" w:rsidRDefault="00E25CC6" w:rsidP="004D5276">
      <w:pPr>
        <w:pStyle w:val="Notes"/>
        <w:rPr>
          <w:rFonts w:eastAsiaTheme="minorHAnsi"/>
        </w:rPr>
      </w:pPr>
      <w:r w:rsidRPr="00044253">
        <w:rPr>
          <w:rFonts w:eastAsiaTheme="minorHAnsi"/>
        </w:rPr>
        <w:t>(c)</w:t>
      </w:r>
      <w:r w:rsidRPr="00044253">
        <w:rPr>
          <w:rFonts w:eastAsiaTheme="minorHAnsi"/>
        </w:rPr>
        <w:tab/>
        <w:t>The higher 2016</w:t>
      </w:r>
      <w:r w:rsidRPr="00044253">
        <w:rPr>
          <w:rFonts w:eastAsiaTheme="minorHAnsi"/>
        </w:rPr>
        <w:noBreakHyphen/>
        <w:t>17 budget includes additional funding for the completion of the Port of Melbourne lease transaction and to build capability.</w:t>
      </w:r>
    </w:p>
    <w:p w:rsidR="00E25CC6" w:rsidRPr="00B63D67" w:rsidRDefault="00E25CC6" w:rsidP="00432BF4">
      <w:pPr>
        <w:pStyle w:val="Notes"/>
        <w:rPr>
          <w:rFonts w:eastAsiaTheme="minorHAnsi"/>
        </w:rPr>
      </w:pPr>
      <w:r w:rsidRPr="00B63D67">
        <w:rPr>
          <w:rFonts w:eastAsiaTheme="minorHAnsi"/>
        </w:rPr>
        <w:t xml:space="preserve"> (d)</w:t>
      </w:r>
      <w:r w:rsidRPr="00B63D67">
        <w:rPr>
          <w:rFonts w:eastAsiaTheme="minorHAnsi"/>
        </w:rPr>
        <w:tab/>
        <w:t xml:space="preserve">Components of the </w:t>
      </w:r>
      <w:r>
        <w:rPr>
          <w:rFonts w:eastAsiaTheme="minorHAnsi"/>
        </w:rPr>
        <w:t>‘</w:t>
      </w:r>
      <w:r w:rsidRPr="00B63D67">
        <w:rPr>
          <w:rFonts w:eastAsiaTheme="minorHAnsi"/>
        </w:rPr>
        <w:t>Business Environment Policy Advice</w:t>
      </w:r>
      <w:r>
        <w:rPr>
          <w:rFonts w:eastAsiaTheme="minorHAnsi"/>
        </w:rPr>
        <w:t>’</w:t>
      </w:r>
      <w:r w:rsidRPr="00B63D67">
        <w:rPr>
          <w:rFonts w:eastAsiaTheme="minorHAnsi"/>
        </w:rPr>
        <w:t xml:space="preserve"> output transferred from the Department of Premier and Cabinet in September 2015</w:t>
      </w:r>
      <w:r>
        <w:rPr>
          <w:rFonts w:eastAsiaTheme="minorHAnsi"/>
        </w:rPr>
        <w:t xml:space="preserve">. </w:t>
      </w:r>
      <w:r w:rsidRPr="00BB4BB5">
        <w:rPr>
          <w:rFonts w:eastAsiaTheme="minorHAnsi"/>
        </w:rPr>
        <w:t>The 2015</w:t>
      </w:r>
      <w:r w:rsidRPr="00BB4BB5">
        <w:rPr>
          <w:rFonts w:eastAsiaTheme="minorHAnsi"/>
        </w:rPr>
        <w:noBreakHyphen/>
        <w:t>16 budget reflects</w:t>
      </w:r>
      <w:r w:rsidRPr="00B63D67">
        <w:rPr>
          <w:rFonts w:eastAsiaTheme="minorHAnsi"/>
        </w:rPr>
        <w:t xml:space="preserve"> the figure reported by the Department of Premier and Cabinet</w:t>
      </w:r>
      <w:r>
        <w:rPr>
          <w:rFonts w:eastAsiaTheme="minorHAnsi"/>
        </w:rPr>
        <w:t xml:space="preserve"> in the 2015</w:t>
      </w:r>
      <w:r>
        <w:rPr>
          <w:rFonts w:eastAsiaTheme="minorHAnsi"/>
        </w:rPr>
        <w:noBreakHyphen/>
        <w:t>16 budget and represents the functions of the former Victorian Competition and Efficiency Commission at that time.</w:t>
      </w:r>
      <w:r w:rsidRPr="00B63D67">
        <w:rPr>
          <w:rFonts w:eastAsiaTheme="minorHAnsi"/>
        </w:rPr>
        <w:t xml:space="preserve"> The </w:t>
      </w:r>
      <w:r>
        <w:rPr>
          <w:rFonts w:eastAsiaTheme="minorHAnsi"/>
        </w:rPr>
        <w:t>2015</w:t>
      </w:r>
      <w:r>
        <w:rPr>
          <w:rFonts w:eastAsiaTheme="minorHAnsi"/>
        </w:rPr>
        <w:noBreakHyphen/>
        <w:t>16 revised is lower than the 2015</w:t>
      </w:r>
      <w:r>
        <w:rPr>
          <w:rFonts w:eastAsiaTheme="minorHAnsi"/>
        </w:rPr>
        <w:noBreakHyphen/>
        <w:t xml:space="preserve">16 budget </w:t>
      </w:r>
      <w:r w:rsidRPr="00B63D67">
        <w:rPr>
          <w:rFonts w:eastAsiaTheme="minorHAnsi"/>
        </w:rPr>
        <w:t>to reflect the functions of the Office of the Commissioner for Better Regulation</w:t>
      </w:r>
      <w:r>
        <w:rPr>
          <w:rFonts w:eastAsiaTheme="minorHAnsi"/>
        </w:rPr>
        <w:t xml:space="preserve"> following its establishment within the Treasury portfolio in September 2015. The lower 2016</w:t>
      </w:r>
      <w:r>
        <w:rPr>
          <w:rFonts w:eastAsiaTheme="minorHAnsi"/>
        </w:rPr>
        <w:noBreakHyphen/>
        <w:t xml:space="preserve">17 budget reflects only the </w:t>
      </w:r>
      <w:r w:rsidRPr="00B63D67">
        <w:rPr>
          <w:rFonts w:eastAsiaTheme="minorHAnsi"/>
        </w:rPr>
        <w:t>functions of the Office of the Commissioner for Better Regulation</w:t>
      </w:r>
      <w:r>
        <w:rPr>
          <w:rFonts w:eastAsiaTheme="minorHAnsi"/>
        </w:rPr>
        <w:t>.</w:t>
      </w:r>
    </w:p>
    <w:p w:rsidR="00E25CC6" w:rsidRDefault="00E25CC6" w:rsidP="00B63D67">
      <w:pPr>
        <w:pStyle w:val="Notes"/>
        <w:rPr>
          <w:rFonts w:eastAsiaTheme="minorHAnsi"/>
        </w:rPr>
      </w:pPr>
      <w:r w:rsidRPr="00B63D67">
        <w:rPr>
          <w:rFonts w:eastAsiaTheme="minorHAnsi"/>
        </w:rPr>
        <w:t>(e)</w:t>
      </w:r>
      <w:r w:rsidRPr="00B63D67">
        <w:rPr>
          <w:rFonts w:eastAsiaTheme="minorHAnsi"/>
        </w:rPr>
        <w:tab/>
      </w:r>
      <w:r w:rsidRPr="00F66A41">
        <w:rPr>
          <w:rFonts w:eastAsiaTheme="minorHAnsi"/>
        </w:rPr>
        <w:t xml:space="preserve">The </w:t>
      </w:r>
      <w:r w:rsidRPr="00BB4BB5">
        <w:rPr>
          <w:rFonts w:eastAsiaTheme="minorHAnsi"/>
        </w:rPr>
        <w:t xml:space="preserve">higher </w:t>
      </w:r>
      <w:r w:rsidRPr="00F66A41">
        <w:rPr>
          <w:rFonts w:eastAsiaTheme="minorHAnsi"/>
        </w:rPr>
        <w:t>2016</w:t>
      </w:r>
      <w:r w:rsidRPr="00F66A41">
        <w:rPr>
          <w:rFonts w:eastAsiaTheme="minorHAnsi"/>
        </w:rPr>
        <w:noBreakHyphen/>
        <w:t xml:space="preserve">17 budget includes additional funding for the administration of the Victorian Energy Efficiency Target </w:t>
      </w:r>
      <w:r>
        <w:rPr>
          <w:rFonts w:eastAsiaTheme="minorHAnsi"/>
        </w:rPr>
        <w:t xml:space="preserve">scheme </w:t>
      </w:r>
      <w:r w:rsidRPr="00F66A41">
        <w:rPr>
          <w:rFonts w:eastAsiaTheme="minorHAnsi"/>
        </w:rPr>
        <w:t xml:space="preserve">and funding for regulatory functions </w:t>
      </w:r>
      <w:r>
        <w:rPr>
          <w:rFonts w:eastAsiaTheme="minorHAnsi"/>
        </w:rPr>
        <w:t xml:space="preserve">including </w:t>
      </w:r>
      <w:r w:rsidRPr="00F66A41">
        <w:rPr>
          <w:rFonts w:eastAsiaTheme="minorHAnsi"/>
        </w:rPr>
        <w:t xml:space="preserve">consumer protection for electricity and gas customers, the Fair Go Rates </w:t>
      </w:r>
      <w:r>
        <w:rPr>
          <w:rFonts w:eastAsiaTheme="minorHAnsi"/>
        </w:rPr>
        <w:t>s</w:t>
      </w:r>
      <w:r w:rsidRPr="00F66A41">
        <w:rPr>
          <w:rFonts w:eastAsiaTheme="minorHAnsi"/>
        </w:rPr>
        <w:t>ystem and pricing regulation</w:t>
      </w:r>
      <w:r>
        <w:rPr>
          <w:rFonts w:eastAsiaTheme="minorHAnsi"/>
        </w:rPr>
        <w:t xml:space="preserve"> for port users as part of the lease</w:t>
      </w:r>
      <w:r w:rsidRPr="00B63D67">
        <w:rPr>
          <w:rFonts w:eastAsiaTheme="minorHAnsi"/>
        </w:rPr>
        <w:t xml:space="preserve"> of the</w:t>
      </w:r>
      <w:r>
        <w:rPr>
          <w:rFonts w:eastAsiaTheme="minorHAnsi"/>
        </w:rPr>
        <w:t xml:space="preserve"> operations of the</w:t>
      </w:r>
      <w:r w:rsidRPr="00B63D67">
        <w:rPr>
          <w:rFonts w:eastAsiaTheme="minorHAnsi"/>
        </w:rPr>
        <w:t xml:space="preserve"> Port of Melbourne.</w:t>
      </w:r>
    </w:p>
    <w:p w:rsidR="00E25CC6" w:rsidRDefault="00E25CC6" w:rsidP="00970B1F">
      <w:pPr>
        <w:pStyle w:val="Heading2"/>
        <w:rPr>
          <w:rFonts w:eastAsiaTheme="minorHAnsi"/>
        </w:rPr>
      </w:pP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970B1F">
      <w:pPr>
        <w:pStyle w:val="Heading2"/>
        <w:rPr>
          <w:rFonts w:eastAsiaTheme="minorHAnsi"/>
        </w:rPr>
      </w:pPr>
      <w:r>
        <w:rPr>
          <w:rFonts w:eastAsiaTheme="minorHAnsi"/>
        </w:rPr>
        <w:t>Amounts available</w:t>
      </w:r>
    </w:p>
    <w:p w:rsidR="00E25CC6" w:rsidRDefault="00E25CC6" w:rsidP="006B4421">
      <w:pPr>
        <w:rPr>
          <w:rFonts w:eastAsiaTheme="minorHAnsi"/>
        </w:rPr>
      </w:pPr>
      <w:r>
        <w:rPr>
          <w:rFonts w:eastAsiaTheme="minorHAnsi"/>
        </w:rPr>
        <w:t>The following tables detail the amounts available to the Department from Parliamentary authority and income generated through transactions.</w:t>
      </w:r>
    </w:p>
    <w:p w:rsidR="00E25CC6" w:rsidRDefault="00E25CC6" w:rsidP="006B4421">
      <w:pPr>
        <w:rPr>
          <w:rFonts w:eastAsiaTheme="minorHAnsi"/>
        </w:rPr>
      </w:pPr>
      <w:r>
        <w:rPr>
          <w:rFonts w:eastAsiaTheme="minorHAnsi"/>
        </w:rPr>
        <w:t>Table 2.21 outlines the Department’s income from transactions and 2.22 summarises the sources of Parliamentary authority available to the Department to fund the provision of outputs, additions to the net asset base and payments made on behalf of the State.</w:t>
      </w:r>
    </w:p>
    <w:p w:rsidR="00E25CC6" w:rsidRDefault="00E25CC6" w:rsidP="00970B1F">
      <w:pPr>
        <w:pStyle w:val="Tableheading"/>
        <w:rPr>
          <w:rFonts w:eastAsiaTheme="minorHAnsi"/>
        </w:rPr>
      </w:pPr>
      <w:r>
        <w:rPr>
          <w:rFonts w:eastAsiaTheme="minorHAnsi"/>
        </w:rPr>
        <w:t>Table 2.21:</w:t>
      </w:r>
      <w:r>
        <w:rPr>
          <w:rFonts w:eastAsiaTheme="minorHAnsi"/>
        </w:rPr>
        <w:tab/>
        <w:t>Income from transactions</w:t>
      </w:r>
    </w:p>
    <w:p w:rsidR="00E25CC6" w:rsidRPr="006D6F26" w:rsidRDefault="00E25CC6" w:rsidP="006D6F26">
      <w:pPr>
        <w:pStyle w:val="million"/>
        <w:rPr>
          <w:rFonts w:ascii="Garamond" w:eastAsiaTheme="minorHAnsi" w:hAnsi="Garamond"/>
          <w:b/>
          <w:bCs/>
          <w:sz w:val="22"/>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6D6F26" w:rsidTr="006D6F26">
        <w:tc>
          <w:tcPr>
            <w:tcW w:w="4365" w:type="dxa"/>
            <w:tcBorders>
              <w:top w:val="nil"/>
              <w:left w:val="nil"/>
              <w:bottom w:val="nil"/>
              <w:right w:val="nil"/>
            </w:tcBorders>
            <w:shd w:val="solid" w:color="000000" w:fill="auto"/>
          </w:tcPr>
          <w:p w:rsidR="00E25CC6" w:rsidRPr="006D6F26" w:rsidRDefault="00E25CC6" w:rsidP="006D6F26">
            <w:pPr>
              <w:autoSpaceDE w:val="0"/>
              <w:autoSpaceDN w:val="0"/>
              <w:adjustRightInd w:val="0"/>
              <w:spacing w:after="0"/>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2016-17</w:t>
            </w:r>
          </w:p>
        </w:tc>
      </w:tr>
      <w:tr w:rsidR="00E25CC6" w:rsidRPr="006D6F26" w:rsidTr="006D6F26">
        <w:tc>
          <w:tcPr>
            <w:tcW w:w="4365" w:type="dxa"/>
            <w:tcBorders>
              <w:top w:val="nil"/>
              <w:left w:val="nil"/>
              <w:right w:val="nil"/>
            </w:tcBorders>
            <w:shd w:val="solid" w:color="000000" w:fill="auto"/>
          </w:tcPr>
          <w:p w:rsidR="00E25CC6" w:rsidRPr="006D6F26" w:rsidRDefault="00E25CC6" w:rsidP="006D6F26">
            <w:pPr>
              <w:autoSpaceDE w:val="0"/>
              <w:autoSpaceDN w:val="0"/>
              <w:adjustRightInd w:val="0"/>
              <w:spacing w:after="0"/>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color w:val="FFFFFF"/>
                <w:sz w:val="19"/>
                <w:szCs w:val="19"/>
                <w:lang w:eastAsia="en-AU"/>
              </w:rPr>
            </w:pPr>
            <w:r w:rsidRPr="006D6F26">
              <w:rPr>
                <w:rFonts w:ascii="Calibri" w:eastAsiaTheme="minorEastAsia" w:hAnsi="Calibri" w:cs="Calibri"/>
                <w:i/>
                <w:iCs/>
                <w:color w:val="FFFFFF"/>
                <w:sz w:val="19"/>
                <w:szCs w:val="19"/>
                <w:lang w:eastAsia="en-AU"/>
              </w:rPr>
              <w:t>budget</w:t>
            </w:r>
          </w:p>
        </w:tc>
      </w:tr>
      <w:tr w:rsidR="00E25CC6" w:rsidRPr="006D6F26" w:rsidTr="006D6F26">
        <w:tc>
          <w:tcPr>
            <w:tcW w:w="4365" w:type="dxa"/>
            <w:tcBorders>
              <w:top w:val="nil"/>
              <w:left w:val="nil"/>
              <w:right w:val="nil"/>
            </w:tcBorders>
            <w:shd w:val="clear" w:color="auto"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250.7</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242.7</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259.5</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258.5</w:t>
            </w:r>
          </w:p>
        </w:tc>
      </w:tr>
      <w:tr w:rsidR="00E25CC6" w:rsidRPr="006D6F26" w:rsidTr="006D6F26">
        <w:tc>
          <w:tcPr>
            <w:tcW w:w="4365" w:type="dxa"/>
            <w:tcBorders>
              <w:top w:val="nil"/>
              <w:left w:val="nil"/>
              <w:right w:val="nil"/>
            </w:tcBorders>
            <w:shd w:val="clear" w:color="auto"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Interest</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0.9</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0.4</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1.9</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1.7</w:t>
            </w:r>
          </w:p>
        </w:tc>
      </w:tr>
      <w:tr w:rsidR="00E25CC6" w:rsidRPr="006D6F26" w:rsidTr="006D6F26">
        <w:tc>
          <w:tcPr>
            <w:tcW w:w="4365" w:type="dxa"/>
            <w:tcBorders>
              <w:top w:val="nil"/>
              <w:left w:val="nil"/>
              <w:right w:val="nil"/>
            </w:tcBorders>
            <w:shd w:val="clear" w:color="auto"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90.7</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154.8</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173.7</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163.6</w:t>
            </w:r>
          </w:p>
        </w:tc>
      </w:tr>
      <w:tr w:rsidR="00E25CC6" w:rsidRPr="006D6F26" w:rsidTr="006D6F26">
        <w:tc>
          <w:tcPr>
            <w:tcW w:w="4365" w:type="dxa"/>
            <w:tcBorders>
              <w:top w:val="nil"/>
              <w:left w:val="nil"/>
              <w:right w:val="nil"/>
            </w:tcBorders>
            <w:shd w:val="clear" w:color="auto"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Fair value of assets and services received free of charge or for nominal consideration</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1.6</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5.0</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w:t>
            </w:r>
          </w:p>
        </w:tc>
      </w:tr>
      <w:tr w:rsidR="00E25CC6" w:rsidRPr="006D6F26" w:rsidTr="006D6F26">
        <w:tc>
          <w:tcPr>
            <w:tcW w:w="4365" w:type="dxa"/>
            <w:tcBorders>
              <w:top w:val="nil"/>
              <w:left w:val="nil"/>
              <w:bottom w:val="single" w:sz="6" w:space="0" w:color="auto"/>
              <w:right w:val="nil"/>
            </w:tcBorders>
            <w:shd w:val="clear" w:color="auto"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Other income</w:t>
            </w:r>
          </w:p>
        </w:tc>
        <w:tc>
          <w:tcPr>
            <w:tcW w:w="850" w:type="dxa"/>
            <w:tcBorders>
              <w:top w:val="nil"/>
              <w:left w:val="nil"/>
              <w:bottom w:val="single" w:sz="6"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20.6</w:t>
            </w:r>
          </w:p>
        </w:tc>
        <w:tc>
          <w:tcPr>
            <w:tcW w:w="850" w:type="dxa"/>
            <w:tcBorders>
              <w:top w:val="nil"/>
              <w:left w:val="nil"/>
              <w:bottom w:val="single" w:sz="6"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29.3</w:t>
            </w:r>
          </w:p>
        </w:tc>
        <w:tc>
          <w:tcPr>
            <w:tcW w:w="850" w:type="dxa"/>
            <w:tcBorders>
              <w:top w:val="nil"/>
              <w:left w:val="nil"/>
              <w:bottom w:val="single" w:sz="6"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29.7</w:t>
            </w:r>
          </w:p>
        </w:tc>
        <w:tc>
          <w:tcPr>
            <w:tcW w:w="850" w:type="dxa"/>
            <w:tcBorders>
              <w:top w:val="nil"/>
              <w:left w:val="nil"/>
              <w:bottom w:val="single" w:sz="6"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color w:val="000000"/>
                <w:sz w:val="19"/>
                <w:szCs w:val="19"/>
                <w:lang w:eastAsia="en-AU"/>
              </w:rPr>
            </w:pPr>
            <w:r w:rsidRPr="006D6F26">
              <w:rPr>
                <w:rFonts w:ascii="Calibri" w:eastAsiaTheme="minorEastAsia" w:hAnsi="Calibri" w:cs="Calibri"/>
                <w:color w:val="000000"/>
                <w:sz w:val="19"/>
                <w:szCs w:val="19"/>
                <w:lang w:eastAsia="en-AU"/>
              </w:rPr>
              <w:t xml:space="preserve"> 30.4</w:t>
            </w:r>
          </w:p>
        </w:tc>
      </w:tr>
      <w:tr w:rsidR="00E25CC6" w:rsidRPr="006D6F26" w:rsidTr="006D6F26">
        <w:tc>
          <w:tcPr>
            <w:tcW w:w="4365" w:type="dxa"/>
            <w:tcBorders>
              <w:top w:val="single" w:sz="6" w:space="0" w:color="auto"/>
              <w:left w:val="nil"/>
              <w:bottom w:val="single" w:sz="12" w:space="0" w:color="auto"/>
              <w:right w:val="nil"/>
            </w:tcBorders>
            <w:shd w:val="clear" w:color="auto"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6D6F26">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b/>
                <w:bCs/>
                <w:color w:val="000000"/>
                <w:sz w:val="19"/>
                <w:szCs w:val="19"/>
                <w:lang w:eastAsia="en-AU"/>
              </w:rPr>
            </w:pPr>
            <w:r w:rsidRPr="006D6F26">
              <w:rPr>
                <w:rFonts w:ascii="Calibri" w:eastAsiaTheme="minorEastAsia" w:hAnsi="Calibri" w:cs="Calibri"/>
                <w:b/>
                <w:bCs/>
                <w:color w:val="000000"/>
                <w:sz w:val="19"/>
                <w:szCs w:val="19"/>
                <w:lang w:eastAsia="en-AU"/>
              </w:rPr>
              <w:t xml:space="preserve"> 364.5</w:t>
            </w:r>
          </w:p>
        </w:tc>
        <w:tc>
          <w:tcPr>
            <w:tcW w:w="850" w:type="dxa"/>
            <w:tcBorders>
              <w:top w:val="single" w:sz="6" w:space="0" w:color="auto"/>
              <w:left w:val="nil"/>
              <w:bottom w:val="single" w:sz="12"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b/>
                <w:bCs/>
                <w:color w:val="000000"/>
                <w:sz w:val="19"/>
                <w:szCs w:val="19"/>
                <w:lang w:eastAsia="en-AU"/>
              </w:rPr>
            </w:pPr>
            <w:r w:rsidRPr="006D6F26">
              <w:rPr>
                <w:rFonts w:ascii="Calibri" w:eastAsiaTheme="minorEastAsia" w:hAnsi="Calibri" w:cs="Calibri"/>
                <w:b/>
                <w:bCs/>
                <w:color w:val="000000"/>
                <w:sz w:val="19"/>
                <w:szCs w:val="19"/>
                <w:lang w:eastAsia="en-AU"/>
              </w:rPr>
              <w:t xml:space="preserve"> 432.2</w:t>
            </w:r>
          </w:p>
        </w:tc>
        <w:tc>
          <w:tcPr>
            <w:tcW w:w="850" w:type="dxa"/>
            <w:tcBorders>
              <w:top w:val="single" w:sz="6" w:space="0" w:color="auto"/>
              <w:left w:val="nil"/>
              <w:bottom w:val="single" w:sz="12"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b/>
                <w:bCs/>
                <w:color w:val="000000"/>
                <w:sz w:val="19"/>
                <w:szCs w:val="19"/>
                <w:lang w:eastAsia="en-AU"/>
              </w:rPr>
            </w:pPr>
            <w:r w:rsidRPr="006D6F26">
              <w:rPr>
                <w:rFonts w:ascii="Calibri" w:eastAsiaTheme="minorEastAsia" w:hAnsi="Calibri" w:cs="Calibri"/>
                <w:b/>
                <w:bCs/>
                <w:color w:val="000000"/>
                <w:sz w:val="19"/>
                <w:szCs w:val="19"/>
                <w:lang w:eastAsia="en-AU"/>
              </w:rPr>
              <w:t xml:space="preserve"> 464.9</w:t>
            </w:r>
          </w:p>
        </w:tc>
        <w:tc>
          <w:tcPr>
            <w:tcW w:w="850" w:type="dxa"/>
            <w:tcBorders>
              <w:top w:val="single" w:sz="6" w:space="0" w:color="auto"/>
              <w:left w:val="nil"/>
              <w:bottom w:val="single" w:sz="12" w:space="0" w:color="auto"/>
              <w:right w:val="nil"/>
            </w:tcBorders>
            <w:shd w:val="clear" w:color="auto" w:fill="FFFFFF"/>
          </w:tcPr>
          <w:p w:rsidR="00E25CC6" w:rsidRPr="006D6F26" w:rsidRDefault="00E25CC6" w:rsidP="006D6F26">
            <w:pPr>
              <w:autoSpaceDE w:val="0"/>
              <w:autoSpaceDN w:val="0"/>
              <w:adjustRightInd w:val="0"/>
              <w:spacing w:after="0"/>
              <w:jc w:val="right"/>
              <w:rPr>
                <w:rFonts w:ascii="Calibri" w:eastAsiaTheme="minorEastAsia" w:hAnsi="Calibri" w:cs="Calibri"/>
                <w:b/>
                <w:bCs/>
                <w:color w:val="000000"/>
                <w:sz w:val="19"/>
                <w:szCs w:val="19"/>
                <w:lang w:eastAsia="en-AU"/>
              </w:rPr>
            </w:pPr>
            <w:r w:rsidRPr="006D6F26">
              <w:rPr>
                <w:rFonts w:ascii="Calibri" w:eastAsiaTheme="minorEastAsia" w:hAnsi="Calibri" w:cs="Calibri"/>
                <w:b/>
                <w:bCs/>
                <w:color w:val="000000"/>
                <w:sz w:val="19"/>
                <w:szCs w:val="19"/>
                <w:lang w:eastAsia="en-AU"/>
              </w:rPr>
              <w:t xml:space="preserve"> 454.2</w:t>
            </w:r>
          </w:p>
        </w:tc>
      </w:tr>
    </w:tbl>
    <w:p w:rsidR="00E25CC6" w:rsidRPr="008020C0" w:rsidRDefault="00E25CC6" w:rsidP="00B22DB8">
      <w:pPr>
        <w:pStyle w:val="Source"/>
        <w:rPr>
          <w:rFonts w:eastAsiaTheme="minorHAnsi"/>
          <w:i w:val="0"/>
        </w:rPr>
      </w:pPr>
      <w:r>
        <w:rPr>
          <w:rFonts w:eastAsiaTheme="minorHAnsi"/>
        </w:rPr>
        <w:t xml:space="preserve">Source: Department of Treasury and Finance </w:t>
      </w:r>
      <w:r>
        <w:rPr>
          <w:rFonts w:eastAsiaTheme="minorHAnsi"/>
        </w:rPr>
        <w:fldChar w:fldCharType="begin"/>
      </w:r>
      <w:r>
        <w:instrText xml:space="preserve"> XE "</w:instrText>
      </w:r>
      <w:r w:rsidRPr="0067653B">
        <w:instrText>Department of Treasury and Finance:Income from transactions</w:instrText>
      </w:r>
      <w:r>
        <w:instrText xml:space="preserve">" </w:instrText>
      </w:r>
      <w:r>
        <w:rPr>
          <w:rFonts w:eastAsiaTheme="minorHAnsi"/>
        </w:rPr>
        <w:fldChar w:fldCharType="end"/>
      </w:r>
    </w:p>
    <w:p w:rsidR="00E25CC6" w:rsidRDefault="00E25CC6" w:rsidP="00BB3B7A">
      <w:pPr>
        <w:rPr>
          <w:rFonts w:eastAsiaTheme="minorHAnsi"/>
        </w:rPr>
      </w:pPr>
    </w:p>
    <w:p w:rsidR="00E25CC6" w:rsidRDefault="00E25CC6" w:rsidP="00970B1F">
      <w:pPr>
        <w:pStyle w:val="Tableheading"/>
        <w:rPr>
          <w:rFonts w:eastAsiaTheme="minorHAnsi"/>
        </w:rPr>
      </w:pPr>
      <w:r>
        <w:rPr>
          <w:rFonts w:eastAsiaTheme="minorHAnsi"/>
        </w:rPr>
        <w:t>Table 2.22:</w:t>
      </w:r>
      <w:r>
        <w:rPr>
          <w:rFonts w:eastAsiaTheme="minorHAnsi"/>
        </w:rPr>
        <w:tab/>
        <w:t>Parliamentary authority for resources</w:t>
      </w:r>
    </w:p>
    <w:p w:rsidR="00E25CC6" w:rsidRPr="006D6F26" w:rsidRDefault="00E25CC6" w:rsidP="006D6F26">
      <w:pPr>
        <w:pStyle w:val="million"/>
        <w:rPr>
          <w:rFonts w:ascii="Times New Roman" w:hAnsi="Times New Roman"/>
          <w:sz w:val="20"/>
          <w:lang w:eastAsia="en-AU"/>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6D6F26" w:rsidTr="006D6F26">
        <w:tc>
          <w:tcPr>
            <w:tcW w:w="5216" w:type="dxa"/>
            <w:tcBorders>
              <w:left w:val="nil"/>
              <w:bottom w:val="nil"/>
              <w:right w:val="nil"/>
            </w:tcBorders>
            <w:shd w:val="solid" w:color="000000" w:fill="auto"/>
          </w:tcPr>
          <w:p w:rsidR="00E25CC6" w:rsidRPr="006D6F26" w:rsidRDefault="00E25CC6" w:rsidP="006D6F26">
            <w:pPr>
              <w:autoSpaceDE w:val="0"/>
              <w:autoSpaceDN w:val="0"/>
              <w:adjustRightInd w:val="0"/>
              <w:spacing w:after="0"/>
              <w:rPr>
                <w:rFonts w:ascii="Calibri" w:eastAsiaTheme="minorEastAsia" w:hAnsi="Calibri" w:cs="Calibri"/>
                <w:sz w:val="19"/>
                <w:lang w:eastAsia="en-AU"/>
              </w:rPr>
            </w:pPr>
            <w:r w:rsidRPr="006D6F26">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sz w:val="19"/>
                <w:lang w:eastAsia="en-AU"/>
              </w:rPr>
            </w:pPr>
            <w:r w:rsidRPr="006D6F26">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sz w:val="19"/>
                <w:lang w:eastAsia="en-AU"/>
              </w:rPr>
            </w:pPr>
            <w:r w:rsidRPr="006D6F26">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sz w:val="19"/>
                <w:lang w:eastAsia="en-AU"/>
              </w:rPr>
            </w:pPr>
            <w:r w:rsidRPr="006D6F26">
              <w:rPr>
                <w:rFonts w:ascii="Calibri" w:eastAsiaTheme="minorEastAsia" w:hAnsi="Calibri" w:cs="Calibri"/>
                <w:i/>
                <w:iCs/>
                <w:sz w:val="19"/>
                <w:lang w:eastAsia="en-AU"/>
              </w:rPr>
              <w:t>2016-17</w:t>
            </w:r>
          </w:p>
        </w:tc>
      </w:tr>
      <w:tr w:rsidR="00E25CC6" w:rsidRPr="006D6F26" w:rsidTr="006D6F26">
        <w:tc>
          <w:tcPr>
            <w:tcW w:w="5216" w:type="dxa"/>
            <w:tcBorders>
              <w:top w:val="nil"/>
              <w:left w:val="nil"/>
              <w:bottom w:val="single" w:sz="6" w:space="0" w:color="auto"/>
              <w:right w:val="nil"/>
            </w:tcBorders>
            <w:shd w:val="solid" w:color="000000" w:fill="auto"/>
          </w:tcPr>
          <w:p w:rsidR="00E25CC6" w:rsidRPr="006D6F26" w:rsidRDefault="00E25CC6" w:rsidP="006D6F26">
            <w:pPr>
              <w:autoSpaceDE w:val="0"/>
              <w:autoSpaceDN w:val="0"/>
              <w:adjustRightInd w:val="0"/>
              <w:spacing w:after="0"/>
              <w:rPr>
                <w:rFonts w:ascii="Calibri" w:eastAsiaTheme="minorEastAsia" w:hAnsi="Calibri" w:cs="Calibri"/>
                <w:sz w:val="19"/>
                <w:lang w:eastAsia="en-AU"/>
              </w:rPr>
            </w:pPr>
            <w:r w:rsidRPr="006D6F26">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sz w:val="19"/>
                <w:lang w:eastAsia="en-AU"/>
              </w:rPr>
            </w:pPr>
            <w:r w:rsidRPr="006D6F26">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sz w:val="19"/>
                <w:lang w:eastAsia="en-AU"/>
              </w:rPr>
            </w:pPr>
            <w:r w:rsidRPr="006D6F26">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6D6F26" w:rsidRDefault="00E25CC6" w:rsidP="006D6F26">
            <w:pPr>
              <w:autoSpaceDE w:val="0"/>
              <w:autoSpaceDN w:val="0"/>
              <w:adjustRightInd w:val="0"/>
              <w:spacing w:after="0"/>
              <w:jc w:val="right"/>
              <w:rPr>
                <w:rFonts w:ascii="Calibri" w:eastAsiaTheme="minorEastAsia" w:hAnsi="Calibri" w:cs="Calibri"/>
                <w:i/>
                <w:iCs/>
                <w:sz w:val="19"/>
                <w:lang w:eastAsia="en-AU"/>
              </w:rPr>
            </w:pPr>
            <w:r w:rsidRPr="006D6F26">
              <w:rPr>
                <w:rFonts w:ascii="Calibri" w:eastAsiaTheme="minorEastAsia" w:hAnsi="Calibri" w:cs="Calibri"/>
                <w:i/>
                <w:iCs/>
                <w:sz w:val="19"/>
                <w:lang w:eastAsia="en-AU"/>
              </w:rPr>
              <w:t>budget</w:t>
            </w:r>
          </w:p>
        </w:tc>
      </w:tr>
      <w:tr w:rsidR="00E25CC6" w:rsidRPr="006D6F26" w:rsidTr="006D6F26">
        <w:tc>
          <w:tcPr>
            <w:tcW w:w="5216"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b/>
                <w:bCs/>
                <w:sz w:val="19"/>
                <w:lang w:eastAsia="en-AU"/>
              </w:rPr>
            </w:pPr>
            <w:r w:rsidRPr="006D6F26">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3 013.0</w:t>
            </w:r>
          </w:p>
        </w:tc>
        <w:tc>
          <w:tcPr>
            <w:tcW w:w="850"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2 400.8</w:t>
            </w:r>
          </w:p>
        </w:tc>
        <w:tc>
          <w:tcPr>
            <w:tcW w:w="850"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7 066.6</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235.7</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234.6</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250.6</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4.2</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4.2</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2.6</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2 773.2</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2 162.0</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6 813.3</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7.1</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7.1</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7.9</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b/>
                <w:bCs/>
                <w:sz w:val="19"/>
                <w:lang w:eastAsia="en-AU"/>
              </w:rPr>
            </w:pPr>
            <w:r w:rsidRPr="006D6F26">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11.9</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2.2</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0.4</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9.3</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r>
      <w:tr w:rsidR="00E25CC6" w:rsidRPr="006D6F26" w:rsidTr="006D6F26">
        <w:tc>
          <w:tcPr>
            <w:tcW w:w="5216"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 2.8</w:t>
            </w:r>
          </w:p>
        </w:tc>
        <w:tc>
          <w:tcPr>
            <w:tcW w:w="850"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c>
          <w:tcPr>
            <w:tcW w:w="850"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w:t>
            </w:r>
          </w:p>
        </w:tc>
      </w:tr>
      <w:tr w:rsidR="00E25CC6" w:rsidRPr="006D6F26" w:rsidTr="006D6F26">
        <w:tc>
          <w:tcPr>
            <w:tcW w:w="5216"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b/>
                <w:bCs/>
                <w:sz w:val="19"/>
                <w:lang w:eastAsia="en-AU"/>
              </w:rPr>
            </w:pPr>
            <w:r w:rsidRPr="006D6F26">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3 022.9</w:t>
            </w:r>
          </w:p>
        </w:tc>
        <w:tc>
          <w:tcPr>
            <w:tcW w:w="850"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2 419.7</w:t>
            </w:r>
          </w:p>
        </w:tc>
        <w:tc>
          <w:tcPr>
            <w:tcW w:w="850" w:type="dxa"/>
            <w:tcBorders>
              <w:top w:val="single" w:sz="6" w:space="0" w:color="auto"/>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7 074.4</w:t>
            </w:r>
          </w:p>
        </w:tc>
      </w:tr>
      <w:tr w:rsidR="00E25CC6" w:rsidRPr="006D6F26" w:rsidTr="006D6F26">
        <w:tc>
          <w:tcPr>
            <w:tcW w:w="5216" w:type="dxa"/>
            <w:tcBorders>
              <w:top w:val="nil"/>
              <w:left w:val="nil"/>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2 415.4</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2 242.7</w:t>
            </w:r>
          </w:p>
        </w:tc>
        <w:tc>
          <w:tcPr>
            <w:tcW w:w="850" w:type="dxa"/>
            <w:tcBorders>
              <w:top w:val="nil"/>
              <w:left w:val="nil"/>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19"/>
                <w:lang w:eastAsia="en-AU"/>
              </w:rPr>
            </w:pPr>
            <w:r w:rsidRPr="006D6F26">
              <w:rPr>
                <w:rFonts w:ascii="Calibri" w:eastAsiaTheme="minorEastAsia" w:hAnsi="Calibri" w:cs="Calibri"/>
                <w:sz w:val="19"/>
                <w:lang w:eastAsia="en-AU"/>
              </w:rPr>
              <w:t>9 147.0</w:t>
            </w:r>
          </w:p>
        </w:tc>
      </w:tr>
      <w:tr w:rsidR="00E25CC6" w:rsidRPr="006D6F26" w:rsidTr="006D6F26">
        <w:tc>
          <w:tcPr>
            <w:tcW w:w="5216"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sz w:val="19"/>
                <w:lang w:eastAsia="en-AU"/>
              </w:rPr>
            </w:pPr>
            <w:r w:rsidRPr="006D6F26">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3 </w:t>
            </w:r>
            <w:r w:rsidRPr="006D6F26">
              <w:rPr>
                <w:rFonts w:ascii="Calibri" w:eastAsiaTheme="minorEastAsia" w:hAnsi="Calibri" w:cs="Calibri"/>
                <w:sz w:val="20"/>
                <w:lang w:eastAsia="en-AU"/>
              </w:rPr>
              <w:t>134.2</w:t>
            </w:r>
          </w:p>
        </w:tc>
        <w:tc>
          <w:tcPr>
            <w:tcW w:w="850"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3 </w:t>
            </w:r>
            <w:r w:rsidRPr="006D6F26">
              <w:rPr>
                <w:rFonts w:ascii="Calibri" w:eastAsiaTheme="minorEastAsia" w:hAnsi="Calibri" w:cs="Calibri"/>
                <w:sz w:val="20"/>
                <w:lang w:eastAsia="en-AU"/>
              </w:rPr>
              <w:t>135.6</w:t>
            </w:r>
          </w:p>
        </w:tc>
        <w:tc>
          <w:tcPr>
            <w:tcW w:w="850" w:type="dxa"/>
            <w:tcBorders>
              <w:top w:val="nil"/>
              <w:left w:val="nil"/>
              <w:bottom w:val="single" w:sz="6"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sz w:val="20"/>
                <w:lang w:eastAsia="en-AU"/>
              </w:rPr>
            </w:pPr>
            <w:r w:rsidRPr="006D6F26">
              <w:rPr>
                <w:rFonts w:ascii="Calibri" w:eastAsiaTheme="minorEastAsia" w:hAnsi="Calibri" w:cs="Calibri"/>
                <w:sz w:val="19"/>
                <w:lang w:eastAsia="en-AU"/>
              </w:rPr>
              <w:t xml:space="preserve">3 </w:t>
            </w:r>
            <w:r w:rsidRPr="006D6F26">
              <w:rPr>
                <w:rFonts w:ascii="Calibri" w:eastAsiaTheme="minorEastAsia" w:hAnsi="Calibri" w:cs="Calibri"/>
                <w:sz w:val="20"/>
                <w:lang w:eastAsia="en-AU"/>
              </w:rPr>
              <w:t>275.6</w:t>
            </w:r>
          </w:p>
        </w:tc>
      </w:tr>
      <w:tr w:rsidR="00E25CC6" w:rsidRPr="006D6F26" w:rsidTr="006D6F26">
        <w:tc>
          <w:tcPr>
            <w:tcW w:w="5216" w:type="dxa"/>
            <w:tcBorders>
              <w:top w:val="single" w:sz="6" w:space="0" w:color="auto"/>
              <w:left w:val="nil"/>
              <w:bottom w:val="single" w:sz="12" w:space="0" w:color="auto"/>
              <w:right w:val="nil"/>
            </w:tcBorders>
            <w:shd w:val="solid" w:color="FFFFFF" w:fill="FFFFFF"/>
          </w:tcPr>
          <w:p w:rsidR="00E25CC6" w:rsidRPr="006D6F26" w:rsidRDefault="00E25CC6" w:rsidP="006D6F26">
            <w:pPr>
              <w:autoSpaceDE w:val="0"/>
              <w:autoSpaceDN w:val="0"/>
              <w:adjustRightInd w:val="0"/>
              <w:spacing w:after="0"/>
              <w:ind w:left="227" w:hanging="227"/>
              <w:rPr>
                <w:rFonts w:ascii="Calibri" w:eastAsiaTheme="minorEastAsia" w:hAnsi="Calibri" w:cs="Calibri"/>
                <w:b/>
                <w:bCs/>
                <w:sz w:val="19"/>
                <w:lang w:eastAsia="en-AU"/>
              </w:rPr>
            </w:pPr>
            <w:r w:rsidRPr="006D6F26">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8 572.5</w:t>
            </w:r>
          </w:p>
        </w:tc>
        <w:tc>
          <w:tcPr>
            <w:tcW w:w="850" w:type="dxa"/>
            <w:tcBorders>
              <w:top w:val="single" w:sz="6" w:space="0" w:color="auto"/>
              <w:left w:val="nil"/>
              <w:bottom w:val="single" w:sz="12"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7 798.0</w:t>
            </w:r>
          </w:p>
        </w:tc>
        <w:tc>
          <w:tcPr>
            <w:tcW w:w="850" w:type="dxa"/>
            <w:tcBorders>
              <w:top w:val="single" w:sz="6" w:space="0" w:color="auto"/>
              <w:left w:val="nil"/>
              <w:bottom w:val="single" w:sz="12" w:space="0" w:color="auto"/>
              <w:right w:val="nil"/>
            </w:tcBorders>
            <w:shd w:val="solid" w:color="FFFFFF" w:fill="FFFFFF"/>
          </w:tcPr>
          <w:p w:rsidR="00E25CC6" w:rsidRPr="006D6F26" w:rsidRDefault="00E25CC6" w:rsidP="006D6F26">
            <w:pPr>
              <w:autoSpaceDE w:val="0"/>
              <w:autoSpaceDN w:val="0"/>
              <w:adjustRightInd w:val="0"/>
              <w:spacing w:after="0"/>
              <w:jc w:val="right"/>
              <w:rPr>
                <w:rFonts w:ascii="Calibri" w:eastAsiaTheme="minorEastAsia" w:hAnsi="Calibri" w:cs="Calibri"/>
                <w:b/>
                <w:bCs/>
                <w:sz w:val="19"/>
                <w:lang w:eastAsia="en-AU"/>
              </w:rPr>
            </w:pPr>
            <w:r w:rsidRPr="006D6F26">
              <w:rPr>
                <w:rFonts w:ascii="Calibri" w:eastAsiaTheme="minorEastAsia" w:hAnsi="Calibri" w:cs="Calibri"/>
                <w:b/>
                <w:bCs/>
                <w:sz w:val="19"/>
                <w:lang w:eastAsia="en-AU"/>
              </w:rPr>
              <w:t>19 497.1</w:t>
            </w:r>
          </w:p>
        </w:tc>
      </w:tr>
    </w:tbl>
    <w:p w:rsidR="00E25CC6" w:rsidRPr="008020C0" w:rsidRDefault="00E25CC6" w:rsidP="006D23B1">
      <w:pPr>
        <w:pStyle w:val="Source"/>
        <w:rPr>
          <w:rFonts w:eastAsiaTheme="minorHAnsi"/>
          <w:i w:val="0"/>
        </w:rPr>
      </w:pPr>
      <w:r>
        <w:rPr>
          <w:rFonts w:eastAsiaTheme="minorHAnsi"/>
        </w:rPr>
        <w:t xml:space="preserve">Source: Department of Treasury and Finance </w:t>
      </w:r>
      <w:r>
        <w:rPr>
          <w:rFonts w:eastAsiaTheme="minorHAnsi"/>
        </w:rPr>
        <w:fldChar w:fldCharType="begin"/>
      </w:r>
      <w:r>
        <w:instrText xml:space="preserve"> XE "</w:instrText>
      </w:r>
      <w:r w:rsidRPr="00112E97">
        <w:instrText>Department of Treasury and Finance:Parliamentary authority for resources</w:instrText>
      </w:r>
      <w:r>
        <w:instrText xml:space="preserve">" </w:instrText>
      </w:r>
      <w:r>
        <w:rPr>
          <w:rFonts w:eastAsiaTheme="minorHAnsi"/>
        </w:rPr>
        <w:fldChar w:fldCharType="end"/>
      </w:r>
    </w:p>
    <w:p w:rsidR="00E25CC6" w:rsidRDefault="00E25CC6">
      <w:pPr>
        <w:spacing w:after="0"/>
        <w:rPr>
          <w:rFonts w:eastAsiaTheme="minorHAnsi"/>
        </w:rPr>
      </w:pPr>
    </w:p>
    <w:p w:rsidR="00E25CC6" w:rsidRDefault="00E25CC6">
      <w:pPr>
        <w:spacing w:after="0"/>
        <w:rPr>
          <w:rFonts w:ascii="Calibri" w:eastAsiaTheme="minorHAnsi" w:hAnsi="Calibri"/>
          <w:sz w:val="20"/>
          <w:szCs w:val="18"/>
        </w:rPr>
      </w:pPr>
      <w:r>
        <w:rPr>
          <w:rFonts w:eastAsiaTheme="minorHAnsi"/>
        </w:rPr>
        <w:br w:type="page"/>
      </w:r>
    </w:p>
    <w:p w:rsidR="00E25CC6" w:rsidRPr="00D14D27" w:rsidRDefault="00E25CC6" w:rsidP="009A66FD">
      <w:pPr>
        <w:pStyle w:val="OGHeading1"/>
        <w:rPr>
          <w:rFonts w:eastAsiaTheme="minorHAnsi"/>
        </w:rPr>
      </w:pPr>
      <w:r w:rsidRPr="00D14D27">
        <w:rPr>
          <w:rFonts w:eastAsiaTheme="minorHAnsi"/>
        </w:rPr>
        <w:t>Sound financial management of Victoria</w:t>
      </w:r>
      <w:r>
        <w:rPr>
          <w:rFonts w:eastAsiaTheme="minorHAnsi"/>
        </w:rPr>
        <w:t>’</w:t>
      </w:r>
      <w:r w:rsidRPr="00D14D27">
        <w:rPr>
          <w:rFonts w:eastAsiaTheme="minorHAnsi"/>
        </w:rPr>
        <w:t>s fiscal resources</w:t>
      </w:r>
    </w:p>
    <w:p w:rsidR="00E25CC6" w:rsidRPr="00D14D27" w:rsidRDefault="00E25CC6" w:rsidP="00D14D27">
      <w:pPr>
        <w:pStyle w:val="OGText"/>
        <w:rPr>
          <w:rFonts w:eastAsiaTheme="minorHAnsi"/>
        </w:rPr>
      </w:pPr>
      <w:bookmarkStart w:id="102" w:name="DTF_SoundFinMgmnt"/>
      <w:r w:rsidRPr="00D14D27">
        <w:rPr>
          <w:rFonts w:eastAsiaTheme="minorHAnsi"/>
        </w:rPr>
        <w:t>The Department of Treasury and Finance has a central role in shaping Victoria</w:t>
      </w:r>
      <w:r>
        <w:rPr>
          <w:rFonts w:eastAsiaTheme="minorHAnsi"/>
        </w:rPr>
        <w:t>’</w:t>
      </w:r>
      <w:r w:rsidRPr="00D14D27">
        <w:rPr>
          <w:rFonts w:eastAsiaTheme="minorHAnsi"/>
        </w:rPr>
        <w:t>s economic, social and fiscal policy to ensure that Government financial policies are fiscally sound.</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C069E6" w:rsidTr="00C069E6">
        <w:trPr>
          <w:cantSplit/>
          <w:tblHeader/>
        </w:trPr>
        <w:tc>
          <w:tcPr>
            <w:tcW w:w="3146" w:type="dxa"/>
            <w:tcBorders>
              <w:top w:val="nil"/>
              <w:left w:val="nil"/>
              <w:bottom w:val="single" w:sz="4" w:space="0" w:color="auto"/>
              <w:right w:val="nil"/>
            </w:tcBorders>
            <w:shd w:val="solid" w:color="000000" w:fill="auto"/>
            <w:vAlign w:val="bottom"/>
          </w:tcPr>
          <w:p w:rsidR="00E25CC6" w:rsidRPr="00C069E6" w:rsidRDefault="00E25CC6" w:rsidP="00C069E6">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b/>
                <w:bCs/>
                <w:color w:val="FFFFFF"/>
                <w:sz w:val="19"/>
                <w:szCs w:val="22"/>
                <w:lang w:eastAsia="en-AU"/>
              </w:rPr>
              <w:t>Major outputs/deliverables</w:t>
            </w:r>
          </w:p>
          <w:p w:rsidR="00E25CC6" w:rsidRPr="00C069E6" w:rsidRDefault="00E25CC6" w:rsidP="00C069E6">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C069E6" w:rsidRDefault="00E25CC6" w:rsidP="00C069E6">
            <w:pPr>
              <w:autoSpaceDE w:val="0"/>
              <w:autoSpaceDN w:val="0"/>
              <w:adjustRightInd w:val="0"/>
              <w:spacing w:after="0"/>
              <w:jc w:val="center"/>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C069E6" w:rsidRDefault="00E25CC6" w:rsidP="00C069E6">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C069E6" w:rsidRDefault="00E25CC6" w:rsidP="00C069E6">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C069E6" w:rsidRDefault="00E25CC6" w:rsidP="00C069E6">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C069E6" w:rsidRDefault="00E25CC6" w:rsidP="00C069E6">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15 actual</w:t>
            </w:r>
          </w:p>
        </w:tc>
      </w:tr>
      <w:tr w:rsidR="00E25CC6" w:rsidRPr="00C069E6" w:rsidTr="00C069E6">
        <w:trPr>
          <w:cantSplit/>
        </w:trPr>
        <w:tc>
          <w:tcPr>
            <w:tcW w:w="7767" w:type="dxa"/>
            <w:gridSpan w:val="6"/>
            <w:tcBorders>
              <w:top w:val="single" w:sz="4" w:space="0" w:color="auto"/>
              <w:left w:val="nil"/>
              <w:bottom w:val="nil"/>
              <w:right w:val="nil"/>
            </w:tcBorders>
          </w:tcPr>
          <w:p w:rsidR="00E25CC6" w:rsidRPr="00C069E6" w:rsidRDefault="00E25CC6" w:rsidP="00C069E6">
            <w:pPr>
              <w:pStyle w:val="OGHeading2"/>
              <w:rPr>
                <w:lang w:eastAsia="en-AU"/>
              </w:rPr>
            </w:pPr>
            <w:r w:rsidRPr="00C069E6">
              <w:rPr>
                <w:lang w:eastAsia="en-AU"/>
              </w:rPr>
              <w:t>Budget and Financial Advice</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Text"/>
              <w:keepNext w:val="0"/>
              <w:rPr>
                <w:lang w:eastAsia="en-AU"/>
              </w:rPr>
            </w:pPr>
            <w:r w:rsidRPr="00C069E6">
              <w:rPr>
                <w:lang w:eastAsia="en-AU"/>
              </w:rPr>
              <w:t>This output contributes to the provision of strategic, timely and comprehensive analysis and advice to Ministers, Cabinet and Cabinet Sub</w:t>
            </w:r>
            <w:r>
              <w:rPr>
                <w:lang w:eastAsia="en-AU"/>
              </w:rPr>
              <w:noBreakHyphen/>
            </w:r>
            <w:r w:rsidRPr="00C069E6">
              <w:rPr>
                <w:lang w:eastAsia="en-AU"/>
              </w:rPr>
              <w:t xml:space="preserve">Committees on: </w:t>
            </w:r>
          </w:p>
          <w:p w:rsidR="00E25CC6" w:rsidRPr="00C069E6" w:rsidRDefault="00E25CC6" w:rsidP="00C069E6">
            <w:pPr>
              <w:pStyle w:val="OGBullet"/>
            </w:pPr>
            <w:r w:rsidRPr="00C069E6">
              <w:t>resource allocation;</w:t>
            </w:r>
          </w:p>
          <w:p w:rsidR="00E25CC6" w:rsidRPr="00C069E6" w:rsidRDefault="00E25CC6" w:rsidP="00C069E6">
            <w:pPr>
              <w:pStyle w:val="OGBullet"/>
              <w:rPr>
                <w:lang w:eastAsia="en-AU"/>
              </w:rPr>
            </w:pPr>
            <w:r w:rsidRPr="00C069E6">
              <w:rPr>
                <w:lang w:eastAsia="en-AU"/>
              </w:rPr>
              <w:t>departmental financial, output and asset delivery performance to support government in making decisions on the allocation of the State</w:t>
            </w:r>
            <w:r>
              <w:rPr>
                <w:lang w:eastAsia="en-AU"/>
              </w:rPr>
              <w:t>’</w:t>
            </w:r>
            <w:r w:rsidRPr="00C069E6">
              <w:rPr>
                <w:lang w:eastAsia="en-AU"/>
              </w:rPr>
              <w:t xml:space="preserve">s fiscal resources; and </w:t>
            </w:r>
          </w:p>
          <w:p w:rsidR="00E25CC6" w:rsidRDefault="00E25CC6" w:rsidP="00C069E6">
            <w:pPr>
              <w:pStyle w:val="OGBullet"/>
              <w:rPr>
                <w:lang w:eastAsia="en-AU"/>
              </w:rPr>
            </w:pPr>
            <w:r w:rsidRPr="00C069E6">
              <w:rPr>
                <w:lang w:eastAsia="en-AU"/>
              </w:rPr>
              <w:t>management of Funding Reviews.</w:t>
            </w:r>
          </w:p>
          <w:p w:rsidR="00E25CC6" w:rsidRPr="00C069E6" w:rsidRDefault="00E25CC6" w:rsidP="00C069E6">
            <w:pPr>
              <w:pStyle w:val="OGText"/>
              <w:keepNext w:val="0"/>
              <w:rPr>
                <w:lang w:eastAsia="en-AU"/>
              </w:rPr>
            </w:pPr>
            <w:r w:rsidRPr="00C069E6">
              <w:rPr>
                <w:lang w:eastAsia="en-AU"/>
              </w:rPr>
              <w:t>It also maintains the integrity of systems and information for financial planning, management, monitoring and reporting of the State of Victoria through:</w:t>
            </w:r>
          </w:p>
          <w:p w:rsidR="00E25CC6" w:rsidRPr="00C069E6" w:rsidRDefault="00E25CC6" w:rsidP="00C069E6">
            <w:pPr>
              <w:pStyle w:val="OGBullet"/>
              <w:rPr>
                <w:lang w:eastAsia="en-AU"/>
              </w:rPr>
            </w:pPr>
            <w:r w:rsidRPr="00C069E6">
              <w:rPr>
                <w:lang w:eastAsia="en-AU"/>
              </w:rPr>
              <w:t xml:space="preserve">publication of the State budget and budget related documents; </w:t>
            </w:r>
          </w:p>
          <w:p w:rsidR="00E25CC6" w:rsidRPr="00C069E6" w:rsidRDefault="00E25CC6" w:rsidP="00C069E6">
            <w:pPr>
              <w:pStyle w:val="OGBullet"/>
              <w:rPr>
                <w:lang w:eastAsia="en-AU"/>
              </w:rPr>
            </w:pPr>
            <w:r w:rsidRPr="00C069E6">
              <w:rPr>
                <w:lang w:eastAsia="en-AU"/>
              </w:rPr>
              <w:t>reporting, monitoring and publication of financial and non</w:t>
            </w:r>
            <w:r>
              <w:rPr>
                <w:lang w:eastAsia="en-AU"/>
              </w:rPr>
              <w:noBreakHyphen/>
            </w:r>
            <w:r w:rsidRPr="00C069E6">
              <w:rPr>
                <w:lang w:eastAsia="en-AU"/>
              </w:rPr>
              <w:t xml:space="preserve">financial performance in the Victorian public sector; </w:t>
            </w:r>
          </w:p>
          <w:p w:rsidR="00E25CC6" w:rsidRPr="00C069E6" w:rsidRDefault="00E25CC6" w:rsidP="00C069E6">
            <w:pPr>
              <w:pStyle w:val="OGBullet"/>
              <w:rPr>
                <w:lang w:eastAsia="en-AU"/>
              </w:rPr>
            </w:pPr>
            <w:r w:rsidRPr="00C069E6">
              <w:rPr>
                <w:lang w:eastAsia="en-AU"/>
              </w:rPr>
              <w:t xml:space="preserve">management of the Public Account operations; and </w:t>
            </w:r>
          </w:p>
          <w:p w:rsidR="00E25CC6" w:rsidRDefault="00E25CC6" w:rsidP="00C069E6">
            <w:pPr>
              <w:pStyle w:val="OGBullet"/>
              <w:rPr>
                <w:lang w:eastAsia="en-AU"/>
              </w:rPr>
            </w:pPr>
            <w:r w:rsidRPr="00C069E6">
              <w:rPr>
                <w:lang w:eastAsia="en-AU"/>
              </w:rPr>
              <w:t xml:space="preserve">best practice financial reporting framework, and whole of state management information systems, supporting financial reporting across the Victorian public sector. </w:t>
            </w:r>
          </w:p>
          <w:p w:rsidR="00E25CC6" w:rsidRPr="00C069E6" w:rsidRDefault="00E25CC6" w:rsidP="00C069E6">
            <w:pPr>
              <w:pStyle w:val="OGText"/>
              <w:keepNext w:val="0"/>
              <w:rPr>
                <w:lang w:eastAsia="en-AU"/>
              </w:rPr>
            </w:pPr>
            <w:r w:rsidRPr="00C069E6">
              <w:rPr>
                <w:lang w:eastAsia="en-AU"/>
              </w:rPr>
              <w:t xml:space="preserve">It also develops and maintains cohesive financial and resource management frameworks that drive sound financial and resource management practices in the Victorian public sector by: </w:t>
            </w:r>
          </w:p>
          <w:p w:rsidR="00E25CC6" w:rsidRPr="00C069E6" w:rsidRDefault="00E25CC6" w:rsidP="00C069E6">
            <w:pPr>
              <w:pStyle w:val="OGBullet"/>
              <w:rPr>
                <w:lang w:eastAsia="en-AU"/>
              </w:rPr>
            </w:pPr>
            <w:r w:rsidRPr="00C069E6">
              <w:rPr>
                <w:lang w:eastAsia="en-AU"/>
              </w:rPr>
              <w:t xml:space="preserve">enhancing key frameworks to drive performance; </w:t>
            </w:r>
          </w:p>
          <w:p w:rsidR="00E25CC6" w:rsidRPr="00C069E6" w:rsidRDefault="00E25CC6" w:rsidP="00C069E6">
            <w:pPr>
              <w:pStyle w:val="OGBullet"/>
              <w:rPr>
                <w:lang w:eastAsia="en-AU"/>
              </w:rPr>
            </w:pPr>
            <w:r w:rsidRPr="00C069E6">
              <w:rPr>
                <w:lang w:eastAsia="en-AU"/>
              </w:rPr>
              <w:t>monitoring VPS entities</w:t>
            </w:r>
            <w:r>
              <w:rPr>
                <w:lang w:eastAsia="en-AU"/>
              </w:rPr>
              <w:t>’</w:t>
            </w:r>
            <w:r w:rsidRPr="00C069E6">
              <w:rPr>
                <w:lang w:eastAsia="en-AU"/>
              </w:rPr>
              <w:t xml:space="preserve"> compliance; </w:t>
            </w:r>
          </w:p>
          <w:p w:rsidR="00E25CC6" w:rsidRPr="00C069E6" w:rsidRDefault="00E25CC6" w:rsidP="00C069E6">
            <w:pPr>
              <w:pStyle w:val="OGBullet"/>
              <w:rPr>
                <w:lang w:eastAsia="en-AU"/>
              </w:rPr>
            </w:pPr>
            <w:r w:rsidRPr="00C069E6">
              <w:rPr>
                <w:lang w:eastAsia="en-AU"/>
              </w:rPr>
              <w:t xml:space="preserve">advising government and key stakeholders on financial and resource management and compliance issues; </w:t>
            </w:r>
          </w:p>
          <w:p w:rsidR="00E25CC6" w:rsidRPr="00C069E6" w:rsidRDefault="00E25CC6" w:rsidP="00C069E6">
            <w:pPr>
              <w:pStyle w:val="OGBullet"/>
              <w:rPr>
                <w:lang w:eastAsia="en-AU"/>
              </w:rPr>
            </w:pPr>
            <w:r w:rsidRPr="00C069E6">
              <w:rPr>
                <w:lang w:eastAsia="en-AU"/>
              </w:rPr>
              <w:t xml:space="preserve">ensuring that financial and resource management frameworks are established and complied with; </w:t>
            </w:r>
          </w:p>
          <w:p w:rsidR="00E25CC6" w:rsidRPr="00C069E6" w:rsidRDefault="00E25CC6" w:rsidP="00C069E6">
            <w:pPr>
              <w:pStyle w:val="OGBullet"/>
              <w:rPr>
                <w:lang w:eastAsia="en-AU"/>
              </w:rPr>
            </w:pPr>
            <w:r w:rsidRPr="00C069E6">
              <w:rPr>
                <w:lang w:eastAsia="en-AU"/>
              </w:rPr>
              <w:t xml:space="preserve">promoting continuous improvement in resource allocation and management through regular reviews and updates to ensure the frameworks represent good practice; and </w:t>
            </w:r>
          </w:p>
          <w:p w:rsidR="00E25CC6" w:rsidRPr="00C069E6" w:rsidRDefault="00E25CC6" w:rsidP="00C069E6">
            <w:pPr>
              <w:pStyle w:val="OGBullet"/>
              <w:rPr>
                <w:lang w:eastAsia="en-AU"/>
              </w:rPr>
            </w:pPr>
            <w:r w:rsidRPr="00C069E6">
              <w:rPr>
                <w:lang w:eastAsia="en-AU"/>
              </w:rPr>
              <w:t>promoting awareness of financial management accountabilities and roles.</w:t>
            </w:r>
          </w:p>
          <w:p w:rsidR="00E25CC6" w:rsidRPr="00C069E6" w:rsidRDefault="00E25CC6" w:rsidP="00C069E6">
            <w:pPr>
              <w:pStyle w:val="OGText"/>
              <w:keepNext w:val="0"/>
              <w:rPr>
                <w:lang w:eastAsia="en-AU"/>
              </w:rPr>
            </w:pPr>
            <w:r w:rsidRPr="00C069E6">
              <w:rPr>
                <w:lang w:eastAsia="en-AU"/>
              </w:rPr>
              <w:t>This output contributes to the Department</w:t>
            </w:r>
            <w:r>
              <w:rPr>
                <w:lang w:eastAsia="en-AU"/>
              </w:rPr>
              <w:t>’</w:t>
            </w:r>
            <w:r w:rsidRPr="00C069E6">
              <w:rPr>
                <w:lang w:eastAsia="en-AU"/>
              </w:rPr>
              <w:t>s sound financial management of Victoria</w:t>
            </w:r>
            <w:r>
              <w:rPr>
                <w:lang w:eastAsia="en-AU"/>
              </w:rPr>
              <w:t>’</w:t>
            </w:r>
            <w:r w:rsidRPr="00C069E6">
              <w:rPr>
                <w:lang w:eastAsia="en-AU"/>
              </w:rPr>
              <w:t xml:space="preserve">s fiscal resources objective. </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keepNext/>
              <w:keepLines/>
              <w:spacing w:before="30" w:after="30"/>
              <w:ind w:left="144"/>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keepNext/>
              <w:keepLines/>
              <w:rPr>
                <w:lang w:eastAsia="en-AU"/>
              </w:rPr>
            </w:pPr>
            <w:r w:rsidRPr="00C069E6">
              <w:rPr>
                <w:lang w:eastAsia="en-AU"/>
              </w:rPr>
              <w:t>Funding reviews delivered</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AA5B57">
            <w:pPr>
              <w:pStyle w:val="OGNotes"/>
            </w:pPr>
            <w:r w:rsidRPr="00C069E6">
              <w:t xml:space="preserve">This performance measure was proposed to be discontinued in the </w:t>
            </w:r>
            <w:r w:rsidRPr="00044253">
              <w:rPr>
                <w:i w:val="0"/>
              </w:rPr>
              <w:t>2015</w:t>
            </w:r>
            <w:r w:rsidRPr="00044253">
              <w:rPr>
                <w:i w:val="0"/>
              </w:rPr>
              <w:noBreakHyphen/>
              <w:t>16 Budget</w:t>
            </w:r>
            <w:r w:rsidRPr="00C069E6">
              <w:t>, however has been reinstated following the Parliamentary Accounts and Estimates Committee</w:t>
            </w:r>
            <w:r>
              <w:t>’</w:t>
            </w:r>
            <w:r w:rsidRPr="00C069E6">
              <w:t xml:space="preserve">s review of the </w:t>
            </w:r>
            <w:r w:rsidRPr="00044253">
              <w:t>2015</w:t>
            </w:r>
            <w:r w:rsidRPr="00044253">
              <w:noBreakHyphen/>
              <w:t>16 budget</w:t>
            </w:r>
            <w:r w:rsidRPr="00232C81">
              <w:rPr>
                <w:i w:val="0"/>
              </w:rPr>
              <w:t xml:space="preserve"> </w:t>
            </w:r>
            <w:r w:rsidRPr="00C069E6">
              <w:t xml:space="preserve">estimates. This measure reinstates and renames the former performance measure </w:t>
            </w:r>
            <w:r>
              <w:t>‘</w:t>
            </w:r>
            <w:r w:rsidRPr="00C069E6">
              <w:t>Cost Control and Efficiency Reviews</w:t>
            </w:r>
            <w:r>
              <w:t>’</w:t>
            </w:r>
            <w:r w:rsidRPr="00C069E6">
              <w:t>. The new measure reports on the same activity as the previous measure however has been amended for increased clarity. The 2015</w:t>
            </w:r>
            <w:r>
              <w:noBreakHyphen/>
            </w:r>
            <w:r w:rsidRPr="00C069E6">
              <w:t xml:space="preserve">16 </w:t>
            </w:r>
            <w:r w:rsidRPr="00B22DB8">
              <w:t>expected outcome</w:t>
            </w:r>
            <w:r w:rsidRPr="00C069E6">
              <w:t xml:space="preserve"> is lower than the 2015</w:t>
            </w:r>
            <w:r>
              <w:noBreakHyphen/>
            </w:r>
            <w:r w:rsidRPr="00C069E6">
              <w:t xml:space="preserve">16 </w:t>
            </w:r>
            <w:r>
              <w:t>target</w:t>
            </w:r>
            <w:r w:rsidRPr="00C069E6">
              <w:t xml:space="preserve"> due to the larger scale of reviews commenced.</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Quality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single" w:sz="6" w:space="0" w:color="auto"/>
              <w:right w:val="nil"/>
            </w:tcBorders>
          </w:tcPr>
          <w:p w:rsidR="00E25CC6" w:rsidRPr="00C069E6" w:rsidRDefault="00E25CC6" w:rsidP="00C069E6">
            <w:pPr>
              <w:pStyle w:val="OGTabText"/>
              <w:rPr>
                <w:lang w:eastAsia="en-AU"/>
              </w:rPr>
            </w:pPr>
            <w:r w:rsidRPr="00C069E6">
              <w:rPr>
                <w:lang w:eastAsia="en-AU"/>
              </w:rPr>
              <w:t>Accuracy of the revised estimate of State budget expenditure</w:t>
            </w:r>
          </w:p>
        </w:tc>
        <w:tc>
          <w:tcPr>
            <w:tcW w:w="907"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92"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07"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08"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2.1</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Auditor</w:t>
            </w:r>
            <w:r>
              <w:rPr>
                <w:lang w:eastAsia="en-AU"/>
              </w:rPr>
              <w:noBreakHyphen/>
            </w:r>
            <w:r w:rsidRPr="00C069E6">
              <w:rPr>
                <w:lang w:eastAsia="en-AU"/>
              </w:rPr>
              <w:t>General qualification relating to material weaknesses in financial reporting systems and processes for the State of Victoria Financial Report or Estimated Financial Statements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tcBorders>
              <w:top w:val="single" w:sz="6" w:space="0" w:color="auto"/>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0</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0</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276B62">
            <w:pPr>
              <w:pStyle w:val="OGNotes"/>
            </w:pPr>
            <w:r w:rsidRPr="00C069E6">
              <w:t>Whil</w:t>
            </w:r>
            <w:r>
              <w:t>e</w:t>
            </w:r>
            <w:r w:rsidRPr="00C069E6">
              <w:t xml:space="preserve"> the </w:t>
            </w:r>
            <w:r w:rsidRPr="00044253">
              <w:rPr>
                <w:i w:val="0"/>
              </w:rPr>
              <w:t>2014</w:t>
            </w:r>
            <w:r w:rsidRPr="00044253">
              <w:rPr>
                <w:i w:val="0"/>
              </w:rPr>
              <w:noBreakHyphen/>
              <w:t>15 Annual Financial Report</w:t>
            </w:r>
            <w:r w:rsidRPr="00C069E6">
              <w:t xml:space="preserve"> received two qualifications from the Acting Auditor</w:t>
            </w:r>
            <w:r>
              <w:noBreakHyphen/>
            </w:r>
            <w:r w:rsidRPr="00C069E6">
              <w:t>General, these did not relate to material weaknesses in DTF</w:t>
            </w:r>
            <w:r>
              <w:t>’</w:t>
            </w:r>
            <w:r w:rsidRPr="00C069E6">
              <w:t>s financial reporting systems and processes.</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Recommendations on financial management framework matters made by PAEC and VAGO and supported by Government are actioned</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VPS stakeholder feedback indicates delivery of advice and information sessions supported the financial reporting framework across the VPS and supported the VPS to understand the financial management framework</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AA5B57">
            <w:pPr>
              <w:pStyle w:val="OGNotes"/>
            </w:pPr>
            <w:r w:rsidRPr="00C069E6">
              <w:t>This performance measure is proposed to consolidate the 2015</w:t>
            </w:r>
            <w:r>
              <w:noBreakHyphen/>
            </w:r>
            <w:r w:rsidRPr="00C069E6">
              <w:t xml:space="preserve">16 performance measures </w:t>
            </w:r>
            <w:r>
              <w:t>‘</w:t>
            </w:r>
            <w:r w:rsidRPr="00C069E6">
              <w:t>VPS stakeholder feedback indicates delivery of advice and information sessions supported the VPS to understand the financial management framework</w:t>
            </w:r>
            <w:r>
              <w:t>’</w:t>
            </w:r>
            <w:r w:rsidRPr="00C069E6">
              <w:t xml:space="preserve"> and </w:t>
            </w:r>
            <w:r>
              <w:t>‘</w:t>
            </w:r>
            <w:r w:rsidRPr="00C069E6">
              <w:t>Supporting the financial reporting framework across the VPS (survey data)</w:t>
            </w:r>
            <w:r>
              <w:t>’</w:t>
            </w:r>
            <w:r w:rsidRPr="00C069E6">
              <w:t xml:space="preserve">. </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Maintain ISO 9001 (Quality Management Systems) Certification</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AA5B57">
            <w:pPr>
              <w:pStyle w:val="OGNotes"/>
            </w:pPr>
            <w:r w:rsidRPr="00C069E6">
              <w:t>This performance measure consolidates three 2015</w:t>
            </w:r>
            <w:r>
              <w:noBreakHyphen/>
            </w:r>
            <w:r w:rsidRPr="00C069E6">
              <w:t xml:space="preserve">16 performance measures all named </w:t>
            </w:r>
            <w:r>
              <w:t>‘</w:t>
            </w:r>
            <w:r w:rsidRPr="00C069E6">
              <w:t>Maintain ISO 9001 (Quality Management Systems) Certification</w:t>
            </w:r>
            <w:r>
              <w:t>’</w:t>
            </w:r>
            <w:r w:rsidRPr="00C069E6">
              <w:t xml:space="preserve"> from the former outputs </w:t>
            </w:r>
            <w:r>
              <w:t>‘</w:t>
            </w:r>
            <w:r w:rsidRPr="00C069E6">
              <w:t>Budget and Financial Policy Advice</w:t>
            </w:r>
            <w:r>
              <w:t>’</w:t>
            </w:r>
            <w:r w:rsidRPr="00C069E6">
              <w:t xml:space="preserve">, </w:t>
            </w:r>
            <w:r>
              <w:t>‘</w:t>
            </w:r>
            <w:r w:rsidRPr="00C069E6">
              <w:t>Financial Reporting</w:t>
            </w:r>
            <w:r>
              <w:t xml:space="preserve">’ </w:t>
            </w:r>
            <w:r w:rsidRPr="00C069E6">
              <w:t xml:space="preserve">and </w:t>
            </w:r>
            <w:r>
              <w:t>‘</w:t>
            </w:r>
            <w:r w:rsidRPr="00C069E6">
              <w:t>Financial and Resource Management Frameworks Maintenance and Support</w:t>
            </w:r>
            <w:r>
              <w:t>’</w:t>
            </w:r>
            <w:r w:rsidRPr="00C069E6">
              <w:t>.</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Timeliness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1313A5">
            <w:pPr>
              <w:pStyle w:val="OGTabText"/>
              <w:rPr>
                <w:lang w:eastAsia="en-AU"/>
              </w:rPr>
            </w:pPr>
            <w:r w:rsidRPr="00C069E6">
              <w:rPr>
                <w:lang w:eastAsia="en-AU"/>
              </w:rPr>
              <w:t xml:space="preserve">Delivery of Funding </w:t>
            </w:r>
            <w:r>
              <w:rPr>
                <w:lang w:eastAsia="en-AU"/>
              </w:rPr>
              <w:t>r</w:t>
            </w:r>
            <w:r w:rsidRPr="00C069E6">
              <w:rPr>
                <w:lang w:eastAsia="en-AU"/>
              </w:rPr>
              <w:t>eview reports within agreed timeframes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AA5B57">
            <w:pPr>
              <w:pStyle w:val="OGNotes"/>
            </w:pPr>
            <w:r w:rsidRPr="00C069E6">
              <w:t>This performance measure renames the 2015</w:t>
            </w:r>
            <w:r>
              <w:noBreakHyphen/>
            </w:r>
            <w:r w:rsidRPr="00C069E6">
              <w:t xml:space="preserve">16 performance measure </w:t>
            </w:r>
            <w:r>
              <w:t>‘</w:t>
            </w:r>
            <w:r w:rsidRPr="00C069E6">
              <w:t>Delivery of Cost Control and Efficiency Review reports within agreed timeframes</w:t>
            </w:r>
            <w:r>
              <w:t>’</w:t>
            </w:r>
            <w:r w:rsidRPr="00C069E6">
              <w:t>. The new measure reports on the same activity as the previous measure however has been amended for increased clarity.</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Delivery of advice to Government on portfolio performance within agreed timeframes</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Annual Budget published by date agreed by Treasurer</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date</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May 2017</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27 Apr 2016</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May 2016</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05 May 2015</w:t>
            </w:r>
          </w:p>
        </w:tc>
      </w:tr>
      <w:tr w:rsidR="00E25CC6" w:rsidRPr="00C069E6" w:rsidTr="00C069E6">
        <w:trPr>
          <w:cantSplit/>
        </w:trPr>
        <w:tc>
          <w:tcPr>
            <w:tcW w:w="3146" w:type="dxa"/>
            <w:tcBorders>
              <w:top w:val="nil"/>
              <w:left w:val="nil"/>
              <w:bottom w:val="nil"/>
              <w:right w:val="nil"/>
            </w:tcBorders>
          </w:tcPr>
          <w:p w:rsidR="00E25CC6" w:rsidRPr="00C069E6" w:rsidRDefault="00E25CC6" w:rsidP="00D60167">
            <w:pPr>
              <w:pStyle w:val="OGTabText"/>
              <w:rPr>
                <w:lang w:eastAsia="en-AU"/>
              </w:rPr>
            </w:pPr>
            <w:r w:rsidRPr="00C069E6">
              <w:rPr>
                <w:lang w:eastAsia="en-AU"/>
              </w:rPr>
              <w:t>Budget Update, Financial Report for the State of Victoria, Mid</w:t>
            </w:r>
            <w:r>
              <w:rPr>
                <w:lang w:eastAsia="en-AU"/>
              </w:rPr>
              <w:noBreakHyphen/>
            </w:r>
            <w:r w:rsidRPr="00C069E6">
              <w:rPr>
                <w:lang w:eastAsia="en-AU"/>
              </w:rPr>
              <w:t>Year Financial Report, and Quarterly Financial Reports are transmitted by legislated timeline</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71</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information in this timeliness measure implies the same information as a quantity measure. The 2015</w:t>
            </w:r>
            <w:r>
              <w:noBreakHyphen/>
            </w:r>
            <w:r w:rsidRPr="00C069E6">
              <w:t xml:space="preserve">16 </w:t>
            </w:r>
            <w:r w:rsidRPr="00B22DB8">
              <w:t>expected outcome</w:t>
            </w:r>
            <w:r w:rsidRPr="00C069E6">
              <w:t xml:space="preserve"> is lower than the 2015</w:t>
            </w:r>
            <w:r>
              <w:noBreakHyphen/>
            </w:r>
            <w:r w:rsidRPr="00C069E6">
              <w:t xml:space="preserve">16 </w:t>
            </w:r>
            <w:r>
              <w:t>target</w:t>
            </w:r>
            <w:r w:rsidRPr="00C069E6">
              <w:t xml:space="preserve"> as the audited </w:t>
            </w:r>
            <w:r w:rsidRPr="00044253">
              <w:rPr>
                <w:i w:val="0"/>
              </w:rPr>
              <w:t>2014</w:t>
            </w:r>
            <w:r w:rsidRPr="00044253">
              <w:rPr>
                <w:i w:val="0"/>
              </w:rPr>
              <w:noBreakHyphen/>
              <w:t>15 Financial Report</w:t>
            </w:r>
            <w:r w:rsidRPr="00C069E6">
              <w:t xml:space="preserve"> (incorporating </w:t>
            </w:r>
            <w:r w:rsidRPr="00044253">
              <w:rPr>
                <w:i w:val="0"/>
              </w:rPr>
              <w:t>Quarterly Financial Report No 4</w:t>
            </w:r>
            <w:r w:rsidRPr="00C069E6">
              <w:t>) could not be transmitted to Parliament by the legislated date of 15 October 2015.</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Annual financial management compliance report for the previous financial year is submitted to the Minister for Finance</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date</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By end Feb 2017</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07 Dec 2015</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By end Feb 2016</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24 Feb 2015</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Cost</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Total output cost</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25.7</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24.7</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25.7</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27.2</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AA5B57">
            <w:pPr>
              <w:pStyle w:val="OGNotes"/>
            </w:pPr>
            <w:r w:rsidRPr="00C069E6">
              <w:t xml:space="preserve">Total output costs for the </w:t>
            </w:r>
            <w:r>
              <w:t>‘</w:t>
            </w:r>
            <w:r w:rsidRPr="00C069E6">
              <w:t xml:space="preserve">Budget and </w:t>
            </w:r>
            <w:r>
              <w:t>F</w:t>
            </w:r>
            <w:r w:rsidRPr="00C069E6">
              <w:t>inancial</w:t>
            </w:r>
            <w:r>
              <w:t xml:space="preserve"> A</w:t>
            </w:r>
            <w:r w:rsidRPr="00C069E6">
              <w:t>dvice</w:t>
            </w:r>
            <w:r>
              <w:t>’</w:t>
            </w:r>
            <w:r w:rsidRPr="00C069E6">
              <w:t xml:space="preserve"> output reflect the amalgamation of the former outputs </w:t>
            </w:r>
            <w:r>
              <w:t>‘</w:t>
            </w:r>
            <w:r w:rsidRPr="00C069E6">
              <w:t>Budget and Financial Policy Advice</w:t>
            </w:r>
            <w:r>
              <w:t>’</w:t>
            </w:r>
            <w:r w:rsidRPr="00C069E6">
              <w:t xml:space="preserve">, </w:t>
            </w:r>
            <w:r>
              <w:t>‘</w:t>
            </w:r>
            <w:r w:rsidRPr="00C069E6">
              <w:t>Financial Reporting</w:t>
            </w:r>
            <w:r>
              <w:t>’</w:t>
            </w:r>
            <w:r w:rsidRPr="00C069E6">
              <w:t xml:space="preserve">, and </w:t>
            </w:r>
            <w:r>
              <w:t>‘</w:t>
            </w:r>
            <w:r w:rsidRPr="00C069E6">
              <w:t>Financial and Resource Management Frameworks Maintenance and Support</w:t>
            </w:r>
            <w:r>
              <w:t>’</w:t>
            </w:r>
            <w:r w:rsidRPr="00C069E6">
              <w:t>.</w:t>
            </w:r>
          </w:p>
        </w:tc>
      </w:tr>
      <w:tr w:rsidR="00E25CC6" w:rsidRPr="00C069E6" w:rsidTr="00C069E6">
        <w:trPr>
          <w:cantSplit/>
        </w:trPr>
        <w:tc>
          <w:tcPr>
            <w:tcW w:w="7767" w:type="dxa"/>
            <w:gridSpan w:val="6"/>
            <w:tcBorders>
              <w:top w:val="single" w:sz="6" w:space="0" w:color="auto"/>
              <w:left w:val="nil"/>
              <w:bottom w:val="nil"/>
              <w:right w:val="nil"/>
            </w:tcBorders>
          </w:tcPr>
          <w:p w:rsidR="00E25CC6" w:rsidRPr="00C069E6" w:rsidRDefault="00E25CC6" w:rsidP="00C069E6">
            <w:pPr>
              <w:pStyle w:val="OGHeading2"/>
              <w:rPr>
                <w:lang w:eastAsia="en-AU"/>
              </w:rPr>
            </w:pPr>
            <w:r w:rsidRPr="00C069E6">
              <w:rPr>
                <w:lang w:eastAsia="en-AU"/>
              </w:rPr>
              <w:t>Revenue Management Services to Government</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Text"/>
              <w:rPr>
                <w:lang w:eastAsia="en-AU"/>
              </w:rPr>
            </w:pPr>
            <w:r w:rsidRPr="00C069E6">
              <w:rPr>
                <w:lang w:eastAsia="en-AU"/>
              </w:rPr>
              <w:t>This output provides revenue management services across the various state</w:t>
            </w:r>
            <w:r>
              <w:rPr>
                <w:lang w:eastAsia="en-AU"/>
              </w:rPr>
              <w:noBreakHyphen/>
            </w:r>
            <w:r w:rsidRPr="00C069E6">
              <w:rPr>
                <w:lang w:eastAsia="en-AU"/>
              </w:rPr>
              <w:t>based taxes in a fair and efficient manner for the benefit of all Victorians. By administering Victoria</w:t>
            </w:r>
            <w:r>
              <w:rPr>
                <w:lang w:eastAsia="en-AU"/>
              </w:rPr>
              <w:t>’</w:t>
            </w:r>
            <w:r w:rsidRPr="00C069E6">
              <w:rPr>
                <w:lang w:eastAsia="en-AU"/>
              </w:rPr>
              <w:t>s taxation legislation and collecting a range of taxes, duties and levies, this output contributes to the Department</w:t>
            </w:r>
            <w:r>
              <w:rPr>
                <w:lang w:eastAsia="en-AU"/>
              </w:rPr>
              <w:t>’</w:t>
            </w:r>
            <w:r w:rsidRPr="00C069E6">
              <w:rPr>
                <w:lang w:eastAsia="en-AU"/>
              </w:rPr>
              <w:t>s objective of sound financial management of the State</w:t>
            </w:r>
            <w:r>
              <w:rPr>
                <w:lang w:eastAsia="en-AU"/>
              </w:rPr>
              <w:t>’</w:t>
            </w:r>
            <w:r w:rsidRPr="00C069E6">
              <w:rPr>
                <w:lang w:eastAsia="en-AU"/>
              </w:rPr>
              <w:t>s fiscal resources.</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Revenue assessed from compliance projects meets estimates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≥95</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109</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103</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higher 2016</w:t>
            </w:r>
            <w:r>
              <w:noBreakHyphen/>
            </w:r>
            <w:r w:rsidRPr="00C069E6">
              <w:t xml:space="preserve">17 </w:t>
            </w:r>
            <w:r>
              <w:t>target</w:t>
            </w:r>
            <w:r w:rsidRPr="00C069E6">
              <w:t xml:space="preserve"> reflects the results from the State Revenue Office</w:t>
            </w:r>
            <w:r>
              <w:t>’</w:t>
            </w:r>
            <w:r w:rsidRPr="00C069E6">
              <w:t>s compliance projects which have consistently exceeded estimates.</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Revenue collected as a percentage of budget target</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≥99</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≥99</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Quality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Customer satisfaction level</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≥85</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96</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96</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higher 2016</w:t>
            </w:r>
            <w:r>
              <w:noBreakHyphen/>
            </w:r>
            <w:r w:rsidRPr="00C069E6">
              <w:t xml:space="preserve">17 </w:t>
            </w:r>
            <w:r>
              <w:t>target</w:t>
            </w:r>
            <w:r w:rsidRPr="00C069E6">
              <w:t xml:space="preserve"> reflects the trend of improved customer satisfaction with the State Revenue Office.</w:t>
            </w:r>
          </w:p>
        </w:tc>
      </w:tr>
      <w:tr w:rsidR="00E25CC6" w:rsidRPr="00C069E6" w:rsidTr="00C069E6">
        <w:trPr>
          <w:cantSplit/>
        </w:trPr>
        <w:tc>
          <w:tcPr>
            <w:tcW w:w="3146" w:type="dxa"/>
            <w:tcBorders>
              <w:top w:val="nil"/>
              <w:left w:val="nil"/>
              <w:bottom w:val="nil"/>
              <w:right w:val="nil"/>
            </w:tcBorders>
          </w:tcPr>
          <w:p w:rsidR="00E25CC6" w:rsidRPr="00C069E6" w:rsidRDefault="00E25CC6" w:rsidP="00D60167">
            <w:pPr>
              <w:pStyle w:val="OGTabText"/>
              <w:keepNext/>
              <w:rPr>
                <w:lang w:eastAsia="en-AU"/>
              </w:rPr>
            </w:pPr>
            <w:r w:rsidRPr="00C069E6">
              <w:rPr>
                <w:lang w:eastAsia="en-AU"/>
              </w:rPr>
              <w:t>Maintain ISO 9001 (Quality Management Systems) and ISO/IEC</w:t>
            </w:r>
            <w:r>
              <w:rPr>
                <w:lang w:eastAsia="en-AU"/>
              </w:rPr>
              <w:t> </w:t>
            </w:r>
            <w:r w:rsidRPr="00C069E6">
              <w:rPr>
                <w:lang w:eastAsia="en-AU"/>
              </w:rPr>
              <w:t>20000</w:t>
            </w:r>
            <w:r>
              <w:rPr>
                <w:lang w:eastAsia="en-AU"/>
              </w:rPr>
              <w:noBreakHyphen/>
            </w:r>
            <w:r w:rsidRPr="00C069E6">
              <w:rPr>
                <w:lang w:eastAsia="en-AU"/>
              </w:rPr>
              <w:t>1:2005 (IT Service management) Certification</w:t>
            </w:r>
          </w:p>
        </w:tc>
        <w:tc>
          <w:tcPr>
            <w:tcW w:w="907" w:type="dxa"/>
            <w:tcBorders>
              <w:top w:val="nil"/>
              <w:left w:val="nil"/>
              <w:bottom w:val="nil"/>
              <w:right w:val="nil"/>
            </w:tcBorders>
          </w:tcPr>
          <w:p w:rsidR="00E25CC6" w:rsidRPr="00C069E6" w:rsidRDefault="00E25CC6" w:rsidP="0027262F">
            <w:pPr>
              <w:keepNext/>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w:t>
            </w:r>
          </w:p>
        </w:tc>
        <w:tc>
          <w:tcPr>
            <w:tcW w:w="992" w:type="dxa"/>
            <w:tcBorders>
              <w:top w:val="nil"/>
              <w:left w:val="nil"/>
              <w:bottom w:val="nil"/>
              <w:right w:val="nil"/>
            </w:tcBorders>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w:t>
            </w:r>
          </w:p>
        </w:tc>
        <w:tc>
          <w:tcPr>
            <w:tcW w:w="907" w:type="dxa"/>
            <w:tcBorders>
              <w:top w:val="nil"/>
              <w:left w:val="nil"/>
              <w:bottom w:val="nil"/>
              <w:right w:val="nil"/>
            </w:tcBorders>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w:t>
            </w:r>
          </w:p>
        </w:tc>
        <w:tc>
          <w:tcPr>
            <w:tcW w:w="908" w:type="dxa"/>
            <w:tcBorders>
              <w:top w:val="nil"/>
              <w:left w:val="nil"/>
              <w:bottom w:val="nil"/>
              <w:right w:val="nil"/>
            </w:tcBorders>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276B62">
            <w:pPr>
              <w:pStyle w:val="OGNotes"/>
            </w:pPr>
            <w:r w:rsidRPr="00C069E6">
              <w:t>The 2015</w:t>
            </w:r>
            <w:r>
              <w:noBreakHyphen/>
            </w:r>
            <w:r w:rsidRPr="00C069E6">
              <w:t xml:space="preserve">16 </w:t>
            </w:r>
            <w:r w:rsidRPr="00B22DB8">
              <w:t>expected outcome</w:t>
            </w:r>
            <w:r w:rsidRPr="00C069E6">
              <w:t xml:space="preserve"> is lower than the 2015</w:t>
            </w:r>
            <w:r>
              <w:noBreakHyphen/>
            </w:r>
            <w:r w:rsidRPr="00C069E6">
              <w:t xml:space="preserve">16 </w:t>
            </w:r>
            <w:r>
              <w:t>target</w:t>
            </w:r>
            <w:r w:rsidRPr="00C069E6">
              <w:t xml:space="preserve"> as ISO Surveillance Audits are expected to be completed later in the financial year than expected. As audits are conducted every nine months, only two ISO</w:t>
            </w:r>
            <w:r>
              <w:t> </w:t>
            </w:r>
            <w:r w:rsidRPr="00C069E6">
              <w:t>Surveillance audits will be conducted in 2015</w:t>
            </w:r>
            <w:r>
              <w:noBreakHyphen/>
            </w:r>
            <w:r w:rsidRPr="00C069E6">
              <w:t>16.</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Ratio of outstanding debt to total revenue</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&lt;2</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1.60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&lt;2</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1.37</w:t>
            </w:r>
          </w:p>
        </w:tc>
      </w:tr>
      <w:tr w:rsidR="00E25CC6" w:rsidRPr="00C069E6" w:rsidTr="00C069E6">
        <w:trPr>
          <w:cantSplit/>
        </w:trPr>
        <w:tc>
          <w:tcPr>
            <w:tcW w:w="3146" w:type="dxa"/>
            <w:tcBorders>
              <w:top w:val="nil"/>
              <w:left w:val="nil"/>
              <w:bottom w:val="nil"/>
              <w:right w:val="nil"/>
            </w:tcBorders>
          </w:tcPr>
          <w:p w:rsidR="00E25CC6" w:rsidRPr="00C069E6" w:rsidRDefault="00E25CC6" w:rsidP="007030BA">
            <w:pPr>
              <w:keepNext/>
              <w:autoSpaceDE w:val="0"/>
              <w:autoSpaceDN w:val="0"/>
              <w:adjustRightInd w:val="0"/>
              <w:spacing w:after="0"/>
              <w:ind w:left="230" w:hanging="230"/>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Timeliness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single" w:sz="6" w:space="0" w:color="auto"/>
              <w:right w:val="nil"/>
            </w:tcBorders>
          </w:tcPr>
          <w:p w:rsidR="00E25CC6" w:rsidRPr="00C069E6" w:rsidRDefault="00E25CC6" w:rsidP="00C069E6">
            <w:pPr>
              <w:pStyle w:val="OGTabText"/>
              <w:rPr>
                <w:lang w:eastAsia="en-AU"/>
              </w:rPr>
            </w:pPr>
            <w:r w:rsidRPr="00C069E6">
              <w:rPr>
                <w:lang w:eastAsia="en-AU"/>
              </w:rPr>
              <w:t>Meet Cabinet and Parliamentary timelines</w:t>
            </w:r>
          </w:p>
        </w:tc>
        <w:tc>
          <w:tcPr>
            <w:tcW w:w="907"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Revenue banked on day of receipt</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≥99</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≥99</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Timely handling of objections (within 90 days)</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86</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Timely handling of private rulings (within 90 days)</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83</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Cost</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9A66FD">
        <w:trPr>
          <w:cantSplit/>
        </w:trPr>
        <w:tc>
          <w:tcPr>
            <w:tcW w:w="3146" w:type="dxa"/>
            <w:tcBorders>
              <w:top w:val="nil"/>
              <w:left w:val="nil"/>
              <w:right w:val="nil"/>
            </w:tcBorders>
          </w:tcPr>
          <w:p w:rsidR="00E25CC6" w:rsidRPr="00C069E6" w:rsidRDefault="00E25CC6" w:rsidP="00C069E6">
            <w:pPr>
              <w:pStyle w:val="OGTabText"/>
              <w:rPr>
                <w:lang w:eastAsia="en-AU"/>
              </w:rPr>
            </w:pPr>
            <w:r w:rsidRPr="00C069E6">
              <w:rPr>
                <w:lang w:eastAsia="en-AU"/>
              </w:rPr>
              <w:t>Total output cost</w:t>
            </w:r>
          </w:p>
        </w:tc>
        <w:tc>
          <w:tcPr>
            <w:tcW w:w="907" w:type="dxa"/>
            <w:tcBorders>
              <w:top w:val="nil"/>
              <w:left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89.9</w:t>
            </w:r>
          </w:p>
        </w:tc>
        <w:tc>
          <w:tcPr>
            <w:tcW w:w="992" w:type="dxa"/>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91.7</w:t>
            </w:r>
          </w:p>
        </w:tc>
        <w:tc>
          <w:tcPr>
            <w:tcW w:w="907" w:type="dxa"/>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93.8</w:t>
            </w:r>
          </w:p>
        </w:tc>
        <w:tc>
          <w:tcPr>
            <w:tcW w:w="908" w:type="dxa"/>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80.6</w:t>
            </w:r>
          </w:p>
        </w:tc>
      </w:tr>
      <w:tr w:rsidR="00E25CC6" w:rsidRPr="00C069E6" w:rsidTr="009A66FD">
        <w:trPr>
          <w:cantSplit/>
        </w:trPr>
        <w:tc>
          <w:tcPr>
            <w:tcW w:w="7767" w:type="dxa"/>
            <w:gridSpan w:val="6"/>
            <w:tcBorders>
              <w:top w:val="nil"/>
              <w:left w:val="nil"/>
              <w:bottom w:val="single" w:sz="12" w:space="0" w:color="auto"/>
              <w:right w:val="nil"/>
            </w:tcBorders>
          </w:tcPr>
          <w:p w:rsidR="00E25CC6" w:rsidRPr="00C069E6" w:rsidRDefault="00E25CC6" w:rsidP="00C069E6">
            <w:pPr>
              <w:pStyle w:val="OGNotes"/>
            </w:pPr>
            <w:r w:rsidRPr="00C069E6">
              <w:t>The lower 2016</w:t>
            </w:r>
            <w:r>
              <w:noBreakHyphen/>
            </w:r>
            <w:r w:rsidRPr="00C069E6">
              <w:t xml:space="preserve">17 </w:t>
            </w:r>
            <w:r>
              <w:t>target</w:t>
            </w:r>
            <w:r w:rsidRPr="00C069E6">
              <w:t xml:space="preserve"> reflects the biennial purchase of municipal land valuations resulting in a higher amortisation expense in the second year, but timing and purchased amounts have resulted in reduced amortisation expense.</w:t>
            </w:r>
          </w:p>
        </w:tc>
      </w:tr>
    </w:tbl>
    <w:p w:rsidR="00E25CC6" w:rsidRDefault="00E25CC6" w:rsidP="0027262F">
      <w:pPr>
        <w:pStyle w:val="Source"/>
        <w:rPr>
          <w:lang w:eastAsia="en-AU"/>
        </w:rPr>
      </w:pPr>
      <w:r>
        <w:rPr>
          <w:lang w:eastAsia="en-AU"/>
        </w:rPr>
        <w:t>Source: Department of Treasury and Finance</w:t>
      </w:r>
      <w:bookmarkEnd w:id="102"/>
      <w:r>
        <w:rPr>
          <w:lang w:eastAsia="en-AU"/>
        </w:rPr>
        <w:t xml:space="preserve"> </w:t>
      </w:r>
      <w:r>
        <w:rPr>
          <w:lang w:eastAsia="en-AU"/>
        </w:rPr>
        <w:fldChar w:fldCharType="begin"/>
      </w:r>
      <w:r>
        <w:instrText xml:space="preserve"> XE "</w:instrText>
      </w:r>
      <w:r w:rsidRPr="00A30346">
        <w:instrText>Department of Treasury and Finance:Sound financial management of Victoria's fiscal resources</w:instrText>
      </w:r>
      <w:r>
        <w:instrText xml:space="preserve">" \r "DTF_SoundFinMgmnt" </w:instrText>
      </w:r>
      <w:r>
        <w:rPr>
          <w:lang w:eastAsia="en-AU"/>
        </w:rPr>
        <w:fldChar w:fldCharType="end"/>
      </w:r>
    </w:p>
    <w:p w:rsidR="00E25CC6" w:rsidRDefault="00E25CC6" w:rsidP="009A66FD">
      <w:pPr>
        <w:rPr>
          <w:rFonts w:ascii="Calibri" w:eastAsiaTheme="minorHAnsi" w:hAnsi="Calibri"/>
          <w:sz w:val="32"/>
          <w:szCs w:val="28"/>
        </w:rPr>
      </w:pPr>
      <w:r>
        <w:rPr>
          <w:rFonts w:eastAsiaTheme="minorHAnsi"/>
        </w:rPr>
        <w:br w:type="page"/>
      </w:r>
    </w:p>
    <w:p w:rsidR="00E25CC6" w:rsidRPr="00D14D27" w:rsidRDefault="00E25CC6" w:rsidP="009A66FD">
      <w:pPr>
        <w:pStyle w:val="OGHeading1"/>
        <w:rPr>
          <w:rFonts w:eastAsiaTheme="minorHAnsi"/>
        </w:rPr>
      </w:pPr>
      <w:r w:rsidRPr="00D14D27">
        <w:rPr>
          <w:rFonts w:eastAsiaTheme="minorHAnsi"/>
        </w:rPr>
        <w:t>Guide government actions to increase Victoria</w:t>
      </w:r>
      <w:r>
        <w:rPr>
          <w:rFonts w:eastAsiaTheme="minorHAnsi"/>
        </w:rPr>
        <w:t>’</w:t>
      </w:r>
      <w:r w:rsidRPr="00D14D27">
        <w:rPr>
          <w:rFonts w:eastAsiaTheme="minorHAnsi"/>
        </w:rPr>
        <w:t>s productivity and competitiveness</w:t>
      </w:r>
    </w:p>
    <w:p w:rsidR="00E25CC6" w:rsidRPr="009A66FD" w:rsidRDefault="00E25CC6" w:rsidP="009A66FD">
      <w:pPr>
        <w:pStyle w:val="OGText"/>
        <w:rPr>
          <w:rFonts w:eastAsiaTheme="minorHAnsi"/>
        </w:rPr>
      </w:pPr>
      <w:bookmarkStart w:id="103" w:name="DTF_GuideGovtAct"/>
      <w:r w:rsidRPr="00D14D27">
        <w:rPr>
          <w:rFonts w:eastAsiaTheme="minorHAnsi"/>
        </w:rPr>
        <w:t>The Department of Treasury and Finance provides Government with advice on key economic and financial issues, including longer term economic development, regulation, financial strategy and taxation policy.</w:t>
      </w:r>
    </w:p>
    <w:tbl>
      <w:tblPr>
        <w:tblW w:w="7795" w:type="dxa"/>
        <w:tblInd w:w="17" w:type="dxa"/>
        <w:tblLayout w:type="fixed"/>
        <w:tblCellMar>
          <w:left w:w="17" w:type="dxa"/>
          <w:right w:w="17" w:type="dxa"/>
        </w:tblCellMar>
        <w:tblLook w:val="0000" w:firstRow="0" w:lastRow="0" w:firstColumn="0" w:lastColumn="0" w:noHBand="0" w:noVBand="0"/>
      </w:tblPr>
      <w:tblGrid>
        <w:gridCol w:w="28"/>
        <w:gridCol w:w="3118"/>
        <w:gridCol w:w="28"/>
        <w:gridCol w:w="879"/>
        <w:gridCol w:w="28"/>
        <w:gridCol w:w="879"/>
        <w:gridCol w:w="28"/>
        <w:gridCol w:w="964"/>
        <w:gridCol w:w="28"/>
        <w:gridCol w:w="879"/>
        <w:gridCol w:w="28"/>
        <w:gridCol w:w="880"/>
        <w:gridCol w:w="28"/>
      </w:tblGrid>
      <w:tr w:rsidR="00E25CC6" w:rsidRPr="00C069E6" w:rsidTr="00717340">
        <w:trPr>
          <w:gridBefore w:val="1"/>
          <w:wBefore w:w="28" w:type="dxa"/>
          <w:cantSplit/>
          <w:tblHeader/>
        </w:trPr>
        <w:tc>
          <w:tcPr>
            <w:tcW w:w="3146" w:type="dxa"/>
            <w:gridSpan w:val="2"/>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b/>
                <w:bCs/>
                <w:color w:val="FFFFFF"/>
                <w:sz w:val="19"/>
                <w:szCs w:val="22"/>
                <w:lang w:eastAsia="en-AU"/>
              </w:rPr>
              <w:t>Major outputs/deliverables</w:t>
            </w:r>
          </w:p>
          <w:p w:rsidR="00E25CC6" w:rsidRPr="00C069E6" w:rsidRDefault="00E25CC6" w:rsidP="00E33FE7">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Performance measures</w:t>
            </w:r>
          </w:p>
        </w:tc>
        <w:tc>
          <w:tcPr>
            <w:tcW w:w="907" w:type="dxa"/>
            <w:gridSpan w:val="2"/>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center"/>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Unit of measure</w:t>
            </w:r>
          </w:p>
        </w:tc>
        <w:tc>
          <w:tcPr>
            <w:tcW w:w="907" w:type="dxa"/>
            <w:gridSpan w:val="2"/>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17 target</w:t>
            </w:r>
          </w:p>
        </w:tc>
        <w:tc>
          <w:tcPr>
            <w:tcW w:w="992" w:type="dxa"/>
            <w:gridSpan w:val="2"/>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expected outcome</w:t>
            </w:r>
          </w:p>
        </w:tc>
        <w:tc>
          <w:tcPr>
            <w:tcW w:w="907" w:type="dxa"/>
            <w:gridSpan w:val="2"/>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target</w:t>
            </w:r>
          </w:p>
        </w:tc>
        <w:tc>
          <w:tcPr>
            <w:tcW w:w="908" w:type="dxa"/>
            <w:gridSpan w:val="2"/>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15 actual</w:t>
            </w:r>
          </w:p>
        </w:tc>
      </w:tr>
      <w:tr w:rsidR="00E25CC6" w:rsidRPr="00C069E6" w:rsidTr="00717340">
        <w:trPr>
          <w:gridBefore w:val="1"/>
          <w:wBefore w:w="28" w:type="dxa"/>
          <w:cantSplit/>
        </w:trPr>
        <w:tc>
          <w:tcPr>
            <w:tcW w:w="7767" w:type="dxa"/>
            <w:gridSpan w:val="12"/>
            <w:tcBorders>
              <w:top w:val="single" w:sz="6" w:space="0" w:color="auto"/>
              <w:left w:val="nil"/>
              <w:bottom w:val="nil"/>
              <w:right w:val="nil"/>
            </w:tcBorders>
          </w:tcPr>
          <w:p w:rsidR="00E25CC6" w:rsidRPr="00C069E6" w:rsidRDefault="00E25CC6" w:rsidP="00C069E6">
            <w:pPr>
              <w:pStyle w:val="OGHeading2"/>
              <w:rPr>
                <w:lang w:eastAsia="en-AU"/>
              </w:rPr>
            </w:pPr>
            <w:r w:rsidRPr="00C069E6">
              <w:rPr>
                <w:lang w:eastAsia="en-AU"/>
              </w:rPr>
              <w:t>Economic and Policy Advice</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Default="00E25CC6" w:rsidP="00C069E6">
            <w:pPr>
              <w:pStyle w:val="OGText"/>
              <w:rPr>
                <w:lang w:eastAsia="en-AU"/>
              </w:rPr>
            </w:pPr>
            <w:r w:rsidRPr="00C069E6">
              <w:rPr>
                <w:lang w:eastAsia="en-AU"/>
              </w:rPr>
              <w:t>This output provides strategic policy advice including potential reform options to Ministers across a range of current economic and financial policy issues.</w:t>
            </w:r>
          </w:p>
          <w:p w:rsidR="00E25CC6" w:rsidRDefault="00E25CC6" w:rsidP="00C069E6">
            <w:pPr>
              <w:pStyle w:val="OGText"/>
              <w:rPr>
                <w:lang w:eastAsia="en-AU"/>
              </w:rPr>
            </w:pPr>
            <w:r w:rsidRPr="00C069E6">
              <w:rPr>
                <w:lang w:eastAsia="en-AU"/>
              </w:rPr>
              <w:t>The output contributes to the Department</w:t>
            </w:r>
            <w:r>
              <w:rPr>
                <w:lang w:eastAsia="en-AU"/>
              </w:rPr>
              <w:t>’</w:t>
            </w:r>
            <w:r w:rsidRPr="00C069E6">
              <w:rPr>
                <w:lang w:eastAsia="en-AU"/>
              </w:rPr>
              <w:t>s objective of guiding government actions to increase Victoria</w:t>
            </w:r>
            <w:r>
              <w:rPr>
                <w:lang w:eastAsia="en-AU"/>
              </w:rPr>
              <w:t>’</w:t>
            </w:r>
            <w:r w:rsidRPr="00C069E6">
              <w:rPr>
                <w:lang w:eastAsia="en-AU"/>
              </w:rPr>
              <w:t>s productivity and competitiveness by providing advice on:</w:t>
            </w:r>
          </w:p>
          <w:p w:rsidR="00E25CC6" w:rsidRDefault="00E25CC6" w:rsidP="00614404">
            <w:pPr>
              <w:pStyle w:val="OGBullet"/>
              <w:rPr>
                <w:lang w:eastAsia="en-AU"/>
              </w:rPr>
            </w:pPr>
            <w:r w:rsidRPr="00C069E6">
              <w:rPr>
                <w:lang w:eastAsia="en-AU"/>
              </w:rPr>
              <w:t>medium and longer</w:t>
            </w:r>
            <w:r>
              <w:rPr>
                <w:lang w:eastAsia="en-AU"/>
              </w:rPr>
              <w:noBreakHyphen/>
            </w:r>
            <w:r w:rsidRPr="00C069E6">
              <w:rPr>
                <w:lang w:eastAsia="en-AU"/>
              </w:rPr>
              <w:t>term strategies to strengthen productivity, participation and the State</w:t>
            </w:r>
            <w:r>
              <w:rPr>
                <w:lang w:eastAsia="en-AU"/>
              </w:rPr>
              <w:t>’</w:t>
            </w:r>
            <w:r w:rsidRPr="00C069E6">
              <w:rPr>
                <w:lang w:eastAsia="en-AU"/>
              </w:rPr>
              <w:t>s overall competitiveness;</w:t>
            </w:r>
          </w:p>
          <w:p w:rsidR="00E25CC6" w:rsidRDefault="00E25CC6" w:rsidP="00614404">
            <w:pPr>
              <w:pStyle w:val="OGBullet"/>
              <w:rPr>
                <w:lang w:eastAsia="en-AU"/>
              </w:rPr>
            </w:pPr>
            <w:r w:rsidRPr="00C069E6">
              <w:rPr>
                <w:lang w:eastAsia="en-AU"/>
              </w:rPr>
              <w:t>key economic, social and environmental policy and infrastructure issues;</w:t>
            </w:r>
          </w:p>
          <w:p w:rsidR="00E25CC6" w:rsidRDefault="00E25CC6" w:rsidP="00614404">
            <w:pPr>
              <w:pStyle w:val="OGBullet"/>
              <w:rPr>
                <w:lang w:eastAsia="en-AU"/>
              </w:rPr>
            </w:pPr>
            <w:r w:rsidRPr="00C069E6">
              <w:rPr>
                <w:lang w:eastAsia="en-AU"/>
              </w:rPr>
              <w:t>State revenue policy and insurance policy;</w:t>
            </w:r>
          </w:p>
          <w:p w:rsidR="00E25CC6" w:rsidRDefault="00E25CC6" w:rsidP="00614404">
            <w:pPr>
              <w:pStyle w:val="OGBullet"/>
              <w:rPr>
                <w:lang w:eastAsia="en-AU"/>
              </w:rPr>
            </w:pPr>
            <w:r w:rsidRPr="00C069E6">
              <w:rPr>
                <w:lang w:eastAsia="en-AU"/>
              </w:rPr>
              <w:t>intergovernmental financial relations, including the distribution of Commonwealth funding to Australian States and Territories (including representation on various inter</w:t>
            </w:r>
            <w:r>
              <w:rPr>
                <w:lang w:eastAsia="en-AU"/>
              </w:rPr>
              <w:noBreakHyphen/>
            </w:r>
            <w:r w:rsidRPr="00C069E6">
              <w:rPr>
                <w:lang w:eastAsia="en-AU"/>
              </w:rPr>
              <w:t>jurisdictional committees);</w:t>
            </w:r>
          </w:p>
          <w:p w:rsidR="00E25CC6" w:rsidRDefault="00E25CC6" w:rsidP="00614404">
            <w:pPr>
              <w:pStyle w:val="OGBullet"/>
              <w:rPr>
                <w:lang w:eastAsia="en-AU"/>
              </w:rPr>
            </w:pPr>
            <w:r w:rsidRPr="00C069E6">
              <w:rPr>
                <w:lang w:eastAsia="en-AU"/>
              </w:rPr>
              <w:t>production of the economic and revenue estimates that underpin the State budget;</w:t>
            </w:r>
          </w:p>
          <w:p w:rsidR="00E25CC6" w:rsidRDefault="00E25CC6" w:rsidP="00614404">
            <w:pPr>
              <w:pStyle w:val="OGBullet"/>
              <w:rPr>
                <w:lang w:eastAsia="en-AU"/>
              </w:rPr>
            </w:pPr>
            <w:r w:rsidRPr="00C069E6">
              <w:rPr>
                <w:lang w:eastAsia="en-AU"/>
              </w:rPr>
              <w:t>best practice regulatory frameworks; and</w:t>
            </w:r>
          </w:p>
          <w:p w:rsidR="00E25CC6" w:rsidRPr="00C069E6" w:rsidRDefault="00E25CC6" w:rsidP="00614404">
            <w:pPr>
              <w:pStyle w:val="OGBullet"/>
              <w:rPr>
                <w:lang w:eastAsia="en-AU"/>
              </w:rPr>
            </w:pPr>
            <w:r w:rsidRPr="00C069E6">
              <w:rPr>
                <w:lang w:eastAsia="en-AU"/>
              </w:rPr>
              <w:t>building capacity in and promoting market</w:t>
            </w:r>
            <w:r>
              <w:rPr>
                <w:lang w:eastAsia="en-AU"/>
              </w:rPr>
              <w:noBreakHyphen/>
            </w:r>
            <w:r w:rsidRPr="00C069E6">
              <w:rPr>
                <w:lang w:eastAsia="en-AU"/>
              </w:rPr>
              <w:t>based policy mechanisms in Victoria.</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Quantity</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Economic research projects completed</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AA5B57">
            <w:pPr>
              <w:pStyle w:val="OGNotes"/>
            </w:pPr>
            <w:r w:rsidRPr="00C069E6">
              <w:t xml:space="preserve">This performance measure was proposed to be discontinued in the </w:t>
            </w:r>
            <w:r w:rsidRPr="00717340">
              <w:rPr>
                <w:i w:val="0"/>
              </w:rPr>
              <w:t>2015</w:t>
            </w:r>
            <w:r w:rsidRPr="00717340">
              <w:rPr>
                <w:i w:val="0"/>
              </w:rPr>
              <w:noBreakHyphen/>
              <w:t>16 Budget</w:t>
            </w:r>
            <w:r w:rsidRPr="00C069E6">
              <w:t>, however has been reinstated following the Parliamentary Accounts and Estimates Committee</w:t>
            </w:r>
            <w:r>
              <w:t>’</w:t>
            </w:r>
            <w:r w:rsidRPr="00C069E6">
              <w:t xml:space="preserve">s review of the </w:t>
            </w:r>
            <w:r w:rsidRPr="008C0CC5">
              <w:t>2015</w:t>
            </w:r>
            <w:r w:rsidRPr="008C0CC5">
              <w:noBreakHyphen/>
              <w:t>16 budget estimates</w:t>
            </w:r>
            <w:r w:rsidRPr="00C069E6">
              <w:t xml:space="preserve">. This measure reinstates and renames the former performance measure </w:t>
            </w:r>
            <w:r>
              <w:t>‘</w:t>
            </w:r>
            <w:r w:rsidRPr="00C069E6">
              <w:t>Long</w:t>
            </w:r>
            <w:r>
              <w:noBreakHyphen/>
            </w:r>
            <w:r w:rsidRPr="00C069E6">
              <w:t>term research projects completed</w:t>
            </w:r>
            <w:r>
              <w:t>’</w:t>
            </w:r>
            <w:r w:rsidRPr="00C069E6">
              <w:t>. The new measure reports on the same activity as the previous measure however has been amended for increased clarity.</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Quality</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i/>
                <w:iCs/>
                <w:color w:val="000000"/>
                <w:sz w:val="19"/>
                <w:szCs w:val="22"/>
                <w:lang w:eastAsia="en-AU"/>
              </w:rPr>
            </w:pPr>
          </w:p>
        </w:tc>
        <w:tc>
          <w:tcPr>
            <w:tcW w:w="907" w:type="dxa"/>
            <w:gridSpan w:val="2"/>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i/>
                <w:iCs/>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i/>
                <w:iCs/>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i/>
                <w:iCs/>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i/>
                <w:iCs/>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bottom w:val="single" w:sz="6" w:space="0" w:color="auto"/>
              <w:right w:val="nil"/>
            </w:tcBorders>
          </w:tcPr>
          <w:p w:rsidR="00E25CC6" w:rsidRPr="00C069E6" w:rsidRDefault="00E25CC6" w:rsidP="00C069E6">
            <w:pPr>
              <w:pStyle w:val="OGTabText"/>
              <w:rPr>
                <w:lang w:eastAsia="en-AU"/>
              </w:rPr>
            </w:pPr>
            <w:r w:rsidRPr="00C069E6">
              <w:rPr>
                <w:lang w:eastAsia="en-AU"/>
              </w:rPr>
              <w:t>Accuracy of estimating State taxation revenue in the State budget</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gridSpan w:val="2"/>
            <w:tcBorders>
              <w:top w:val="nil"/>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92"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08"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1.9</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Accuracy of estimating the employment growth rate in the State budget</w:t>
            </w:r>
          </w:p>
        </w:tc>
        <w:tc>
          <w:tcPr>
            <w:tcW w:w="907" w:type="dxa"/>
            <w:gridSpan w:val="2"/>
            <w:tcBorders>
              <w:top w:val="nil"/>
              <w:left w:val="nil"/>
              <w:bottom w:val="nil"/>
              <w:right w:val="nil"/>
            </w:tcBorders>
          </w:tcPr>
          <w:p w:rsidR="00E25CC6" w:rsidRPr="004D4B23" w:rsidRDefault="00E25CC6" w:rsidP="00044253">
            <w:pPr>
              <w:autoSpaceDE w:val="0"/>
              <w:autoSpaceDN w:val="0"/>
              <w:adjustRightInd w:val="0"/>
              <w:spacing w:after="0"/>
              <w:jc w:val="center"/>
              <w:rPr>
                <w:rFonts w:ascii="Calibri" w:hAnsi="Calibri" w:cs="Calibri"/>
                <w:color w:val="000000"/>
                <w:sz w:val="18"/>
                <w:szCs w:val="18"/>
                <w:lang w:eastAsia="en-AU"/>
              </w:rPr>
            </w:pPr>
            <w:r w:rsidRPr="004D4B23">
              <w:rPr>
                <w:rFonts w:ascii="Calibri" w:hAnsi="Calibri" w:cs="Calibri"/>
                <w:color w:val="000000"/>
                <w:sz w:val="18"/>
                <w:szCs w:val="18"/>
                <w:lang w:eastAsia="en-AU"/>
              </w:rPr>
              <w:t>percentage point</w:t>
            </w:r>
          </w:p>
        </w:tc>
        <w:tc>
          <w:tcPr>
            <w:tcW w:w="907" w:type="dxa"/>
            <w:gridSpan w:val="2"/>
            <w:tcBorders>
              <w:top w:val="single" w:sz="6" w:space="0" w:color="auto"/>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 xml:space="preserve">The unit of measure for this performance measure has been amended to better describe the accuracy of forecast employment growth. </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Accuracy of estimating the gross state product growth rate in the State budget</w:t>
            </w:r>
          </w:p>
        </w:tc>
        <w:tc>
          <w:tcPr>
            <w:tcW w:w="907" w:type="dxa"/>
            <w:gridSpan w:val="2"/>
            <w:tcBorders>
              <w:top w:val="nil"/>
              <w:left w:val="nil"/>
              <w:bottom w:val="nil"/>
              <w:right w:val="nil"/>
            </w:tcBorders>
          </w:tcPr>
          <w:p w:rsidR="00E25CC6" w:rsidRPr="00044253" w:rsidRDefault="00E25CC6" w:rsidP="00044253">
            <w:pPr>
              <w:autoSpaceDE w:val="0"/>
              <w:autoSpaceDN w:val="0"/>
              <w:adjustRightInd w:val="0"/>
              <w:spacing w:after="0"/>
              <w:jc w:val="center"/>
              <w:rPr>
                <w:rFonts w:ascii="Calibri" w:hAnsi="Calibri" w:cs="Calibri"/>
                <w:color w:val="000000"/>
                <w:sz w:val="18"/>
                <w:szCs w:val="18"/>
                <w:lang w:eastAsia="en-AU"/>
              </w:rPr>
            </w:pPr>
            <w:r w:rsidRPr="00044253">
              <w:rPr>
                <w:rFonts w:ascii="Calibri" w:hAnsi="Calibri" w:cs="Calibri"/>
                <w:color w:val="000000"/>
                <w:sz w:val="18"/>
                <w:szCs w:val="18"/>
                <w:lang w:eastAsia="en-AU"/>
              </w:rPr>
              <w:t>percentage point</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unit of measure for this performance measure has been amended to better describe the accuracy of forecast gross state product growth.</w:t>
            </w:r>
          </w:p>
        </w:tc>
      </w:tr>
      <w:tr w:rsidR="00E25CC6" w:rsidRPr="00C069E6" w:rsidTr="00717340">
        <w:trPr>
          <w:gridBefore w:val="1"/>
          <w:wBefore w:w="28" w:type="dxa"/>
          <w:cantSplit/>
        </w:trPr>
        <w:tc>
          <w:tcPr>
            <w:tcW w:w="3146" w:type="dxa"/>
            <w:gridSpan w:val="2"/>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Maintain ISO 9001 (Quality Management Systems) Certification</w:t>
            </w:r>
          </w:p>
        </w:tc>
        <w:tc>
          <w:tcPr>
            <w:tcW w:w="907"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gridSpan w:val="2"/>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Timeliness</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bottom w:val="single" w:sz="6" w:space="0" w:color="auto"/>
              <w:right w:val="nil"/>
            </w:tcBorders>
          </w:tcPr>
          <w:p w:rsidR="00E25CC6" w:rsidRPr="00C069E6" w:rsidRDefault="00E25CC6" w:rsidP="00C069E6">
            <w:pPr>
              <w:pStyle w:val="OGTabText"/>
              <w:rPr>
                <w:lang w:eastAsia="en-AU"/>
              </w:rPr>
            </w:pPr>
            <w:r w:rsidRPr="00C069E6">
              <w:rPr>
                <w:lang w:eastAsia="en-AU"/>
              </w:rPr>
              <w:t>Briefings on key Australian Bureau of Statistics economic data on day of release</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gridSpan w:val="2"/>
            <w:tcBorders>
              <w:top w:val="nil"/>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717340">
        <w:trPr>
          <w:gridBefore w:val="1"/>
          <w:wBefore w:w="28" w:type="dxa"/>
          <w:cantSplit/>
        </w:trPr>
        <w:tc>
          <w:tcPr>
            <w:tcW w:w="3146" w:type="dxa"/>
            <w:gridSpan w:val="2"/>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Respond to correspondence within agreed timeframes</w:t>
            </w:r>
          </w:p>
        </w:tc>
        <w:tc>
          <w:tcPr>
            <w:tcW w:w="907"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gridSpan w:val="2"/>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85</w:t>
            </w:r>
          </w:p>
        </w:tc>
        <w:tc>
          <w:tcPr>
            <w:tcW w:w="992"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85</w:t>
            </w:r>
          </w:p>
        </w:tc>
        <w:tc>
          <w:tcPr>
            <w:tcW w:w="907"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85</w:t>
            </w:r>
          </w:p>
        </w:tc>
        <w:tc>
          <w:tcPr>
            <w:tcW w:w="908" w:type="dxa"/>
            <w:gridSpan w:val="2"/>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89</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Cost</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Total output cost</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23.1</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19.6</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17.4</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17.4</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2015</w:t>
            </w:r>
            <w:r>
              <w:noBreakHyphen/>
            </w:r>
            <w:r w:rsidRPr="00C069E6">
              <w:t xml:space="preserve">16 </w:t>
            </w:r>
            <w:r w:rsidRPr="00B22DB8">
              <w:t>expected outcome</w:t>
            </w:r>
            <w:r w:rsidRPr="00C069E6">
              <w:t xml:space="preserve"> is higher than the 2015</w:t>
            </w:r>
            <w:r>
              <w:noBreakHyphen/>
            </w:r>
            <w:r w:rsidRPr="00C069E6">
              <w:t xml:space="preserve">16 </w:t>
            </w:r>
            <w:r>
              <w:t>target</w:t>
            </w:r>
            <w:r w:rsidRPr="00C069E6">
              <w:t xml:space="preserve"> resulting from internal reprioritisation to fund additional policy functions. The higher 2016</w:t>
            </w:r>
            <w:r>
              <w:noBreakHyphen/>
            </w:r>
            <w:r w:rsidRPr="00C069E6">
              <w:t xml:space="preserve">17 </w:t>
            </w:r>
            <w:r>
              <w:t>target</w:t>
            </w:r>
            <w:r w:rsidRPr="00C069E6">
              <w:t xml:space="preserve"> reflects additional funding to build economic policy advice capability.</w:t>
            </w:r>
          </w:p>
        </w:tc>
      </w:tr>
      <w:tr w:rsidR="00E25CC6" w:rsidRPr="00C069E6" w:rsidTr="00717340">
        <w:trPr>
          <w:gridBefore w:val="1"/>
          <w:wBefore w:w="28" w:type="dxa"/>
          <w:cantSplit/>
        </w:trPr>
        <w:tc>
          <w:tcPr>
            <w:tcW w:w="7767" w:type="dxa"/>
            <w:gridSpan w:val="12"/>
            <w:tcBorders>
              <w:top w:val="single" w:sz="6" w:space="0" w:color="auto"/>
              <w:left w:val="nil"/>
              <w:bottom w:val="nil"/>
              <w:right w:val="nil"/>
            </w:tcBorders>
          </w:tcPr>
          <w:p w:rsidR="00E25CC6" w:rsidRPr="00C069E6" w:rsidRDefault="00E25CC6" w:rsidP="00C069E6">
            <w:pPr>
              <w:pStyle w:val="OGHeading2"/>
              <w:rPr>
                <w:lang w:eastAsia="en-AU"/>
              </w:rPr>
            </w:pPr>
            <w:r w:rsidRPr="00C069E6">
              <w:rPr>
                <w:lang w:eastAsia="en-AU"/>
              </w:rPr>
              <w:t>Economic Regulatory Services</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Text"/>
              <w:rPr>
                <w:lang w:eastAsia="en-AU"/>
              </w:rPr>
            </w:pPr>
            <w:r w:rsidRPr="00C069E6">
              <w:rPr>
                <w:lang w:eastAsia="en-AU"/>
              </w:rPr>
              <w:t>This output provides economic regulation of utilities and other specified markets in Victoria to protect the long</w:t>
            </w:r>
            <w:r>
              <w:rPr>
                <w:lang w:eastAsia="en-AU"/>
              </w:rPr>
              <w:noBreakHyphen/>
            </w:r>
            <w:r w:rsidRPr="00C069E6">
              <w:rPr>
                <w:lang w:eastAsia="en-AU"/>
              </w:rPr>
              <w:t>term interests of Victorian consumers with regard to price, quality and reliability of essential services. By providing these services, this output contributes to the departmental objective of guiding government actions to increase Victoria</w:t>
            </w:r>
            <w:r>
              <w:rPr>
                <w:lang w:eastAsia="en-AU"/>
              </w:rPr>
              <w:t>’</w:t>
            </w:r>
            <w:r w:rsidRPr="00C069E6">
              <w:rPr>
                <w:lang w:eastAsia="en-AU"/>
              </w:rPr>
              <w:t>s productivity and competitiveness.</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Quantity</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New or revised regulatory instruments issued</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8</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lower 2016</w:t>
            </w:r>
            <w:r>
              <w:noBreakHyphen/>
            </w:r>
            <w:r w:rsidRPr="00C069E6">
              <w:t xml:space="preserve">17 </w:t>
            </w:r>
            <w:r>
              <w:t>target</w:t>
            </w:r>
            <w:r w:rsidRPr="00C069E6">
              <w:t xml:space="preserve"> reflects the number of new or revised regulatory instruments expected to be issued. The 2015</w:t>
            </w:r>
            <w:r>
              <w:noBreakHyphen/>
            </w:r>
            <w:r w:rsidRPr="00C069E6">
              <w:t xml:space="preserve">16 </w:t>
            </w:r>
            <w:r w:rsidRPr="00B22DB8">
              <w:t>expected outcome</w:t>
            </w:r>
            <w:r w:rsidRPr="00C069E6">
              <w:t xml:space="preserve"> is lower than the 2015</w:t>
            </w:r>
            <w:r>
              <w:noBreakHyphen/>
            </w:r>
            <w:r w:rsidRPr="00C069E6">
              <w:t xml:space="preserve">16 </w:t>
            </w:r>
            <w:r>
              <w:t>target</w:t>
            </w:r>
            <w:r w:rsidRPr="00C069E6">
              <w:t xml:space="preserve"> due to a lesser need to issue new or revised regulatory instruments than originally anticipated.</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Performance reports for regulated businesses or industries</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11</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higher 2016</w:t>
            </w:r>
            <w:r>
              <w:noBreakHyphen/>
            </w:r>
            <w:r w:rsidRPr="00C069E6">
              <w:t xml:space="preserve">17 </w:t>
            </w:r>
            <w:r>
              <w:t>target</w:t>
            </w:r>
            <w:r w:rsidRPr="00C069E6">
              <w:t xml:space="preserve"> reflects new and increased activity in the Transport, Water and Energy Divisions. The 2015</w:t>
            </w:r>
            <w:r>
              <w:noBreakHyphen/>
            </w:r>
            <w:r w:rsidRPr="00C069E6">
              <w:t xml:space="preserve">16 </w:t>
            </w:r>
            <w:r w:rsidRPr="00B22DB8">
              <w:t>expected outcome</w:t>
            </w:r>
            <w:r w:rsidRPr="00C069E6">
              <w:t xml:space="preserve"> is higher than the 2015</w:t>
            </w:r>
            <w:r>
              <w:noBreakHyphen/>
            </w:r>
            <w:r w:rsidRPr="00C069E6">
              <w:t xml:space="preserve">16 </w:t>
            </w:r>
            <w:r>
              <w:t>target</w:t>
            </w:r>
            <w:r w:rsidRPr="00C069E6">
              <w:t xml:space="preserve"> due to the publication of an additional performance report.</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Performance reviews and compliance audits of regulated businesses</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142</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106</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106</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103</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higher 2016</w:t>
            </w:r>
            <w:r>
              <w:noBreakHyphen/>
            </w:r>
            <w:r w:rsidRPr="00C069E6">
              <w:t xml:space="preserve">17 </w:t>
            </w:r>
            <w:r>
              <w:t>target</w:t>
            </w:r>
            <w:r w:rsidRPr="00C069E6">
              <w:t xml:space="preserve"> reflects new and increased activity in the Energy Targets Division.</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Price approvals of regulated businesses</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40</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20</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20</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20</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higher 2016</w:t>
            </w:r>
            <w:r>
              <w:noBreakHyphen/>
            </w:r>
            <w:r w:rsidRPr="00C069E6">
              <w:t xml:space="preserve">17 </w:t>
            </w:r>
            <w:r>
              <w:t>target</w:t>
            </w:r>
            <w:r w:rsidRPr="00C069E6">
              <w:t xml:space="preserve"> reflects the legislative requirements within the Transport Division.</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Registration and accreditation decisions/approvals in relation to the Victorian Energy Efficiency Target Scheme</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5 400</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6 077</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5 000</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5 578</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higher 2016</w:t>
            </w:r>
            <w:r>
              <w:noBreakHyphen/>
            </w:r>
            <w:r w:rsidRPr="00C069E6">
              <w:t xml:space="preserve">17 </w:t>
            </w:r>
            <w:r>
              <w:t>target</w:t>
            </w:r>
            <w:r w:rsidRPr="00C069E6">
              <w:t xml:space="preserve"> reflects the increase in the Victorian Energy Efficiency Target (VEET) certificate target. The 2015</w:t>
            </w:r>
            <w:r>
              <w:noBreakHyphen/>
            </w:r>
            <w:r w:rsidRPr="00C069E6">
              <w:t xml:space="preserve">16 </w:t>
            </w:r>
            <w:r w:rsidRPr="00B22DB8">
              <w:t>expected outcome</w:t>
            </w:r>
            <w:r w:rsidRPr="00C069E6">
              <w:t xml:space="preserve"> is higher than the 2015</w:t>
            </w:r>
            <w:r>
              <w:noBreakHyphen/>
            </w:r>
            <w:r w:rsidRPr="00C069E6">
              <w:t xml:space="preserve">16 </w:t>
            </w:r>
            <w:r>
              <w:t>target</w:t>
            </w:r>
            <w:r w:rsidRPr="00C069E6">
              <w:t xml:space="preserve"> due to more businesses participating and offering VEET services requiring additional approvals.</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Reviews, investigations or advisory projects</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The lower 2016</w:t>
            </w:r>
            <w:r>
              <w:noBreakHyphen/>
            </w:r>
            <w:r w:rsidRPr="00C069E6">
              <w:t xml:space="preserve">17 </w:t>
            </w:r>
            <w:r>
              <w:t>target</w:t>
            </w:r>
            <w:r w:rsidRPr="00C069E6">
              <w:t xml:space="preserve"> reflects the expected number of reviews requested and the timeframes specified by the Government</w:t>
            </w:r>
            <w:r>
              <w:t>.</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pStyle w:val="OGTabText"/>
              <w:rPr>
                <w:lang w:eastAsia="en-AU"/>
              </w:rPr>
            </w:pPr>
            <w:r w:rsidRPr="00C069E6">
              <w:rPr>
                <w:lang w:eastAsia="en-AU"/>
              </w:rPr>
              <w:t>Compliance and enforcement activities</w:t>
            </w:r>
            <w:r>
              <w:rPr>
                <w:lang w:eastAsia="en-AU"/>
              </w:rPr>
              <w:t xml:space="preserve"> – </w:t>
            </w:r>
            <w:r w:rsidRPr="00C069E6">
              <w:rPr>
                <w:lang w:eastAsia="en-AU"/>
              </w:rPr>
              <w:t>energy</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w:t>
            </w: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C069E6">
            <w:pPr>
              <w:pStyle w:val="OGNotes"/>
            </w:pPr>
            <w:r w:rsidRPr="00C069E6">
              <w:t>New performance measure for 2016</w:t>
            </w:r>
            <w:r>
              <w:noBreakHyphen/>
            </w:r>
            <w:r w:rsidRPr="00C069E6">
              <w:t>17 to reflect Government priorities involving compliance and enforcement activities.</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Quality</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bottom w:val="single" w:sz="6" w:space="0" w:color="auto"/>
              <w:right w:val="nil"/>
            </w:tcBorders>
          </w:tcPr>
          <w:p w:rsidR="00E25CC6" w:rsidRPr="00C069E6" w:rsidRDefault="00E25CC6" w:rsidP="00C069E6">
            <w:pPr>
              <w:pStyle w:val="OGTabText"/>
              <w:rPr>
                <w:lang w:eastAsia="en-AU"/>
              </w:rPr>
            </w:pPr>
            <w:r w:rsidRPr="00C069E6">
              <w:rPr>
                <w:lang w:eastAsia="en-AU"/>
              </w:rPr>
              <w:t>Decisions upheld where subject to review, appeal or disallowance</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gridSpan w:val="2"/>
            <w:tcBorders>
              <w:top w:val="nil"/>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Timeliness</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bottom w:val="single" w:sz="6" w:space="0" w:color="auto"/>
              <w:right w:val="nil"/>
            </w:tcBorders>
          </w:tcPr>
          <w:p w:rsidR="00E25CC6" w:rsidRPr="00C069E6" w:rsidRDefault="00E25CC6" w:rsidP="00C069E6">
            <w:pPr>
              <w:pStyle w:val="OGTabText"/>
              <w:rPr>
                <w:lang w:eastAsia="en-AU"/>
              </w:rPr>
            </w:pPr>
            <w:r w:rsidRPr="00C069E6">
              <w:rPr>
                <w:lang w:eastAsia="en-AU"/>
              </w:rPr>
              <w:t>Delivery of major milestones within agreed timelines</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gridSpan w:val="2"/>
            <w:tcBorders>
              <w:top w:val="nil"/>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gridSpan w:val="2"/>
            <w:tcBorders>
              <w:top w:val="nil"/>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717340">
        <w:trPr>
          <w:gridBefore w:val="1"/>
          <w:wBefore w:w="28" w:type="dxa"/>
          <w:cantSplit/>
        </w:trPr>
        <w:tc>
          <w:tcPr>
            <w:tcW w:w="3146" w:type="dxa"/>
            <w:gridSpan w:val="2"/>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Cost</w:t>
            </w: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rPr>
          <w:gridBefore w:val="1"/>
          <w:wBefore w:w="28" w:type="dxa"/>
          <w:cantSplit/>
        </w:trPr>
        <w:tc>
          <w:tcPr>
            <w:tcW w:w="3146" w:type="dxa"/>
            <w:gridSpan w:val="2"/>
            <w:tcBorders>
              <w:top w:val="nil"/>
              <w:left w:val="nil"/>
              <w:right w:val="nil"/>
            </w:tcBorders>
          </w:tcPr>
          <w:p w:rsidR="00E25CC6" w:rsidRPr="00C069E6" w:rsidRDefault="00E25CC6" w:rsidP="00C069E6">
            <w:pPr>
              <w:pStyle w:val="OGTabText"/>
              <w:rPr>
                <w:lang w:eastAsia="en-AU"/>
              </w:rPr>
            </w:pPr>
            <w:r w:rsidRPr="00C069E6">
              <w:rPr>
                <w:lang w:eastAsia="en-AU"/>
              </w:rPr>
              <w:t>Total output cost</w:t>
            </w:r>
          </w:p>
        </w:tc>
        <w:tc>
          <w:tcPr>
            <w:tcW w:w="907" w:type="dxa"/>
            <w:gridSpan w:val="2"/>
            <w:tcBorders>
              <w:top w:val="nil"/>
              <w:left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gridSpan w:val="2"/>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24.6</w:t>
            </w:r>
          </w:p>
        </w:tc>
        <w:tc>
          <w:tcPr>
            <w:tcW w:w="992" w:type="dxa"/>
            <w:gridSpan w:val="2"/>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21.6</w:t>
            </w:r>
          </w:p>
        </w:tc>
        <w:tc>
          <w:tcPr>
            <w:tcW w:w="907" w:type="dxa"/>
            <w:gridSpan w:val="2"/>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17.6</w:t>
            </w:r>
          </w:p>
        </w:tc>
        <w:tc>
          <w:tcPr>
            <w:tcW w:w="908" w:type="dxa"/>
            <w:gridSpan w:val="2"/>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16.3</w:t>
            </w:r>
          </w:p>
        </w:tc>
      </w:tr>
      <w:tr w:rsidR="00E25CC6" w:rsidRPr="00C069E6" w:rsidTr="00717340">
        <w:trPr>
          <w:gridBefore w:val="1"/>
          <w:wBefore w:w="28" w:type="dxa"/>
          <w:cantSplit/>
        </w:trPr>
        <w:tc>
          <w:tcPr>
            <w:tcW w:w="7767" w:type="dxa"/>
            <w:gridSpan w:val="12"/>
            <w:tcBorders>
              <w:top w:val="nil"/>
              <w:left w:val="nil"/>
              <w:bottom w:val="single" w:sz="6" w:space="0" w:color="auto"/>
              <w:right w:val="nil"/>
            </w:tcBorders>
          </w:tcPr>
          <w:p w:rsidR="00E25CC6" w:rsidRPr="00C069E6" w:rsidRDefault="00E25CC6" w:rsidP="00810988">
            <w:pPr>
              <w:pStyle w:val="OGNotes"/>
            </w:pPr>
            <w:r w:rsidRPr="00680DB0">
              <w:t>The 2015</w:t>
            </w:r>
            <w:r w:rsidRPr="00680DB0">
              <w:noBreakHyphen/>
              <w:t>16 expected outcome is higher than the 2015</w:t>
            </w:r>
            <w:r w:rsidRPr="00680DB0">
              <w:noBreakHyphen/>
              <w:t>16 target due to additional funding to implement energy regulatory functions and the Fair Go Rates System. The higher 2016</w:t>
            </w:r>
            <w:r w:rsidRPr="00680DB0">
              <w:noBreakHyphen/>
              <w:t xml:space="preserve">17 target </w:t>
            </w:r>
            <w:r w:rsidRPr="00680DB0">
              <w:rPr>
                <w:rFonts w:eastAsiaTheme="minorHAnsi"/>
              </w:rPr>
              <w:t>reflects</w:t>
            </w:r>
            <w:r w:rsidRPr="00F66A41">
              <w:rPr>
                <w:rFonts w:eastAsiaTheme="minorHAnsi"/>
              </w:rPr>
              <w:t xml:space="preserve"> additional funding for the administration of the Victorian Energy Efficiency Target </w:t>
            </w:r>
            <w:r>
              <w:rPr>
                <w:rFonts w:eastAsiaTheme="minorHAnsi"/>
              </w:rPr>
              <w:t xml:space="preserve">scheme </w:t>
            </w:r>
            <w:r w:rsidRPr="00F66A41">
              <w:rPr>
                <w:rFonts w:eastAsiaTheme="minorHAnsi"/>
              </w:rPr>
              <w:t xml:space="preserve">and funding for regulatory functions </w:t>
            </w:r>
            <w:r>
              <w:rPr>
                <w:rFonts w:eastAsiaTheme="minorHAnsi"/>
              </w:rPr>
              <w:t xml:space="preserve">including </w:t>
            </w:r>
            <w:r w:rsidRPr="00F66A41">
              <w:rPr>
                <w:rFonts w:eastAsiaTheme="minorHAnsi"/>
              </w:rPr>
              <w:t>consumer protection for electricity and gas customers, the Fair Go Rates System and pricing regulation</w:t>
            </w:r>
            <w:r>
              <w:rPr>
                <w:rFonts w:eastAsiaTheme="minorHAnsi"/>
              </w:rPr>
              <w:t xml:space="preserve"> for port users as part of the lease</w:t>
            </w:r>
            <w:r w:rsidRPr="00B63D67">
              <w:rPr>
                <w:rFonts w:eastAsiaTheme="minorHAnsi"/>
              </w:rPr>
              <w:t xml:space="preserve"> of the Port of Melbourne</w:t>
            </w:r>
            <w:r>
              <w:rPr>
                <w:rFonts w:eastAsiaTheme="minorHAnsi"/>
              </w:rPr>
              <w:t>.</w:t>
            </w:r>
          </w:p>
        </w:tc>
      </w:tr>
      <w:tr w:rsidR="00E25CC6" w:rsidRPr="00C069E6" w:rsidTr="00717340">
        <w:tblPrEx>
          <w:tblCellMar>
            <w:left w:w="45" w:type="dxa"/>
            <w:right w:w="45" w:type="dxa"/>
          </w:tblCellMar>
        </w:tblPrEx>
        <w:trPr>
          <w:gridAfter w:val="1"/>
          <w:wAfter w:w="28" w:type="dxa"/>
          <w:cantSplit/>
        </w:trPr>
        <w:tc>
          <w:tcPr>
            <w:tcW w:w="7767" w:type="dxa"/>
            <w:gridSpan w:val="12"/>
            <w:tcBorders>
              <w:top w:val="single" w:sz="6" w:space="0" w:color="auto"/>
              <w:left w:val="nil"/>
              <w:bottom w:val="nil"/>
              <w:right w:val="nil"/>
            </w:tcBorders>
          </w:tcPr>
          <w:p w:rsidR="00E25CC6" w:rsidRPr="00C069E6" w:rsidRDefault="00E25CC6" w:rsidP="009E0359">
            <w:pPr>
              <w:pStyle w:val="OGHeading2"/>
              <w:rPr>
                <w:lang w:eastAsia="en-AU"/>
              </w:rPr>
            </w:pPr>
            <w:r w:rsidRPr="00C069E6">
              <w:rPr>
                <w:lang w:eastAsia="en-AU"/>
              </w:rPr>
              <w:t>Business Environment Policy Advice</w:t>
            </w:r>
          </w:p>
        </w:tc>
      </w:tr>
      <w:tr w:rsidR="00E25CC6" w:rsidRPr="00C069E6" w:rsidTr="00717340">
        <w:tblPrEx>
          <w:tblCellMar>
            <w:left w:w="45" w:type="dxa"/>
            <w:right w:w="45" w:type="dxa"/>
          </w:tblCellMar>
        </w:tblPrEx>
        <w:trPr>
          <w:gridAfter w:val="1"/>
          <w:wAfter w:w="28" w:type="dxa"/>
          <w:cantSplit/>
        </w:trPr>
        <w:tc>
          <w:tcPr>
            <w:tcW w:w="7767" w:type="dxa"/>
            <w:gridSpan w:val="12"/>
            <w:tcBorders>
              <w:top w:val="nil"/>
              <w:left w:val="nil"/>
              <w:bottom w:val="single" w:sz="6" w:space="0" w:color="auto"/>
              <w:right w:val="nil"/>
            </w:tcBorders>
          </w:tcPr>
          <w:p w:rsidR="00E25CC6" w:rsidRDefault="00E25CC6" w:rsidP="009E0359">
            <w:pPr>
              <w:pStyle w:val="OGText"/>
              <w:rPr>
                <w:lang w:eastAsia="en-AU"/>
              </w:rPr>
            </w:pPr>
            <w:r w:rsidRPr="00C069E6">
              <w:rPr>
                <w:lang w:eastAsia="en-AU"/>
              </w:rPr>
              <w:t xml:space="preserve">This output provides advice on ways the Government can improve the business environment. The output contributes to </w:t>
            </w:r>
            <w:r>
              <w:rPr>
                <w:lang w:eastAsia="en-AU"/>
              </w:rPr>
              <w:t xml:space="preserve">the departmental objective of </w:t>
            </w:r>
            <w:r w:rsidRPr="00C069E6">
              <w:rPr>
                <w:lang w:eastAsia="en-AU"/>
              </w:rPr>
              <w:t>guiding Government actions to increase Victoria</w:t>
            </w:r>
            <w:r>
              <w:rPr>
                <w:lang w:eastAsia="en-AU"/>
              </w:rPr>
              <w:t>’</w:t>
            </w:r>
            <w:r w:rsidRPr="00C069E6">
              <w:rPr>
                <w:lang w:eastAsia="en-AU"/>
              </w:rPr>
              <w:t>s productivity and competitiveness. This is achieved by the Commissioner for Better Regulation</w:t>
            </w:r>
            <w:r>
              <w:rPr>
                <w:lang w:eastAsia="en-AU"/>
              </w:rPr>
              <w:t xml:space="preserve"> by</w:t>
            </w:r>
            <w:r w:rsidRPr="00C069E6">
              <w:rPr>
                <w:lang w:eastAsia="en-AU"/>
              </w:rPr>
              <w:t xml:space="preserve">: </w:t>
            </w:r>
          </w:p>
          <w:p w:rsidR="00E25CC6" w:rsidRDefault="00E25CC6" w:rsidP="009E0359">
            <w:pPr>
              <w:pStyle w:val="OGBullet"/>
              <w:rPr>
                <w:lang w:eastAsia="en-AU"/>
              </w:rPr>
            </w:pPr>
            <w:r w:rsidRPr="00C069E6">
              <w:rPr>
                <w:lang w:eastAsia="en-AU"/>
              </w:rPr>
              <w:t xml:space="preserve">reviewing Regulatory Impact Statements, Legislative Impact Assessments, and providing advice for Regulatory Change Measurements; </w:t>
            </w:r>
          </w:p>
          <w:p w:rsidR="00E25CC6" w:rsidRDefault="00E25CC6" w:rsidP="009E0359">
            <w:pPr>
              <w:pStyle w:val="OGBullet"/>
              <w:rPr>
                <w:lang w:eastAsia="en-AU"/>
              </w:rPr>
            </w:pPr>
            <w:r w:rsidRPr="00C069E6">
              <w:rPr>
                <w:lang w:eastAsia="en-AU"/>
              </w:rPr>
              <w:t xml:space="preserve">assisting agencies to improve the quality of regulation in Victoria and undertaking research into matters referred to it by the Government; and </w:t>
            </w:r>
          </w:p>
          <w:p w:rsidR="00E25CC6" w:rsidRPr="00C069E6" w:rsidRDefault="00E25CC6" w:rsidP="009E0359">
            <w:pPr>
              <w:pStyle w:val="OGBullet"/>
              <w:rPr>
                <w:lang w:eastAsia="en-AU"/>
              </w:rPr>
            </w:pPr>
            <w:r w:rsidRPr="00C069E6">
              <w:rPr>
                <w:lang w:eastAsia="en-AU"/>
              </w:rPr>
              <w:t>operating Victoria</w:t>
            </w:r>
            <w:r>
              <w:rPr>
                <w:lang w:eastAsia="en-AU"/>
              </w:rPr>
              <w:t>’</w:t>
            </w:r>
            <w:r w:rsidRPr="00C069E6">
              <w:rPr>
                <w:lang w:eastAsia="en-AU"/>
              </w:rPr>
              <w:t>s competitive neutrality unit.</w:t>
            </w:r>
          </w:p>
        </w:tc>
      </w:tr>
      <w:tr w:rsidR="00E25CC6" w:rsidRPr="00C069E6" w:rsidTr="00717340">
        <w:tblPrEx>
          <w:tblCellMar>
            <w:left w:w="45" w:type="dxa"/>
            <w:right w:w="45" w:type="dxa"/>
          </w:tblCellMar>
        </w:tblPrEx>
        <w:trPr>
          <w:gridAfter w:val="1"/>
          <w:wAfter w:w="28" w:type="dxa"/>
          <w:cantSplit/>
        </w:trPr>
        <w:tc>
          <w:tcPr>
            <w:tcW w:w="3146" w:type="dxa"/>
            <w:gridSpan w:val="2"/>
            <w:tcBorders>
              <w:top w:val="nil"/>
              <w:left w:val="nil"/>
              <w:bottom w:val="nil"/>
              <w:right w:val="nil"/>
            </w:tcBorders>
          </w:tcPr>
          <w:p w:rsidR="00E25CC6" w:rsidRPr="00C069E6" w:rsidRDefault="00E25CC6" w:rsidP="009E0359">
            <w:pPr>
              <w:keepNext/>
              <w:autoSpaceDE w:val="0"/>
              <w:autoSpaceDN w:val="0"/>
              <w:adjustRightInd w:val="0"/>
              <w:spacing w:after="0"/>
              <w:ind w:left="230" w:hanging="230"/>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Quantity</w:t>
            </w: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nil"/>
              <w:left w:val="nil"/>
              <w:right w:val="nil"/>
            </w:tcBorders>
            <w:shd w:val="clear" w:color="auto" w:fill="DCDCDC"/>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blPrEx>
          <w:tblCellMar>
            <w:left w:w="45" w:type="dxa"/>
            <w:right w:w="45" w:type="dxa"/>
          </w:tblCellMar>
        </w:tblPrEx>
        <w:trPr>
          <w:gridAfter w:val="1"/>
          <w:wAfter w:w="28" w:type="dxa"/>
          <w:cantSplit/>
        </w:trPr>
        <w:tc>
          <w:tcPr>
            <w:tcW w:w="3146" w:type="dxa"/>
            <w:gridSpan w:val="2"/>
            <w:tcBorders>
              <w:top w:val="nil"/>
              <w:left w:val="nil"/>
              <w:bottom w:val="nil"/>
              <w:right w:val="nil"/>
            </w:tcBorders>
          </w:tcPr>
          <w:p w:rsidR="00E25CC6" w:rsidRDefault="00E25CC6" w:rsidP="009E0359">
            <w:pPr>
              <w:pStyle w:val="OGTabText"/>
              <w:keepNext/>
              <w:autoSpaceDE w:val="0"/>
              <w:autoSpaceDN w:val="0"/>
              <w:adjustRightInd w:val="0"/>
              <w:spacing w:before="0" w:after="0"/>
              <w:ind w:left="230" w:hanging="230"/>
              <w:rPr>
                <w:lang w:eastAsia="en-AU"/>
              </w:rPr>
            </w:pPr>
            <w:r w:rsidRPr="00C069E6">
              <w:rPr>
                <w:lang w:eastAsia="en-AU"/>
              </w:rPr>
              <w:t>Advice on adequacy of final</w:t>
            </w:r>
            <w:r>
              <w:rPr>
                <w:lang w:eastAsia="en-AU"/>
              </w:rPr>
              <w:t xml:space="preserve"> </w:t>
            </w:r>
          </w:p>
          <w:p w:rsidR="00E25CC6" w:rsidRDefault="00E25CC6" w:rsidP="009E0359">
            <w:pPr>
              <w:pStyle w:val="OGTabText"/>
              <w:keepNext/>
              <w:autoSpaceDE w:val="0"/>
              <w:autoSpaceDN w:val="0"/>
              <w:adjustRightInd w:val="0"/>
              <w:spacing w:before="0" w:after="0"/>
              <w:ind w:left="230" w:hanging="230"/>
              <w:rPr>
                <w:lang w:eastAsia="en-AU"/>
              </w:rPr>
            </w:pPr>
            <w:r w:rsidRPr="00C069E6">
              <w:rPr>
                <w:lang w:eastAsia="en-AU"/>
              </w:rPr>
              <w:t xml:space="preserve">Regulatory Impact Statements and </w:t>
            </w:r>
          </w:p>
          <w:p w:rsidR="00E25CC6" w:rsidRDefault="00E25CC6" w:rsidP="009E0359">
            <w:pPr>
              <w:pStyle w:val="OGTabText"/>
              <w:keepNext/>
              <w:autoSpaceDE w:val="0"/>
              <w:autoSpaceDN w:val="0"/>
              <w:adjustRightInd w:val="0"/>
              <w:spacing w:before="0" w:after="0"/>
              <w:ind w:left="230" w:hanging="230"/>
              <w:rPr>
                <w:lang w:eastAsia="en-AU"/>
              </w:rPr>
            </w:pPr>
            <w:r w:rsidRPr="00C069E6">
              <w:rPr>
                <w:lang w:eastAsia="en-AU"/>
              </w:rPr>
              <w:t xml:space="preserve">Legislative Impact Assessments </w:t>
            </w:r>
          </w:p>
          <w:p w:rsidR="00E25CC6" w:rsidRPr="00C069E6" w:rsidRDefault="00E25CC6" w:rsidP="009E0359">
            <w:pPr>
              <w:pStyle w:val="OGTabText"/>
              <w:keepNext/>
              <w:autoSpaceDE w:val="0"/>
              <w:autoSpaceDN w:val="0"/>
              <w:adjustRightInd w:val="0"/>
              <w:spacing w:before="0" w:after="0"/>
              <w:ind w:left="230" w:hanging="230"/>
              <w:rPr>
                <w:lang w:eastAsia="en-AU"/>
              </w:rPr>
            </w:pPr>
            <w:r w:rsidRPr="00C069E6">
              <w:rPr>
                <w:lang w:eastAsia="en-AU"/>
              </w:rPr>
              <w:t>prepared by departments</w:t>
            </w: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gridSpan w:val="2"/>
            <w:tcBorders>
              <w:top w:val="nil"/>
              <w:left w:val="nil"/>
              <w:bottom w:val="nil"/>
              <w:right w:val="nil"/>
            </w:tcBorders>
            <w:shd w:val="clear" w:color="auto" w:fill="DCDCDC"/>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35</w:t>
            </w:r>
          </w:p>
        </w:tc>
        <w:tc>
          <w:tcPr>
            <w:tcW w:w="992"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32</w:t>
            </w: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35</w:t>
            </w:r>
          </w:p>
        </w:tc>
        <w:tc>
          <w:tcPr>
            <w:tcW w:w="908"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25</w:t>
            </w:r>
          </w:p>
        </w:tc>
      </w:tr>
      <w:tr w:rsidR="00E25CC6" w:rsidRPr="00C069E6" w:rsidTr="00717340">
        <w:tblPrEx>
          <w:tblCellMar>
            <w:left w:w="45" w:type="dxa"/>
            <w:right w:w="45" w:type="dxa"/>
          </w:tblCellMar>
        </w:tblPrEx>
        <w:trPr>
          <w:gridAfter w:val="1"/>
          <w:wAfter w:w="28" w:type="dxa"/>
          <w:cantSplit/>
        </w:trPr>
        <w:tc>
          <w:tcPr>
            <w:tcW w:w="7767" w:type="dxa"/>
            <w:gridSpan w:val="12"/>
            <w:tcBorders>
              <w:top w:val="nil"/>
              <w:left w:val="nil"/>
              <w:bottom w:val="single" w:sz="6" w:space="0" w:color="auto"/>
              <w:right w:val="nil"/>
            </w:tcBorders>
          </w:tcPr>
          <w:p w:rsidR="00E25CC6" w:rsidRPr="00C069E6" w:rsidRDefault="00E25CC6" w:rsidP="00B25EBA">
            <w:pPr>
              <w:pStyle w:val="OGNotes"/>
            </w:pPr>
            <w:r w:rsidRPr="00C069E6">
              <w:t xml:space="preserve">This performance measure has been transferred from the Department of Premier and Cabinet. This performance measure </w:t>
            </w:r>
            <w:r>
              <w:t>renames</w:t>
            </w:r>
            <w:r w:rsidRPr="00C069E6">
              <w:t xml:space="preserve"> the 2015</w:t>
            </w:r>
            <w:r>
              <w:noBreakHyphen/>
            </w:r>
            <w:r w:rsidRPr="00C069E6">
              <w:t xml:space="preserve">16 performance measure </w:t>
            </w:r>
            <w:r>
              <w:t>‘</w:t>
            </w:r>
            <w:r w:rsidRPr="00C069E6">
              <w:t>Advice on adequacy of final Regulatory Impact Statements,</w:t>
            </w:r>
            <w:r>
              <w:t xml:space="preserve"> Legislative Impact Assessments </w:t>
            </w:r>
            <w:r w:rsidRPr="00C069E6">
              <w:t>and Regulatory Change Measurements</w:t>
            </w:r>
            <w:r>
              <w:t xml:space="preserve"> prepared by departments’</w:t>
            </w:r>
            <w:r w:rsidRPr="00C069E6">
              <w:t>. The new measure reports on the same activity as the previous measure however has been amended for increased clarity. The 2015</w:t>
            </w:r>
            <w:r>
              <w:noBreakHyphen/>
            </w:r>
            <w:r w:rsidRPr="00C069E6">
              <w:t xml:space="preserve">16 </w:t>
            </w:r>
            <w:r w:rsidRPr="00B22DB8">
              <w:t>expected outcome</w:t>
            </w:r>
            <w:r w:rsidRPr="00C069E6">
              <w:t xml:space="preserve"> is lower than the 2015</w:t>
            </w:r>
            <w:r>
              <w:noBreakHyphen/>
            </w:r>
            <w:r w:rsidRPr="00C069E6">
              <w:t xml:space="preserve">16 </w:t>
            </w:r>
            <w:r>
              <w:t>target</w:t>
            </w:r>
            <w:r w:rsidRPr="00C069E6">
              <w:t xml:space="preserve"> as fewer impact assessments are expected to be submitted by departments.</w:t>
            </w:r>
          </w:p>
        </w:tc>
      </w:tr>
      <w:tr w:rsidR="00E25CC6" w:rsidRPr="00C069E6" w:rsidTr="00717340">
        <w:tblPrEx>
          <w:tblCellMar>
            <w:left w:w="45" w:type="dxa"/>
            <w:right w:w="45" w:type="dxa"/>
          </w:tblCellMar>
        </w:tblPrEx>
        <w:trPr>
          <w:gridAfter w:val="1"/>
          <w:wAfter w:w="28" w:type="dxa"/>
          <w:cantSplit/>
        </w:trPr>
        <w:tc>
          <w:tcPr>
            <w:tcW w:w="3146" w:type="dxa"/>
            <w:gridSpan w:val="2"/>
            <w:tcBorders>
              <w:top w:val="nil"/>
              <w:left w:val="nil"/>
              <w:bottom w:val="nil"/>
              <w:right w:val="nil"/>
            </w:tcBorders>
          </w:tcPr>
          <w:p w:rsidR="00E25CC6" w:rsidRPr="00C069E6" w:rsidRDefault="00E25CC6" w:rsidP="009E0359">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Timeliness</w:t>
            </w: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center"/>
              <w:rPr>
                <w:rFonts w:ascii="Calibri" w:hAnsi="Calibri" w:cs="Calibri"/>
                <w:i/>
                <w:iCs/>
                <w:color w:val="000000"/>
                <w:sz w:val="19"/>
                <w:szCs w:val="22"/>
                <w:lang w:eastAsia="en-AU"/>
              </w:rPr>
            </w:pPr>
          </w:p>
        </w:tc>
        <w:tc>
          <w:tcPr>
            <w:tcW w:w="907" w:type="dxa"/>
            <w:gridSpan w:val="2"/>
            <w:tcBorders>
              <w:top w:val="nil"/>
              <w:left w:val="nil"/>
              <w:right w:val="nil"/>
            </w:tcBorders>
            <w:shd w:val="clear" w:color="auto" w:fill="DCDCDC"/>
          </w:tcPr>
          <w:p w:rsidR="00E25CC6" w:rsidRPr="00C069E6" w:rsidRDefault="00E25CC6" w:rsidP="009E0359">
            <w:pPr>
              <w:autoSpaceDE w:val="0"/>
              <w:autoSpaceDN w:val="0"/>
              <w:adjustRightInd w:val="0"/>
              <w:spacing w:after="0"/>
              <w:jc w:val="right"/>
              <w:rPr>
                <w:rFonts w:ascii="Calibri" w:hAnsi="Calibri" w:cs="Calibri"/>
                <w:i/>
                <w:iCs/>
                <w:color w:val="000000"/>
                <w:sz w:val="19"/>
                <w:szCs w:val="22"/>
                <w:lang w:eastAsia="en-AU"/>
              </w:rPr>
            </w:pPr>
          </w:p>
        </w:tc>
        <w:tc>
          <w:tcPr>
            <w:tcW w:w="992"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i/>
                <w:iCs/>
                <w:color w:val="000000"/>
                <w:sz w:val="19"/>
                <w:szCs w:val="22"/>
                <w:lang w:eastAsia="en-AU"/>
              </w:rPr>
            </w:pP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i/>
                <w:iCs/>
                <w:color w:val="000000"/>
                <w:sz w:val="19"/>
                <w:szCs w:val="22"/>
                <w:lang w:eastAsia="en-AU"/>
              </w:rPr>
            </w:pPr>
          </w:p>
        </w:tc>
        <w:tc>
          <w:tcPr>
            <w:tcW w:w="908"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i/>
                <w:iCs/>
                <w:color w:val="000000"/>
                <w:sz w:val="19"/>
                <w:szCs w:val="22"/>
                <w:lang w:eastAsia="en-AU"/>
              </w:rPr>
            </w:pPr>
          </w:p>
        </w:tc>
      </w:tr>
      <w:tr w:rsidR="00E25CC6" w:rsidRPr="00C069E6" w:rsidTr="00717340">
        <w:tblPrEx>
          <w:tblCellMar>
            <w:left w:w="45" w:type="dxa"/>
            <w:right w:w="45" w:type="dxa"/>
          </w:tblCellMar>
        </w:tblPrEx>
        <w:trPr>
          <w:gridAfter w:val="1"/>
          <w:wAfter w:w="28" w:type="dxa"/>
          <w:cantSplit/>
        </w:trPr>
        <w:tc>
          <w:tcPr>
            <w:tcW w:w="3146" w:type="dxa"/>
            <w:gridSpan w:val="2"/>
            <w:tcBorders>
              <w:top w:val="nil"/>
              <w:left w:val="nil"/>
              <w:bottom w:val="nil"/>
              <w:right w:val="nil"/>
            </w:tcBorders>
          </w:tcPr>
          <w:p w:rsidR="00E25CC6" w:rsidRPr="00C069E6" w:rsidRDefault="00E25CC6" w:rsidP="009E0359">
            <w:pPr>
              <w:pStyle w:val="OGTabText"/>
              <w:rPr>
                <w:lang w:eastAsia="en-AU"/>
              </w:rPr>
            </w:pPr>
            <w:r w:rsidRPr="00C069E6">
              <w:rPr>
                <w:lang w:eastAsia="en-AU"/>
              </w:rPr>
              <w:t>Completion of initial assessment of Regulatory Impact Statements and Legislative Impact Assessments within 10 working days of receipt</w:t>
            </w: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gridSpan w:val="2"/>
            <w:tcBorders>
              <w:top w:val="nil"/>
              <w:left w:val="nil"/>
              <w:bottom w:val="nil"/>
              <w:right w:val="nil"/>
            </w:tcBorders>
            <w:shd w:val="clear" w:color="auto" w:fill="DCDCDC"/>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gridSpan w:val="2"/>
            <w:tcBorders>
              <w:top w:val="nil"/>
              <w:left w:val="nil"/>
              <w:bottom w:val="nil"/>
              <w:right w:val="nil"/>
            </w:tcBorders>
          </w:tcPr>
          <w:p w:rsidR="00E25CC6" w:rsidRPr="00C069E6" w:rsidRDefault="00E25CC6" w:rsidP="009E0359">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717340">
        <w:tblPrEx>
          <w:tblCellMar>
            <w:left w:w="45" w:type="dxa"/>
            <w:right w:w="45" w:type="dxa"/>
          </w:tblCellMar>
        </w:tblPrEx>
        <w:trPr>
          <w:gridAfter w:val="1"/>
          <w:wAfter w:w="28" w:type="dxa"/>
          <w:cantSplit/>
        </w:trPr>
        <w:tc>
          <w:tcPr>
            <w:tcW w:w="7767" w:type="dxa"/>
            <w:gridSpan w:val="12"/>
            <w:tcBorders>
              <w:top w:val="nil"/>
              <w:left w:val="nil"/>
              <w:bottom w:val="single" w:sz="6" w:space="0" w:color="auto"/>
              <w:right w:val="nil"/>
            </w:tcBorders>
          </w:tcPr>
          <w:p w:rsidR="00E25CC6" w:rsidRPr="00C069E6" w:rsidRDefault="00E25CC6" w:rsidP="00104431">
            <w:pPr>
              <w:pStyle w:val="OGNotes"/>
            </w:pPr>
            <w:r w:rsidRPr="00C069E6">
              <w:t xml:space="preserve">This performance measure has been transferred from the Department of Premier and Cabinet. This performance measure </w:t>
            </w:r>
            <w:r>
              <w:t>renames</w:t>
            </w:r>
            <w:r w:rsidRPr="00C069E6">
              <w:t xml:space="preserve"> the 2015</w:t>
            </w:r>
            <w:r>
              <w:noBreakHyphen/>
            </w:r>
            <w:r w:rsidRPr="00C069E6">
              <w:t xml:space="preserve">16 performance measure </w:t>
            </w:r>
            <w:r>
              <w:t>‘</w:t>
            </w:r>
            <w:r w:rsidRPr="00C069E6">
              <w:t>Completion of initial assessment of Regulatory Impact Statements, Legislative Impact Assessments and Regulatory Change Measurements within 10 working days of receipt</w:t>
            </w:r>
            <w:r>
              <w:t>’</w:t>
            </w:r>
            <w:r w:rsidRPr="00C069E6">
              <w:t>. The new measure reports on the same activity as the previous measure however has been amended for increased clarity.</w:t>
            </w:r>
          </w:p>
        </w:tc>
      </w:tr>
      <w:tr w:rsidR="00E25CC6" w:rsidRPr="00C069E6" w:rsidTr="00717340">
        <w:tblPrEx>
          <w:tblCellMar>
            <w:left w:w="45" w:type="dxa"/>
            <w:right w:w="45" w:type="dxa"/>
          </w:tblCellMar>
        </w:tblPrEx>
        <w:trPr>
          <w:gridAfter w:val="1"/>
          <w:wAfter w:w="28" w:type="dxa"/>
          <w:cantSplit/>
        </w:trPr>
        <w:tc>
          <w:tcPr>
            <w:tcW w:w="3146" w:type="dxa"/>
            <w:gridSpan w:val="2"/>
            <w:tcBorders>
              <w:top w:val="nil"/>
              <w:left w:val="nil"/>
              <w:bottom w:val="nil"/>
              <w:right w:val="nil"/>
            </w:tcBorders>
          </w:tcPr>
          <w:p w:rsidR="00E25CC6" w:rsidRPr="00C069E6" w:rsidRDefault="00E25CC6" w:rsidP="009E0359">
            <w:pPr>
              <w:keepNext/>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Cost</w:t>
            </w:r>
          </w:p>
        </w:tc>
        <w:tc>
          <w:tcPr>
            <w:tcW w:w="907" w:type="dxa"/>
            <w:gridSpan w:val="2"/>
            <w:tcBorders>
              <w:top w:val="nil"/>
              <w:left w:val="nil"/>
              <w:bottom w:val="nil"/>
              <w:right w:val="nil"/>
            </w:tcBorders>
          </w:tcPr>
          <w:p w:rsidR="00E25CC6" w:rsidRPr="00C069E6" w:rsidRDefault="00E25CC6" w:rsidP="009E0359">
            <w:pPr>
              <w:keepNext/>
              <w:autoSpaceDE w:val="0"/>
              <w:autoSpaceDN w:val="0"/>
              <w:adjustRightInd w:val="0"/>
              <w:spacing w:after="0"/>
              <w:jc w:val="center"/>
              <w:rPr>
                <w:rFonts w:ascii="Calibri" w:hAnsi="Calibri" w:cs="Calibri"/>
                <w:color w:val="000000"/>
                <w:sz w:val="19"/>
                <w:szCs w:val="22"/>
                <w:lang w:eastAsia="en-AU"/>
              </w:rPr>
            </w:pPr>
          </w:p>
        </w:tc>
        <w:tc>
          <w:tcPr>
            <w:tcW w:w="907" w:type="dxa"/>
            <w:gridSpan w:val="2"/>
            <w:tcBorders>
              <w:top w:val="nil"/>
              <w:left w:val="nil"/>
              <w:right w:val="nil"/>
            </w:tcBorders>
            <w:shd w:val="clear" w:color="auto" w:fill="DCDCDC"/>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p>
        </w:tc>
        <w:tc>
          <w:tcPr>
            <w:tcW w:w="992" w:type="dxa"/>
            <w:gridSpan w:val="2"/>
            <w:tcBorders>
              <w:top w:val="nil"/>
              <w:left w:val="nil"/>
              <w:bottom w:val="nil"/>
              <w:right w:val="nil"/>
            </w:tcBorders>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p>
        </w:tc>
        <w:tc>
          <w:tcPr>
            <w:tcW w:w="907" w:type="dxa"/>
            <w:gridSpan w:val="2"/>
            <w:tcBorders>
              <w:top w:val="nil"/>
              <w:left w:val="nil"/>
              <w:bottom w:val="nil"/>
              <w:right w:val="nil"/>
            </w:tcBorders>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p>
        </w:tc>
        <w:tc>
          <w:tcPr>
            <w:tcW w:w="908" w:type="dxa"/>
            <w:gridSpan w:val="2"/>
            <w:tcBorders>
              <w:top w:val="nil"/>
              <w:left w:val="nil"/>
              <w:bottom w:val="nil"/>
              <w:right w:val="nil"/>
            </w:tcBorders>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p>
        </w:tc>
      </w:tr>
      <w:tr w:rsidR="00E25CC6" w:rsidRPr="00C069E6" w:rsidTr="00717340">
        <w:tblPrEx>
          <w:tblCellMar>
            <w:left w:w="45" w:type="dxa"/>
            <w:right w:w="45" w:type="dxa"/>
          </w:tblCellMar>
        </w:tblPrEx>
        <w:trPr>
          <w:gridAfter w:val="1"/>
          <w:wAfter w:w="28" w:type="dxa"/>
          <w:cantSplit/>
        </w:trPr>
        <w:tc>
          <w:tcPr>
            <w:tcW w:w="3146" w:type="dxa"/>
            <w:gridSpan w:val="2"/>
            <w:tcBorders>
              <w:top w:val="nil"/>
              <w:left w:val="nil"/>
              <w:right w:val="nil"/>
            </w:tcBorders>
          </w:tcPr>
          <w:p w:rsidR="00E25CC6" w:rsidRPr="00C069E6" w:rsidRDefault="00E25CC6" w:rsidP="009E0359">
            <w:pPr>
              <w:pStyle w:val="OGTabText"/>
              <w:keepNext/>
              <w:rPr>
                <w:lang w:eastAsia="en-AU"/>
              </w:rPr>
            </w:pPr>
            <w:r w:rsidRPr="00C069E6">
              <w:rPr>
                <w:lang w:eastAsia="en-AU"/>
              </w:rPr>
              <w:t>Total output cost</w:t>
            </w:r>
          </w:p>
        </w:tc>
        <w:tc>
          <w:tcPr>
            <w:tcW w:w="907" w:type="dxa"/>
            <w:gridSpan w:val="2"/>
            <w:tcBorders>
              <w:top w:val="nil"/>
              <w:left w:val="nil"/>
              <w:right w:val="nil"/>
            </w:tcBorders>
          </w:tcPr>
          <w:p w:rsidR="00E25CC6" w:rsidRPr="00C069E6" w:rsidRDefault="00E25CC6" w:rsidP="009E0359">
            <w:pPr>
              <w:keepNext/>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gridSpan w:val="2"/>
            <w:tcBorders>
              <w:top w:val="nil"/>
              <w:left w:val="nil"/>
              <w:right w:val="nil"/>
            </w:tcBorders>
            <w:shd w:val="clear" w:color="auto" w:fill="DCDCDC"/>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2.8</w:t>
            </w:r>
          </w:p>
        </w:tc>
        <w:tc>
          <w:tcPr>
            <w:tcW w:w="992" w:type="dxa"/>
            <w:gridSpan w:val="2"/>
            <w:tcBorders>
              <w:top w:val="nil"/>
              <w:left w:val="nil"/>
              <w:right w:val="nil"/>
            </w:tcBorders>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1.8</w:t>
            </w:r>
          </w:p>
        </w:tc>
        <w:tc>
          <w:tcPr>
            <w:tcW w:w="907" w:type="dxa"/>
            <w:gridSpan w:val="2"/>
            <w:tcBorders>
              <w:top w:val="nil"/>
              <w:left w:val="nil"/>
              <w:right w:val="nil"/>
            </w:tcBorders>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4.2</w:t>
            </w:r>
          </w:p>
        </w:tc>
        <w:tc>
          <w:tcPr>
            <w:tcW w:w="908" w:type="dxa"/>
            <w:gridSpan w:val="2"/>
            <w:tcBorders>
              <w:top w:val="nil"/>
              <w:left w:val="nil"/>
              <w:right w:val="nil"/>
            </w:tcBorders>
          </w:tcPr>
          <w:p w:rsidR="00E25CC6" w:rsidRPr="00C069E6" w:rsidRDefault="00E25CC6" w:rsidP="009E0359">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5.2</w:t>
            </w:r>
          </w:p>
        </w:tc>
      </w:tr>
      <w:tr w:rsidR="00E25CC6" w:rsidRPr="00C069E6" w:rsidTr="00717340">
        <w:tblPrEx>
          <w:tblCellMar>
            <w:left w:w="45" w:type="dxa"/>
            <w:right w:w="45" w:type="dxa"/>
          </w:tblCellMar>
        </w:tblPrEx>
        <w:trPr>
          <w:gridAfter w:val="1"/>
          <w:wAfter w:w="28" w:type="dxa"/>
          <w:cantSplit/>
        </w:trPr>
        <w:tc>
          <w:tcPr>
            <w:tcW w:w="7767" w:type="dxa"/>
            <w:gridSpan w:val="12"/>
            <w:tcBorders>
              <w:top w:val="nil"/>
              <w:left w:val="nil"/>
              <w:bottom w:val="single" w:sz="12" w:space="0" w:color="auto"/>
              <w:right w:val="nil"/>
            </w:tcBorders>
          </w:tcPr>
          <w:p w:rsidR="00E25CC6" w:rsidRPr="00C069E6" w:rsidRDefault="00E25CC6" w:rsidP="00AA5B57">
            <w:pPr>
              <w:pStyle w:val="OGNotes"/>
            </w:pPr>
            <w:r w:rsidRPr="006E6183">
              <w:t xml:space="preserve">Components of the </w:t>
            </w:r>
            <w:r>
              <w:t>‘</w:t>
            </w:r>
            <w:r w:rsidRPr="006E6183">
              <w:t>Business Environment Policy Advice</w:t>
            </w:r>
            <w:r>
              <w:t>’</w:t>
            </w:r>
            <w:r w:rsidRPr="006E6183">
              <w:t xml:space="preserve"> output transferred from the Department of Premier and Cabinet in September 2015. The 2015</w:t>
            </w:r>
            <w:r w:rsidRPr="006E6183">
              <w:noBreakHyphen/>
              <w:t xml:space="preserve">16 target reflects the figure reported by the Department of Premier and Cabinet in the </w:t>
            </w:r>
            <w:r w:rsidRPr="00717340">
              <w:rPr>
                <w:i w:val="0"/>
              </w:rPr>
              <w:t>2015</w:t>
            </w:r>
            <w:r>
              <w:rPr>
                <w:i w:val="0"/>
              </w:rPr>
              <w:noBreakHyphen/>
            </w:r>
            <w:r w:rsidRPr="00717340">
              <w:rPr>
                <w:i w:val="0"/>
              </w:rPr>
              <w:t>16 Budget</w:t>
            </w:r>
            <w:r w:rsidRPr="006E6183">
              <w:t xml:space="preserve"> and represents the functions of the former Victorian Competition and Efficiency Commission at that time. The 2015</w:t>
            </w:r>
            <w:r w:rsidRPr="006E6183">
              <w:noBreakHyphen/>
              <w:t>16 expected outcome is lower than the 2015</w:t>
            </w:r>
            <w:r w:rsidRPr="006E6183">
              <w:noBreakHyphen/>
              <w:t>16 target to reflect the functions of the Office of the Commissioner for Better Regulation following its establishment within the Treasury portfolio in September 2015. The lower 2016</w:t>
            </w:r>
            <w:r>
              <w:noBreakHyphen/>
            </w:r>
            <w:r w:rsidRPr="006E6183">
              <w:t>17 target reflects only the functions of the Office of the Commissioner for Better Regulation.</w:t>
            </w:r>
          </w:p>
        </w:tc>
      </w:tr>
    </w:tbl>
    <w:p w:rsidR="00E25CC6" w:rsidRDefault="00E25CC6" w:rsidP="0027262F">
      <w:pPr>
        <w:pStyle w:val="Source"/>
        <w:rPr>
          <w:lang w:eastAsia="en-AU"/>
        </w:rPr>
      </w:pPr>
      <w:r>
        <w:rPr>
          <w:lang w:eastAsia="en-AU"/>
        </w:rPr>
        <w:t>Source: Department of Treasury and Finance</w:t>
      </w:r>
      <w:bookmarkEnd w:id="103"/>
      <w:r>
        <w:rPr>
          <w:lang w:eastAsia="en-AU"/>
        </w:rPr>
        <w:t xml:space="preserve"> </w:t>
      </w:r>
      <w:r>
        <w:rPr>
          <w:lang w:eastAsia="en-AU"/>
        </w:rPr>
        <w:fldChar w:fldCharType="begin"/>
      </w:r>
      <w:r>
        <w:instrText xml:space="preserve"> XE "</w:instrText>
      </w:r>
      <w:r w:rsidRPr="00673509">
        <w:instrText>Department of Treasury and Finance:Guide government actions to increase productivity and competitiveness</w:instrText>
      </w:r>
      <w:r>
        <w:instrText xml:space="preserve">" \r "DTF_GuideGovtAct" </w:instrText>
      </w:r>
      <w:r>
        <w:rPr>
          <w:lang w:eastAsia="en-AU"/>
        </w:rPr>
        <w:fldChar w:fldCharType="end"/>
      </w:r>
    </w:p>
    <w:p w:rsidR="00E25CC6" w:rsidRDefault="00E25CC6" w:rsidP="009A66FD">
      <w:pPr>
        <w:rPr>
          <w:rFonts w:ascii="Calibri" w:eastAsiaTheme="minorHAnsi" w:hAnsi="Calibri"/>
          <w:sz w:val="32"/>
          <w:szCs w:val="28"/>
        </w:rPr>
      </w:pPr>
      <w:r>
        <w:rPr>
          <w:rFonts w:eastAsiaTheme="minorHAnsi"/>
        </w:rPr>
        <w:br w:type="page"/>
      </w:r>
    </w:p>
    <w:p w:rsidR="00E25CC6" w:rsidRPr="00D14D27" w:rsidRDefault="00E25CC6" w:rsidP="009A66FD">
      <w:pPr>
        <w:pStyle w:val="OGHeading1"/>
        <w:rPr>
          <w:rFonts w:eastAsiaTheme="minorHAnsi"/>
        </w:rPr>
      </w:pPr>
      <w:r w:rsidRPr="00D14D27">
        <w:rPr>
          <w:rFonts w:eastAsiaTheme="minorHAnsi"/>
        </w:rPr>
        <w:t>Drive improvements in public sector commercial and asset management and the delivery of infrastructure</w:t>
      </w:r>
    </w:p>
    <w:p w:rsidR="00E25CC6" w:rsidRDefault="00E25CC6" w:rsidP="009A66FD">
      <w:pPr>
        <w:pStyle w:val="OGText"/>
      </w:pPr>
      <w:bookmarkStart w:id="104" w:name="DTF_DriveImprove"/>
      <w:r w:rsidRPr="00D14D27">
        <w:rPr>
          <w:rFonts w:eastAsiaTheme="minorHAnsi"/>
        </w:rPr>
        <w:t xml:space="preserve">The Department of Treasury and Finance develops and applies prudent commercial principles and practices to influence and deliver Government policies </w:t>
      </w:r>
      <w:r>
        <w:rPr>
          <w:rFonts w:eastAsiaTheme="minorHAnsi"/>
        </w:rPr>
        <w:t>focused</w:t>
      </w:r>
      <w:r w:rsidRPr="00D14D27">
        <w:rPr>
          <w:rFonts w:eastAsiaTheme="minorHAnsi"/>
        </w:rPr>
        <w:t xml:space="preserve"> on major infrastructure, government business enterprises and the State</w:t>
      </w:r>
      <w:r>
        <w:rPr>
          <w:rFonts w:eastAsiaTheme="minorHAnsi"/>
        </w:rPr>
        <w:t>’</w:t>
      </w:r>
      <w:r w:rsidRPr="00D14D27">
        <w:rPr>
          <w:rFonts w:eastAsiaTheme="minorHAnsi"/>
        </w:rPr>
        <w:t>s balance sheet.</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C069E6" w:rsidTr="00E33FE7">
        <w:trPr>
          <w:cantSplit/>
          <w:tblHeader/>
        </w:trPr>
        <w:tc>
          <w:tcPr>
            <w:tcW w:w="3146"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b/>
                <w:bCs/>
                <w:color w:val="FFFFFF"/>
                <w:sz w:val="19"/>
                <w:szCs w:val="22"/>
                <w:lang w:eastAsia="en-AU"/>
              </w:rPr>
              <w:t>Major outputs/deliverables</w:t>
            </w:r>
          </w:p>
          <w:p w:rsidR="00E25CC6" w:rsidRPr="00C069E6" w:rsidRDefault="00E25CC6" w:rsidP="00E33FE7">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center"/>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15 actual</w:t>
            </w:r>
          </w:p>
        </w:tc>
      </w:tr>
      <w:tr w:rsidR="00E25CC6" w:rsidRPr="00C069E6" w:rsidTr="00C069E6">
        <w:trPr>
          <w:cantSplit/>
        </w:trPr>
        <w:tc>
          <w:tcPr>
            <w:tcW w:w="7767" w:type="dxa"/>
            <w:gridSpan w:val="6"/>
            <w:tcBorders>
              <w:top w:val="single" w:sz="6" w:space="0" w:color="auto"/>
              <w:left w:val="nil"/>
              <w:bottom w:val="nil"/>
              <w:right w:val="nil"/>
            </w:tcBorders>
          </w:tcPr>
          <w:p w:rsidR="00E25CC6" w:rsidRPr="00C069E6" w:rsidRDefault="00E25CC6" w:rsidP="00C069E6">
            <w:pPr>
              <w:pStyle w:val="OGHeading2"/>
              <w:rPr>
                <w:lang w:eastAsia="en-AU"/>
              </w:rPr>
            </w:pPr>
            <w:r w:rsidRPr="00C069E6">
              <w:rPr>
                <w:lang w:eastAsia="en-AU"/>
              </w:rPr>
              <w:t>Commercial and Infrastructure Advice</w:t>
            </w:r>
          </w:p>
        </w:tc>
      </w:tr>
      <w:tr w:rsidR="00E25CC6" w:rsidRPr="00C069E6" w:rsidTr="00C069E6">
        <w:trPr>
          <w:cantSplit/>
        </w:trPr>
        <w:tc>
          <w:tcPr>
            <w:tcW w:w="7767" w:type="dxa"/>
            <w:gridSpan w:val="6"/>
            <w:tcBorders>
              <w:top w:val="nil"/>
              <w:left w:val="nil"/>
              <w:bottom w:val="single" w:sz="6" w:space="0" w:color="auto"/>
              <w:right w:val="nil"/>
            </w:tcBorders>
          </w:tcPr>
          <w:p w:rsidR="00E25CC6" w:rsidRDefault="00E25CC6" w:rsidP="00C069E6">
            <w:pPr>
              <w:pStyle w:val="OGText"/>
              <w:rPr>
                <w:lang w:eastAsia="en-AU"/>
              </w:rPr>
            </w:pPr>
            <w:r w:rsidRPr="00C069E6">
              <w:rPr>
                <w:lang w:eastAsia="en-AU"/>
              </w:rPr>
              <w:t>This output provides land and infrastructure advice and assistance to departments, Ministers and senior DTF management. It contributes to the Department</w:t>
            </w:r>
            <w:r>
              <w:rPr>
                <w:lang w:eastAsia="en-AU"/>
              </w:rPr>
              <w:t>’</w:t>
            </w:r>
            <w:r w:rsidRPr="00C069E6">
              <w:rPr>
                <w:lang w:eastAsia="en-AU"/>
              </w:rPr>
              <w:t xml:space="preserve">s objective of driving improvement in public sector commercial and asset management and the delivery of infrastructure by providing advice and assistance on: </w:t>
            </w:r>
          </w:p>
          <w:p w:rsidR="00E25CC6" w:rsidRDefault="00E25CC6" w:rsidP="00717340">
            <w:pPr>
              <w:pStyle w:val="OGBullet"/>
              <w:spacing w:after="80"/>
              <w:ind w:left="357" w:hanging="357"/>
              <w:rPr>
                <w:lang w:eastAsia="en-AU"/>
              </w:rPr>
            </w:pPr>
            <w:r w:rsidRPr="00C069E6">
              <w:rPr>
                <w:lang w:eastAsia="en-AU"/>
              </w:rPr>
              <w:t xml:space="preserve">land purchases, sales, facilitation, leasing and management of contaminated sites; </w:t>
            </w:r>
          </w:p>
          <w:p w:rsidR="00E25CC6" w:rsidRDefault="00E25CC6" w:rsidP="00717340">
            <w:pPr>
              <w:pStyle w:val="OGBullet"/>
              <w:spacing w:after="80"/>
              <w:ind w:left="357" w:hanging="357"/>
              <w:rPr>
                <w:lang w:eastAsia="en-AU"/>
              </w:rPr>
            </w:pPr>
            <w:r w:rsidRPr="00C069E6">
              <w:rPr>
                <w:lang w:eastAsia="en-AU"/>
              </w:rPr>
              <w:t xml:space="preserve">feasibility studies, business cases, procurement processes and contractual management of major projects and commercial transactions; </w:t>
            </w:r>
          </w:p>
          <w:p w:rsidR="00E25CC6" w:rsidRDefault="00E25CC6" w:rsidP="00717340">
            <w:pPr>
              <w:pStyle w:val="OGBullet"/>
              <w:spacing w:after="80"/>
              <w:ind w:left="357" w:hanging="357"/>
              <w:rPr>
                <w:lang w:eastAsia="en-AU"/>
              </w:rPr>
            </w:pPr>
            <w:r w:rsidRPr="00C069E6">
              <w:rPr>
                <w:lang w:eastAsia="en-AU"/>
              </w:rPr>
              <w:t xml:space="preserve">policy to support project generation, development and delivery; </w:t>
            </w:r>
          </w:p>
          <w:p w:rsidR="00E25CC6" w:rsidRDefault="00E25CC6" w:rsidP="00717340">
            <w:pPr>
              <w:pStyle w:val="OGBullet"/>
              <w:spacing w:after="80"/>
              <w:ind w:left="357" w:hanging="357"/>
              <w:rPr>
                <w:lang w:eastAsia="en-AU"/>
              </w:rPr>
            </w:pPr>
            <w:r w:rsidRPr="00C069E6">
              <w:rPr>
                <w:lang w:eastAsia="en-AU"/>
              </w:rPr>
              <w:t xml:space="preserve">development and implementation of services including policy, procedures and training in practices which govern new infrastructure investment; and </w:t>
            </w:r>
          </w:p>
          <w:p w:rsidR="00E25CC6" w:rsidRDefault="00E25CC6" w:rsidP="00717340">
            <w:pPr>
              <w:pStyle w:val="OGBullet"/>
              <w:spacing w:after="80"/>
              <w:ind w:left="357" w:hanging="357"/>
              <w:rPr>
                <w:lang w:eastAsia="en-AU"/>
              </w:rPr>
            </w:pPr>
            <w:r w:rsidRPr="00C069E6">
              <w:t>medium</w:t>
            </w:r>
            <w:r w:rsidRPr="00C069E6">
              <w:rPr>
                <w:lang w:eastAsia="en-AU"/>
              </w:rPr>
              <w:t xml:space="preserve"> to long</w:t>
            </w:r>
            <w:r>
              <w:rPr>
                <w:lang w:eastAsia="en-AU"/>
              </w:rPr>
              <w:noBreakHyphen/>
            </w:r>
            <w:r w:rsidRPr="00C069E6">
              <w:rPr>
                <w:lang w:eastAsia="en-AU"/>
              </w:rPr>
              <w:t>term asset investment planning and processes for investment decision making</w:t>
            </w:r>
            <w:r>
              <w:rPr>
                <w:lang w:eastAsia="en-AU"/>
              </w:rPr>
              <w:t>.</w:t>
            </w:r>
            <w:r w:rsidRPr="00C069E6">
              <w:rPr>
                <w:lang w:eastAsia="en-AU"/>
              </w:rPr>
              <w:t xml:space="preserve"> </w:t>
            </w:r>
          </w:p>
          <w:p w:rsidR="00E25CC6" w:rsidRDefault="00E25CC6" w:rsidP="00C069E6">
            <w:pPr>
              <w:pStyle w:val="OGText"/>
              <w:rPr>
                <w:lang w:eastAsia="en-AU"/>
              </w:rPr>
            </w:pPr>
            <w:r w:rsidRPr="00C069E6">
              <w:rPr>
                <w:lang w:eastAsia="en-AU"/>
              </w:rPr>
              <w:t>This output also monitors the performance of Government Business Enterprises (GBEs) and Registered Housing Agencies, and manages the State</w:t>
            </w:r>
            <w:r>
              <w:rPr>
                <w:lang w:eastAsia="en-AU"/>
              </w:rPr>
              <w:t>’</w:t>
            </w:r>
            <w:r w:rsidRPr="00C069E6">
              <w:rPr>
                <w:lang w:eastAsia="en-AU"/>
              </w:rPr>
              <w:t xml:space="preserve">s financial risk by: </w:t>
            </w:r>
          </w:p>
          <w:p w:rsidR="00E25CC6" w:rsidRDefault="00E25CC6" w:rsidP="00717340">
            <w:pPr>
              <w:pStyle w:val="OGBullet"/>
              <w:spacing w:after="80"/>
              <w:ind w:left="357" w:hanging="357"/>
              <w:rPr>
                <w:lang w:eastAsia="en-AU"/>
              </w:rPr>
            </w:pPr>
            <w:r w:rsidRPr="00C069E6">
              <w:rPr>
                <w:lang w:eastAsia="en-AU"/>
              </w:rPr>
              <w:t xml:space="preserve">monitoring and providing advice on the financial and operational performance of GBEs and Registered Housing Agencies; </w:t>
            </w:r>
          </w:p>
          <w:p w:rsidR="00E25CC6" w:rsidRDefault="00E25CC6" w:rsidP="00717340">
            <w:pPr>
              <w:pStyle w:val="OGBullet"/>
              <w:spacing w:after="80"/>
              <w:ind w:left="357" w:hanging="357"/>
              <w:rPr>
                <w:lang w:eastAsia="en-AU"/>
              </w:rPr>
            </w:pPr>
            <w:r w:rsidRPr="00C069E6">
              <w:rPr>
                <w:lang w:eastAsia="en-AU"/>
              </w:rPr>
              <w:t>developing and implementing prudential risk management and reporting frameworks in respect of public financial corporations (PFCs) and strategies to manage the State</w:t>
            </w:r>
            <w:r>
              <w:rPr>
                <w:lang w:eastAsia="en-AU"/>
              </w:rPr>
              <w:t>’</w:t>
            </w:r>
            <w:r w:rsidRPr="00C069E6">
              <w:rPr>
                <w:lang w:eastAsia="en-AU"/>
              </w:rPr>
              <w:t xml:space="preserve">s financial risks; </w:t>
            </w:r>
          </w:p>
          <w:p w:rsidR="00E25CC6" w:rsidRDefault="00E25CC6" w:rsidP="00717340">
            <w:pPr>
              <w:pStyle w:val="OGBullet"/>
              <w:spacing w:after="80"/>
              <w:ind w:left="357" w:hanging="357"/>
              <w:rPr>
                <w:lang w:eastAsia="en-AU"/>
              </w:rPr>
            </w:pPr>
            <w:r w:rsidRPr="00C069E6">
              <w:rPr>
                <w:lang w:eastAsia="en-AU"/>
              </w:rPr>
              <w:t>overseeing policy and strategies to manage the State</w:t>
            </w:r>
            <w:r>
              <w:rPr>
                <w:lang w:eastAsia="en-AU"/>
              </w:rPr>
              <w:t>’</w:t>
            </w:r>
            <w:r w:rsidRPr="00C069E6">
              <w:rPr>
                <w:lang w:eastAsia="en-AU"/>
              </w:rPr>
              <w:t xml:space="preserve">s investment, borrowing, unfunded superannuation and insurance claims obligations and the management of the associated risks; and </w:t>
            </w:r>
          </w:p>
          <w:p w:rsidR="00E25CC6" w:rsidRPr="00C069E6" w:rsidRDefault="00E25CC6" w:rsidP="00717340">
            <w:pPr>
              <w:pStyle w:val="OGBullet"/>
              <w:spacing w:after="80"/>
              <w:ind w:left="357" w:hanging="357"/>
              <w:rPr>
                <w:lang w:eastAsia="en-AU"/>
              </w:rPr>
            </w:pPr>
            <w:r w:rsidRPr="00C069E6">
              <w:rPr>
                <w:lang w:eastAsia="en-AU"/>
              </w:rPr>
              <w:t>producing budget and financial reporting data for the public non</w:t>
            </w:r>
            <w:r>
              <w:rPr>
                <w:lang w:eastAsia="en-AU"/>
              </w:rPr>
              <w:noBreakHyphen/>
            </w:r>
            <w:r w:rsidRPr="00C069E6">
              <w:rPr>
                <w:lang w:eastAsia="en-AU"/>
              </w:rPr>
              <w:t>financial corporation (PNFC) and PFC sectors.</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Develop and implement policies, procedures and training to govern and build capability to deliver infrastructure investment</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45</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73</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45</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69</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2015</w:t>
            </w:r>
            <w:r>
              <w:noBreakHyphen/>
            </w:r>
            <w:r w:rsidRPr="00C069E6">
              <w:t xml:space="preserve">16 </w:t>
            </w:r>
            <w:r w:rsidRPr="00B22DB8">
              <w:t>expected outcome</w:t>
            </w:r>
            <w:r w:rsidRPr="00C069E6">
              <w:t xml:space="preserve"> is higher than the 2015</w:t>
            </w:r>
            <w:r>
              <w:noBreakHyphen/>
            </w:r>
            <w:r w:rsidRPr="00C069E6">
              <w:t xml:space="preserve">16 </w:t>
            </w:r>
            <w:r>
              <w:t>target</w:t>
            </w:r>
            <w:r w:rsidRPr="00C069E6">
              <w:t xml:space="preserve"> due </w:t>
            </w:r>
            <w:r>
              <w:t xml:space="preserve">to </w:t>
            </w:r>
            <w:r w:rsidRPr="00C069E6">
              <w:t>additional work regarding development of National Public Private Partnerships Guidelines and Market</w:t>
            </w:r>
            <w:r>
              <w:noBreakHyphen/>
            </w:r>
            <w:r w:rsidRPr="00C069E6">
              <w:t>led proposal guidance, training/presentations provided by Partnerships Victoria, Gateway Unit and for State Budget processes.</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Gateway reviews undertaken to minimise Government</w:t>
            </w:r>
            <w:r>
              <w:rPr>
                <w:lang w:eastAsia="en-AU"/>
              </w:rPr>
              <w:t>’</w:t>
            </w:r>
            <w:r w:rsidRPr="00C069E6">
              <w:rPr>
                <w:lang w:eastAsia="en-AU"/>
              </w:rPr>
              <w:t>s exposure to project risks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65</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66</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2015</w:t>
            </w:r>
            <w:r>
              <w:noBreakHyphen/>
            </w:r>
            <w:r w:rsidRPr="00C069E6">
              <w:t xml:space="preserve">16 </w:t>
            </w:r>
            <w:r w:rsidRPr="00B22DB8">
              <w:t>expected outcome</w:t>
            </w:r>
            <w:r w:rsidRPr="00C069E6">
              <w:t xml:space="preserve"> is higher than the 2015</w:t>
            </w:r>
            <w:r>
              <w:noBreakHyphen/>
            </w:r>
            <w:r w:rsidRPr="00C069E6">
              <w:t xml:space="preserve">16 </w:t>
            </w:r>
            <w:r>
              <w:t>target</w:t>
            </w:r>
            <w:r w:rsidRPr="00C069E6">
              <w:t xml:space="preserve"> as a result of a higher number of project reviews driven by the State</w:t>
            </w:r>
            <w:r>
              <w:t>’</w:t>
            </w:r>
            <w:r w:rsidRPr="00C069E6">
              <w:t>s infrastructure program.</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Revenue from sale of surplus Government land including Crown land</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124</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124</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64</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higher 2016</w:t>
            </w:r>
            <w:r>
              <w:noBreakHyphen/>
            </w:r>
            <w:r w:rsidRPr="00C069E6">
              <w:t xml:space="preserve">17 </w:t>
            </w:r>
            <w:r>
              <w:t>target</w:t>
            </w:r>
            <w:r w:rsidRPr="00C069E6">
              <w:t xml:space="preserve"> is based on an expected higher volume of sales.</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Coordinate and produce presentations for the annual review meetings with credit rating agencies</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2</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Provision of budget sector debt, public authority income and superannuation estimates and analysis and commentary on the PNFC and PFC sectors for whole of government published financial reports</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Quality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Maintain ISO 9001 (Quality Management Systems) Certification</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913376">
            <w:pPr>
              <w:pStyle w:val="OGNotes"/>
            </w:pPr>
            <w:r w:rsidRPr="00C069E6">
              <w:t>This performance measure consolidates two 2015</w:t>
            </w:r>
            <w:r>
              <w:noBreakHyphen/>
              <w:t>16 performance measures both</w:t>
            </w:r>
            <w:r w:rsidRPr="00C069E6">
              <w:t xml:space="preserve"> named </w:t>
            </w:r>
            <w:r>
              <w:t>‘</w:t>
            </w:r>
            <w:r w:rsidRPr="00C069E6">
              <w:t>Maintain ISO 9001 (Quality Management Systems) Certification</w:t>
            </w:r>
            <w:r>
              <w:t>’</w:t>
            </w:r>
            <w:r w:rsidRPr="00C069E6">
              <w:t xml:space="preserve"> from the former outputs </w:t>
            </w:r>
            <w:r>
              <w:t>‘</w:t>
            </w:r>
            <w:r w:rsidRPr="00C069E6">
              <w:t>GBE Performance Monitoring and Financial Risk Management</w:t>
            </w:r>
            <w:r>
              <w:t>’</w:t>
            </w:r>
            <w:r w:rsidRPr="00C069E6">
              <w:t xml:space="preserve"> and </w:t>
            </w:r>
            <w:r>
              <w:t>‘</w:t>
            </w:r>
            <w:r w:rsidRPr="00C069E6">
              <w:t>Land and Infrastructure Investment Management</w:t>
            </w:r>
            <w:r>
              <w:t>’</w:t>
            </w:r>
            <w:r w:rsidRPr="00C069E6">
              <w:t>.</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Registered housing agencies that are annually reviewed</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information in this timeliness measure implies the same information as a quantity measure.</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Timeliness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913376">
            <w:pPr>
              <w:pStyle w:val="OGTabText"/>
              <w:rPr>
                <w:lang w:eastAsia="en-AU"/>
              </w:rPr>
            </w:pPr>
            <w:r w:rsidRPr="00C069E6">
              <w:rPr>
                <w:lang w:eastAsia="en-AU"/>
              </w:rPr>
              <w:t>Advice provided to government on board appointments at least three</w:t>
            </w:r>
            <w:r>
              <w:rPr>
                <w:lang w:eastAsia="en-AU"/>
              </w:rPr>
              <w:t> </w:t>
            </w:r>
            <w:r w:rsidRPr="00C069E6">
              <w:rPr>
                <w:lang w:eastAsia="en-AU"/>
              </w:rPr>
              <w:t>months prior to an upcoming</w:t>
            </w:r>
            <w:r>
              <w:rPr>
                <w:lang w:eastAsia="en-AU"/>
              </w:rPr>
              <w:t> </w:t>
            </w:r>
            <w:r w:rsidRPr="00C069E6">
              <w:rPr>
                <w:lang w:eastAsia="en-AU"/>
              </w:rPr>
              <w:t>vacancy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information in this timeliness measure implies the same information as a quantity measure.</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Analysis and review of corporate plans within two months of receipt</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93</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90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nm</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information in this timeliness measure implies the same information as a quantity measure.</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Dividend payments made within agreed timeframes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information in this timeliness measure implies the same information as a quantity measure.</w:t>
            </w:r>
          </w:p>
        </w:tc>
      </w:tr>
      <w:tr w:rsidR="00E25CC6" w:rsidRPr="00C069E6" w:rsidTr="00C069E6">
        <w:trPr>
          <w:cantSplit/>
        </w:trPr>
        <w:tc>
          <w:tcPr>
            <w:tcW w:w="3146" w:type="dxa"/>
            <w:tcBorders>
              <w:top w:val="nil"/>
              <w:left w:val="nil"/>
              <w:bottom w:val="nil"/>
              <w:right w:val="nil"/>
            </w:tcBorders>
          </w:tcPr>
          <w:p w:rsidR="00E25CC6" w:rsidRPr="00C069E6" w:rsidRDefault="00E25CC6" w:rsidP="00717340">
            <w:pPr>
              <w:keepNext/>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Cost</w:t>
            </w:r>
          </w:p>
        </w:tc>
        <w:tc>
          <w:tcPr>
            <w:tcW w:w="907" w:type="dxa"/>
            <w:tcBorders>
              <w:top w:val="nil"/>
              <w:left w:val="nil"/>
              <w:bottom w:val="nil"/>
              <w:right w:val="nil"/>
            </w:tcBorders>
          </w:tcPr>
          <w:p w:rsidR="00E25CC6" w:rsidRPr="00C069E6" w:rsidRDefault="00E25CC6" w:rsidP="00717340">
            <w:pPr>
              <w:keepNext/>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p>
        </w:tc>
      </w:tr>
      <w:tr w:rsidR="00E25CC6" w:rsidRPr="00C069E6" w:rsidTr="009A66FD">
        <w:trPr>
          <w:cantSplit/>
        </w:trPr>
        <w:tc>
          <w:tcPr>
            <w:tcW w:w="3146" w:type="dxa"/>
            <w:tcBorders>
              <w:top w:val="nil"/>
              <w:left w:val="nil"/>
              <w:right w:val="nil"/>
            </w:tcBorders>
          </w:tcPr>
          <w:p w:rsidR="00E25CC6" w:rsidRPr="00C069E6" w:rsidRDefault="00E25CC6" w:rsidP="00717340">
            <w:pPr>
              <w:pStyle w:val="OGTabText"/>
              <w:keepNext/>
              <w:rPr>
                <w:lang w:eastAsia="en-AU"/>
              </w:rPr>
            </w:pPr>
            <w:r w:rsidRPr="00C069E6">
              <w:rPr>
                <w:lang w:eastAsia="en-AU"/>
              </w:rPr>
              <w:t>Total output cost</w:t>
            </w:r>
          </w:p>
        </w:tc>
        <w:tc>
          <w:tcPr>
            <w:tcW w:w="907" w:type="dxa"/>
            <w:tcBorders>
              <w:top w:val="nil"/>
              <w:left w:val="nil"/>
              <w:right w:val="nil"/>
            </w:tcBorders>
          </w:tcPr>
          <w:p w:rsidR="00E25CC6" w:rsidRPr="00C069E6" w:rsidRDefault="00E25CC6" w:rsidP="00717340">
            <w:pPr>
              <w:keepNext/>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48.2</w:t>
            </w:r>
          </w:p>
        </w:tc>
        <w:tc>
          <w:tcPr>
            <w:tcW w:w="992" w:type="dxa"/>
            <w:tcBorders>
              <w:top w:val="nil"/>
              <w:left w:val="nil"/>
              <w:right w:val="nil"/>
            </w:tcBorders>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57.6</w:t>
            </w:r>
          </w:p>
        </w:tc>
        <w:tc>
          <w:tcPr>
            <w:tcW w:w="907" w:type="dxa"/>
            <w:tcBorders>
              <w:top w:val="nil"/>
              <w:left w:val="nil"/>
              <w:right w:val="nil"/>
            </w:tcBorders>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42.7</w:t>
            </w:r>
          </w:p>
        </w:tc>
        <w:tc>
          <w:tcPr>
            <w:tcW w:w="908" w:type="dxa"/>
            <w:tcBorders>
              <w:top w:val="nil"/>
              <w:left w:val="nil"/>
              <w:right w:val="nil"/>
            </w:tcBorders>
          </w:tcPr>
          <w:p w:rsidR="00E25CC6" w:rsidRPr="00C069E6" w:rsidRDefault="00E25CC6" w:rsidP="00717340">
            <w:pPr>
              <w:keepNext/>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54.2</w:t>
            </w:r>
          </w:p>
        </w:tc>
      </w:tr>
      <w:tr w:rsidR="00E25CC6" w:rsidRPr="00C069E6" w:rsidTr="009A66FD">
        <w:trPr>
          <w:cantSplit/>
        </w:trPr>
        <w:tc>
          <w:tcPr>
            <w:tcW w:w="7767" w:type="dxa"/>
            <w:gridSpan w:val="6"/>
            <w:tcBorders>
              <w:top w:val="nil"/>
              <w:left w:val="nil"/>
              <w:bottom w:val="single" w:sz="12" w:space="0" w:color="auto"/>
              <w:right w:val="nil"/>
            </w:tcBorders>
          </w:tcPr>
          <w:p w:rsidR="00E25CC6" w:rsidRPr="00C069E6" w:rsidRDefault="00E25CC6" w:rsidP="00913376">
            <w:pPr>
              <w:pStyle w:val="OGNotes"/>
            </w:pPr>
            <w:r w:rsidRPr="00C069E6">
              <w:t>Total output</w:t>
            </w:r>
            <w:r>
              <w:t xml:space="preserve"> costs for the ‘Commercial and I</w:t>
            </w:r>
            <w:r w:rsidRPr="00C069E6">
              <w:t xml:space="preserve">nfrastructure </w:t>
            </w:r>
            <w:r>
              <w:t>A</w:t>
            </w:r>
            <w:r w:rsidRPr="00C069E6">
              <w:t>dvice</w:t>
            </w:r>
            <w:r>
              <w:t>’</w:t>
            </w:r>
            <w:r w:rsidRPr="00C069E6">
              <w:t xml:space="preserve"> output reflect the amalgamation of the former outputs </w:t>
            </w:r>
            <w:r>
              <w:t>‘</w:t>
            </w:r>
            <w:r w:rsidRPr="00C069E6">
              <w:t>GBE Performance Monitoring and Financial Risk Management</w:t>
            </w:r>
            <w:r>
              <w:t>’</w:t>
            </w:r>
            <w:r w:rsidRPr="00C069E6">
              <w:t xml:space="preserve"> and </w:t>
            </w:r>
            <w:r>
              <w:t>‘</w:t>
            </w:r>
            <w:r w:rsidRPr="00C069E6">
              <w:t>Land and Infrastructure Investment Management</w:t>
            </w:r>
            <w:r>
              <w:t>’</w:t>
            </w:r>
            <w:r w:rsidRPr="00C069E6">
              <w:t>. The 2015</w:t>
            </w:r>
            <w:r>
              <w:noBreakHyphen/>
            </w:r>
            <w:r w:rsidRPr="00C069E6">
              <w:t xml:space="preserve">16 </w:t>
            </w:r>
            <w:r w:rsidRPr="00B22DB8">
              <w:t>expected outcome</w:t>
            </w:r>
            <w:r w:rsidRPr="00C069E6">
              <w:t xml:space="preserve"> is higher than the 2015</w:t>
            </w:r>
            <w:r>
              <w:noBreakHyphen/>
            </w:r>
            <w:r w:rsidRPr="00C069E6">
              <w:t xml:space="preserve">16 </w:t>
            </w:r>
            <w:r>
              <w:t>target</w:t>
            </w:r>
            <w:r w:rsidRPr="00C069E6">
              <w:t xml:space="preserve"> due to appropriation carried over from 2014</w:t>
            </w:r>
            <w:r>
              <w:noBreakHyphen/>
            </w:r>
            <w:r w:rsidRPr="00C069E6">
              <w:t>15 to 2015</w:t>
            </w:r>
            <w:r>
              <w:noBreakHyphen/>
            </w:r>
            <w:r w:rsidRPr="00C069E6">
              <w:t>16 and additional funding for the Western Distributor proposal and lease of the Port of Melbourne. The higher 2016</w:t>
            </w:r>
            <w:r>
              <w:noBreakHyphen/>
            </w:r>
            <w:r w:rsidRPr="009E0359">
              <w:t>17 target includes additional funding for the completion of the Port of Melbourne lease transaction and to build capability.</w:t>
            </w:r>
          </w:p>
        </w:tc>
      </w:tr>
    </w:tbl>
    <w:p w:rsidR="00E25CC6" w:rsidRDefault="00E25CC6" w:rsidP="0027262F">
      <w:pPr>
        <w:pStyle w:val="Source"/>
        <w:rPr>
          <w:lang w:eastAsia="en-AU"/>
        </w:rPr>
      </w:pPr>
      <w:r>
        <w:rPr>
          <w:lang w:eastAsia="en-AU"/>
        </w:rPr>
        <w:t>Source: Department of Treasury and Finance</w:t>
      </w:r>
      <w:bookmarkEnd w:id="104"/>
      <w:r>
        <w:rPr>
          <w:lang w:eastAsia="en-AU"/>
        </w:rPr>
        <w:t xml:space="preserve"> </w:t>
      </w:r>
      <w:r>
        <w:rPr>
          <w:lang w:eastAsia="en-AU"/>
        </w:rPr>
        <w:fldChar w:fldCharType="begin"/>
      </w:r>
      <w:r>
        <w:instrText xml:space="preserve"> XE "</w:instrText>
      </w:r>
      <w:r w:rsidRPr="0045006C">
        <w:instrText>Department of Treasury and Finance:Drive improvements in public sector commercial and asset management and the delivery of infrastructure</w:instrText>
      </w:r>
      <w:r>
        <w:instrText xml:space="preserve">" \r "DTF_DriveImprove" </w:instrText>
      </w:r>
      <w:r>
        <w:rPr>
          <w:lang w:eastAsia="en-AU"/>
        </w:rPr>
        <w:fldChar w:fldCharType="end"/>
      </w:r>
      <w:r>
        <w:rPr>
          <w:lang w:eastAsia="en-AU"/>
        </w:rPr>
        <w:t xml:space="preserve"> </w:t>
      </w:r>
      <w:r>
        <w:rPr>
          <w:lang w:eastAsia="en-AU"/>
        </w:rPr>
        <w:fldChar w:fldCharType="begin"/>
      </w:r>
      <w:r>
        <w:instrText xml:space="preserve"> XE "</w:instrText>
      </w:r>
      <w:r w:rsidRPr="00C17834">
        <w:instrText>Infrastructure</w:instrText>
      </w:r>
      <w:r>
        <w:instrText xml:space="preserve">" \r "DTF_DriveImprove" </w:instrText>
      </w:r>
      <w:r>
        <w:rPr>
          <w:lang w:eastAsia="en-AU"/>
        </w:rPr>
        <w:fldChar w:fldCharType="end"/>
      </w:r>
    </w:p>
    <w:p w:rsidR="00E25CC6" w:rsidRDefault="00E25CC6">
      <w:pPr>
        <w:spacing w:after="0"/>
        <w:rPr>
          <w:rFonts w:ascii="Calibri" w:eastAsiaTheme="minorHAnsi" w:hAnsi="Calibri"/>
          <w:b/>
          <w:sz w:val="32"/>
          <w:szCs w:val="28"/>
        </w:rPr>
      </w:pPr>
      <w:r>
        <w:rPr>
          <w:rFonts w:eastAsiaTheme="minorHAnsi"/>
        </w:rPr>
        <w:br w:type="page"/>
      </w:r>
    </w:p>
    <w:p w:rsidR="00E25CC6" w:rsidRPr="00D14D27" w:rsidRDefault="00E25CC6" w:rsidP="009A66FD">
      <w:pPr>
        <w:pStyle w:val="OGHeading1"/>
        <w:rPr>
          <w:rFonts w:eastAsiaTheme="minorHAnsi"/>
        </w:rPr>
      </w:pPr>
      <w:r w:rsidRPr="00D14D27">
        <w:rPr>
          <w:rFonts w:eastAsiaTheme="minorHAnsi"/>
        </w:rPr>
        <w:t>Deliver efficient whole of government common services to the Victorian public sector</w:t>
      </w:r>
    </w:p>
    <w:p w:rsidR="00E25CC6" w:rsidRPr="009A66FD" w:rsidRDefault="00E25CC6" w:rsidP="009A66FD">
      <w:pPr>
        <w:pStyle w:val="OGText"/>
        <w:rPr>
          <w:rFonts w:eastAsiaTheme="minorHAnsi"/>
        </w:rPr>
      </w:pPr>
      <w:bookmarkStart w:id="105" w:name="DTF_DeliverEfficientWOG"/>
      <w:r w:rsidRPr="00D14D27">
        <w:rPr>
          <w:rFonts w:eastAsiaTheme="minorHAnsi"/>
        </w:rPr>
        <w:t>The Department of Treasury and Finance assists Government agencies in providing a more integrated approach to the management of common services.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C069E6" w:rsidTr="00E33FE7">
        <w:trPr>
          <w:cantSplit/>
          <w:tblHeader/>
        </w:trPr>
        <w:tc>
          <w:tcPr>
            <w:tcW w:w="3146"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b/>
                <w:bCs/>
                <w:color w:val="FFFFFF"/>
                <w:sz w:val="19"/>
                <w:szCs w:val="22"/>
                <w:lang w:eastAsia="en-AU"/>
              </w:rPr>
              <w:t>Major outputs/deliverables</w:t>
            </w:r>
          </w:p>
          <w:p w:rsidR="00E25CC6" w:rsidRPr="00C069E6" w:rsidRDefault="00E25CC6" w:rsidP="00E33FE7">
            <w:pPr>
              <w:autoSpaceDE w:val="0"/>
              <w:autoSpaceDN w:val="0"/>
              <w:adjustRightInd w:val="0"/>
              <w:spacing w:after="0"/>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center"/>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C069E6" w:rsidRDefault="00E25CC6" w:rsidP="00E33FE7">
            <w:pPr>
              <w:autoSpaceDE w:val="0"/>
              <w:autoSpaceDN w:val="0"/>
              <w:adjustRightInd w:val="0"/>
              <w:spacing w:after="0"/>
              <w:jc w:val="right"/>
              <w:rPr>
                <w:rFonts w:ascii="Calibri" w:hAnsi="Calibri" w:cs="Calibri"/>
                <w:i/>
                <w:iCs/>
                <w:color w:val="FFFFFF"/>
                <w:sz w:val="19"/>
                <w:szCs w:val="22"/>
                <w:lang w:eastAsia="en-AU"/>
              </w:rPr>
            </w:pPr>
            <w:r w:rsidRPr="00C069E6">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C069E6">
              <w:rPr>
                <w:rFonts w:ascii="Calibri" w:hAnsi="Calibri" w:cs="Calibri"/>
                <w:i/>
                <w:iCs/>
                <w:color w:val="FFFFFF"/>
                <w:sz w:val="19"/>
                <w:szCs w:val="22"/>
                <w:lang w:eastAsia="en-AU"/>
              </w:rPr>
              <w:t>15 actual</w:t>
            </w:r>
          </w:p>
        </w:tc>
      </w:tr>
      <w:tr w:rsidR="00E25CC6" w:rsidRPr="00C069E6" w:rsidTr="00C069E6">
        <w:trPr>
          <w:cantSplit/>
        </w:trPr>
        <w:tc>
          <w:tcPr>
            <w:tcW w:w="7767" w:type="dxa"/>
            <w:gridSpan w:val="6"/>
            <w:tcBorders>
              <w:top w:val="single" w:sz="6" w:space="0" w:color="auto"/>
              <w:left w:val="nil"/>
              <w:bottom w:val="nil"/>
              <w:right w:val="nil"/>
            </w:tcBorders>
          </w:tcPr>
          <w:p w:rsidR="00E25CC6" w:rsidRPr="00C069E6" w:rsidRDefault="00E25CC6" w:rsidP="00C069E6">
            <w:pPr>
              <w:pStyle w:val="OGHeading2"/>
              <w:rPr>
                <w:lang w:eastAsia="en-AU"/>
              </w:rPr>
            </w:pPr>
            <w:r w:rsidRPr="00C069E6">
              <w:rPr>
                <w:lang w:eastAsia="en-AU"/>
              </w:rPr>
              <w:t>Services to Government</w:t>
            </w:r>
          </w:p>
        </w:tc>
      </w:tr>
      <w:tr w:rsidR="00E25CC6" w:rsidRPr="00C069E6" w:rsidTr="00C069E6">
        <w:trPr>
          <w:cantSplit/>
        </w:trPr>
        <w:tc>
          <w:tcPr>
            <w:tcW w:w="7767" w:type="dxa"/>
            <w:gridSpan w:val="6"/>
            <w:tcBorders>
              <w:top w:val="nil"/>
              <w:left w:val="nil"/>
              <w:bottom w:val="single" w:sz="6" w:space="0" w:color="auto"/>
              <w:right w:val="nil"/>
            </w:tcBorders>
          </w:tcPr>
          <w:p w:rsidR="00E25CC6" w:rsidRDefault="00E25CC6" w:rsidP="00C069E6">
            <w:pPr>
              <w:pStyle w:val="OGText"/>
              <w:rPr>
                <w:lang w:eastAsia="en-AU"/>
              </w:rPr>
            </w:pPr>
            <w:r w:rsidRPr="00C069E6">
              <w:rPr>
                <w:lang w:eastAsia="en-AU"/>
              </w:rPr>
              <w:t>This output delivers whole of government services, policies and initiatives in areas including procurement, fleet and accommodation.</w:t>
            </w:r>
            <w:r>
              <w:rPr>
                <w:lang w:eastAsia="en-AU"/>
              </w:rPr>
              <w:t xml:space="preserve"> </w:t>
            </w:r>
          </w:p>
          <w:p w:rsidR="00E25CC6" w:rsidRDefault="00E25CC6" w:rsidP="00C069E6">
            <w:pPr>
              <w:pStyle w:val="OGText"/>
              <w:rPr>
                <w:lang w:eastAsia="en-AU"/>
              </w:rPr>
            </w:pPr>
            <w:r w:rsidRPr="00C069E6">
              <w:rPr>
                <w:lang w:eastAsia="en-AU"/>
              </w:rPr>
              <w:t>The output contributes to the Department</w:t>
            </w:r>
            <w:r>
              <w:rPr>
                <w:lang w:eastAsia="en-AU"/>
              </w:rPr>
              <w:t>’</w:t>
            </w:r>
            <w:r w:rsidRPr="00C069E6">
              <w:rPr>
                <w:lang w:eastAsia="en-AU"/>
              </w:rPr>
              <w:t xml:space="preserve">s objective of delivering efficient whole of government common services to the Victorian public sector by: </w:t>
            </w:r>
          </w:p>
          <w:p w:rsidR="00E25CC6" w:rsidRDefault="00E25CC6" w:rsidP="00C069E6">
            <w:pPr>
              <w:pStyle w:val="OGBullet"/>
              <w:rPr>
                <w:lang w:eastAsia="en-AU"/>
              </w:rPr>
            </w:pPr>
            <w:r w:rsidRPr="00C069E6">
              <w:rPr>
                <w:lang w:eastAsia="en-AU"/>
              </w:rPr>
              <w:t xml:space="preserve">developing and maintaining a framework of whole of government policies, standards and guidelines which promote the efficient and effective use of common services including procurement, fleet and accommodation; </w:t>
            </w:r>
          </w:p>
          <w:p w:rsidR="00E25CC6" w:rsidRDefault="00E25CC6" w:rsidP="00C069E6">
            <w:pPr>
              <w:pStyle w:val="OGBullet"/>
              <w:rPr>
                <w:lang w:eastAsia="en-AU"/>
              </w:rPr>
            </w:pPr>
            <w:r w:rsidRPr="00C069E6">
              <w:rPr>
                <w:lang w:eastAsia="en-AU"/>
              </w:rPr>
              <w:t xml:space="preserve">implementing a program of whole of government procurement and contract management to ensure optimum benefit to government; </w:t>
            </w:r>
          </w:p>
          <w:p w:rsidR="00E25CC6" w:rsidRDefault="00E25CC6" w:rsidP="00C069E6">
            <w:pPr>
              <w:pStyle w:val="OGBullet"/>
              <w:rPr>
                <w:lang w:eastAsia="en-AU"/>
              </w:rPr>
            </w:pPr>
            <w:r w:rsidRPr="00C069E6">
              <w:rPr>
                <w:lang w:eastAsia="en-AU"/>
              </w:rPr>
              <w:t xml:space="preserve">supporting the operations of the Victorian Government Purchasing Board, facilitating the approval of major government procurements and developing procurement capability across government; and </w:t>
            </w:r>
          </w:p>
          <w:p w:rsidR="00E25CC6" w:rsidRPr="00C069E6" w:rsidRDefault="00E25CC6" w:rsidP="00C069E6">
            <w:pPr>
              <w:pStyle w:val="OGBullet"/>
              <w:rPr>
                <w:lang w:eastAsia="en-AU"/>
              </w:rPr>
            </w:pPr>
            <w:r w:rsidRPr="00C069E6">
              <w:rPr>
                <w:lang w:eastAsia="en-AU"/>
              </w:rPr>
              <w:t>providing whole of government fleet and accommodation.</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Quantity</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Total accommodation cost</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per square metre per year</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395</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378</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405</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384</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25AB4">
            <w:pPr>
              <w:pStyle w:val="OGNotes"/>
            </w:pPr>
            <w:r w:rsidRPr="00C069E6">
              <w:t>The 2014</w:t>
            </w:r>
            <w:r>
              <w:noBreakHyphen/>
            </w:r>
            <w:r w:rsidRPr="00C069E6">
              <w:t xml:space="preserve">15 actual is different to and corrects an error published in the Department of Treasury and Finance </w:t>
            </w:r>
            <w:r w:rsidRPr="00913376">
              <w:rPr>
                <w:i w:val="0"/>
              </w:rPr>
              <w:t>2014</w:t>
            </w:r>
            <w:r w:rsidRPr="00913376">
              <w:rPr>
                <w:i w:val="0"/>
              </w:rPr>
              <w:noBreakHyphen/>
              <w:t>15</w:t>
            </w:r>
            <w:r>
              <w:rPr>
                <w:i w:val="0"/>
              </w:rPr>
              <w:t> </w:t>
            </w:r>
            <w:r w:rsidRPr="00913376">
              <w:rPr>
                <w:i w:val="0"/>
              </w:rPr>
              <w:t>Annual Report</w:t>
            </w:r>
            <w:r w:rsidRPr="00C069E6">
              <w:t>. This reduces the previously reported 2014</w:t>
            </w:r>
            <w:r>
              <w:noBreakHyphen/>
            </w:r>
            <w:r w:rsidRPr="00C069E6">
              <w:t>15 actual outcome from $410 per square metre per year to $384 per square metre per year. The 2015</w:t>
            </w:r>
            <w:r>
              <w:noBreakHyphen/>
            </w:r>
            <w:r w:rsidRPr="00C069E6">
              <w:t xml:space="preserve">16 </w:t>
            </w:r>
            <w:r w:rsidRPr="00B22DB8">
              <w:t>expected outcome</w:t>
            </w:r>
            <w:r w:rsidRPr="00C069E6">
              <w:t xml:space="preserve"> is lower than the 2015</w:t>
            </w:r>
            <w:r>
              <w:noBreakHyphen/>
            </w:r>
            <w:r w:rsidRPr="00C069E6">
              <w:t xml:space="preserve">16 </w:t>
            </w:r>
            <w:r>
              <w:t>target</w:t>
            </w:r>
            <w:r w:rsidRPr="00C069E6">
              <w:t xml:space="preserve"> as a number of sites in the Shared Services Provider managed portfolio have been removed through lease expiries, consolidation into existing space and a reduced need. This combined with an overall consolidation o</w:t>
            </w:r>
            <w:r>
              <w:t>f the portfolio as a result of m</w:t>
            </w:r>
            <w:r w:rsidRPr="00C069E6">
              <w:t>achinery of</w:t>
            </w:r>
            <w:r>
              <w:t xml:space="preserve"> g</w:t>
            </w:r>
            <w:r w:rsidRPr="00C069E6">
              <w:t>overnment changes, and a low vacancy rate, have resulted in a decreased total accommodation cost from the original target. The lower 2016</w:t>
            </w:r>
            <w:r>
              <w:noBreakHyphen/>
            </w:r>
            <w:r w:rsidRPr="00C069E6">
              <w:t xml:space="preserve">17 </w:t>
            </w:r>
            <w:r>
              <w:t>target</w:t>
            </w:r>
            <w:r w:rsidRPr="00C069E6">
              <w:t xml:space="preserve"> reflects recent results that final numbers are trending lower. The target has been reduced to more closely align it with actual results.</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Workspace ratio</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square metre per FTE</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14.4</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14.4</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15</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14.4</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lower 2016</w:t>
            </w:r>
            <w:r>
              <w:noBreakHyphen/>
            </w:r>
            <w:r w:rsidRPr="00C069E6">
              <w:t xml:space="preserve">17 </w:t>
            </w:r>
            <w:r>
              <w:t>target</w:t>
            </w:r>
            <w:r w:rsidRPr="00C069E6">
              <w:t xml:space="preserve"> reflects recent results that final numbers are trending lower. The target has been reduced to more closely align it with actual results.</w:t>
            </w:r>
          </w:p>
        </w:tc>
      </w:tr>
      <w:tr w:rsidR="00E25CC6" w:rsidRPr="00C069E6" w:rsidTr="00C069E6">
        <w:trPr>
          <w:cantSplit/>
        </w:trPr>
        <w:tc>
          <w:tcPr>
            <w:tcW w:w="3146" w:type="dxa"/>
            <w:tcBorders>
              <w:top w:val="nil"/>
              <w:left w:val="nil"/>
              <w:bottom w:val="nil"/>
              <w:right w:val="nil"/>
            </w:tcBorders>
          </w:tcPr>
          <w:p w:rsidR="00E25CC6" w:rsidRPr="00C069E6" w:rsidRDefault="00E25CC6" w:rsidP="0027262F">
            <w:pPr>
              <w:keepNext/>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Quality</w:t>
            </w:r>
          </w:p>
        </w:tc>
        <w:tc>
          <w:tcPr>
            <w:tcW w:w="907" w:type="dxa"/>
            <w:tcBorders>
              <w:top w:val="nil"/>
              <w:left w:val="nil"/>
              <w:bottom w:val="nil"/>
              <w:right w:val="nil"/>
            </w:tcBorders>
          </w:tcPr>
          <w:p w:rsidR="00E25CC6" w:rsidRPr="00C069E6" w:rsidRDefault="00E25CC6" w:rsidP="0027262F">
            <w:pPr>
              <w:keepNext/>
              <w:autoSpaceDE w:val="0"/>
              <w:autoSpaceDN w:val="0"/>
              <w:adjustRightInd w:val="0"/>
              <w:spacing w:after="0"/>
              <w:jc w:val="center"/>
              <w:rPr>
                <w:rFonts w:ascii="Calibri" w:hAnsi="Calibri" w:cs="Calibri"/>
                <w:color w:val="000000"/>
                <w:sz w:val="19"/>
                <w:szCs w:val="22"/>
                <w:lang w:eastAsia="en-AU"/>
              </w:rPr>
            </w:pPr>
          </w:p>
        </w:tc>
        <w:tc>
          <w:tcPr>
            <w:tcW w:w="907" w:type="dxa"/>
            <w:tcBorders>
              <w:top w:val="nil"/>
              <w:left w:val="nil"/>
              <w:right w:val="nil"/>
            </w:tcBorders>
            <w:shd w:val="clear" w:color="auto" w:fill="DCDCDC"/>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27262F">
            <w:pPr>
              <w:keepNext/>
              <w:autoSpaceDE w:val="0"/>
              <w:autoSpaceDN w:val="0"/>
              <w:adjustRightInd w:val="0"/>
              <w:spacing w:after="0"/>
              <w:jc w:val="right"/>
              <w:rPr>
                <w:rFonts w:ascii="Calibri" w:hAnsi="Calibri" w:cs="Calibri"/>
                <w:color w:val="000000"/>
                <w:sz w:val="19"/>
                <w:szCs w:val="22"/>
                <w:lang w:eastAsia="en-AU"/>
              </w:rPr>
            </w:pP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pStyle w:val="OGTabText"/>
              <w:rPr>
                <w:lang w:eastAsia="en-AU"/>
              </w:rPr>
            </w:pPr>
            <w:r w:rsidRPr="00C069E6">
              <w:rPr>
                <w:lang w:eastAsia="en-AU"/>
              </w:rPr>
              <w:t>Benefits delivered as a percentage of expenditure by mandated agencies under DTF managed state purchasing contracts, including reduced and avoided costs</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w:t>
            </w: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6.5</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w:t>
            </w: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6.6</w:t>
            </w:r>
          </w:p>
        </w:tc>
      </w:tr>
      <w:tr w:rsidR="00E25CC6" w:rsidRPr="00C069E6" w:rsidTr="00C069E6">
        <w:trPr>
          <w:cantSplit/>
        </w:trPr>
        <w:tc>
          <w:tcPr>
            <w:tcW w:w="7767" w:type="dxa"/>
            <w:gridSpan w:val="6"/>
            <w:tcBorders>
              <w:top w:val="nil"/>
              <w:left w:val="nil"/>
              <w:bottom w:val="single" w:sz="6" w:space="0" w:color="auto"/>
              <w:right w:val="nil"/>
            </w:tcBorders>
          </w:tcPr>
          <w:p w:rsidR="00E25CC6" w:rsidRPr="00C069E6" w:rsidRDefault="00E25CC6" w:rsidP="00C069E6">
            <w:pPr>
              <w:pStyle w:val="OGNotes"/>
            </w:pPr>
            <w:r w:rsidRPr="00C069E6">
              <w:t>The 2015</w:t>
            </w:r>
            <w:r>
              <w:noBreakHyphen/>
            </w:r>
            <w:r w:rsidRPr="00C069E6">
              <w:t xml:space="preserve">16 </w:t>
            </w:r>
            <w:r w:rsidRPr="00B22DB8">
              <w:t>expected outcome</w:t>
            </w:r>
            <w:r w:rsidRPr="00C069E6">
              <w:t xml:space="preserve"> is higher than the 2015</w:t>
            </w:r>
            <w:r>
              <w:noBreakHyphen/>
            </w:r>
            <w:r w:rsidRPr="00C069E6">
              <w:t xml:space="preserve">16 </w:t>
            </w:r>
            <w:r>
              <w:t>target</w:t>
            </w:r>
            <w:r w:rsidRPr="00C069E6">
              <w:t xml:space="preserve"> due to a focus on indirect goods and services that deliver higher yielding benefits to government departments and entities. The higher 2016</w:t>
            </w:r>
            <w:r>
              <w:noBreakHyphen/>
            </w:r>
            <w:r w:rsidRPr="00C069E6">
              <w:t xml:space="preserve">17 </w:t>
            </w:r>
            <w:r>
              <w:t>target</w:t>
            </w:r>
            <w:r w:rsidRPr="00C069E6">
              <w:t xml:space="preserve"> reflects the possibility of delivering benefits in excess of recent targets.</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Client agencies</w:t>
            </w:r>
            <w:r>
              <w:rPr>
                <w:lang w:eastAsia="en-AU"/>
              </w:rPr>
              <w:t>’</w:t>
            </w:r>
            <w:r w:rsidRPr="00C069E6">
              <w:rPr>
                <w:lang w:eastAsia="en-AU"/>
              </w:rPr>
              <w:t xml:space="preserve"> satisfaction with the service provided by the Shared Service Provider</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70</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70</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70.2</w:t>
            </w:r>
          </w:p>
        </w:tc>
      </w:tr>
      <w:tr w:rsidR="00E25CC6" w:rsidRPr="00C069E6" w:rsidTr="00C069E6">
        <w:trPr>
          <w:cantSplit/>
        </w:trPr>
        <w:tc>
          <w:tcPr>
            <w:tcW w:w="3146" w:type="dxa"/>
            <w:tcBorders>
              <w:top w:val="single" w:sz="6" w:space="0" w:color="auto"/>
              <w:left w:val="nil"/>
              <w:bottom w:val="single" w:sz="6" w:space="0" w:color="auto"/>
              <w:right w:val="nil"/>
            </w:tcBorders>
          </w:tcPr>
          <w:p w:rsidR="00E25CC6" w:rsidRPr="00C069E6" w:rsidRDefault="00E25CC6" w:rsidP="00C069E6">
            <w:pPr>
              <w:pStyle w:val="OGTabText"/>
              <w:rPr>
                <w:lang w:eastAsia="en-AU"/>
              </w:rPr>
            </w:pPr>
            <w:r w:rsidRPr="00C069E6">
              <w:rPr>
                <w:lang w:eastAsia="en-AU"/>
              </w:rPr>
              <w:t>Maintain ISO 9001 (Quality Management Systems) Certification</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c>
          <w:tcPr>
            <w:tcW w:w="908" w:type="dxa"/>
            <w:tcBorders>
              <w:top w:val="single" w:sz="6" w:space="0" w:color="auto"/>
              <w:left w:val="nil"/>
              <w:bottom w:val="single" w:sz="6" w:space="0" w:color="auto"/>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100</w:t>
            </w:r>
          </w:p>
        </w:tc>
      </w:tr>
      <w:tr w:rsidR="00E25CC6" w:rsidRPr="00C069E6" w:rsidTr="00C069E6">
        <w:trPr>
          <w:cantSplit/>
        </w:trPr>
        <w:tc>
          <w:tcPr>
            <w:tcW w:w="3146" w:type="dxa"/>
            <w:tcBorders>
              <w:top w:val="nil"/>
              <w:left w:val="nil"/>
              <w:bottom w:val="nil"/>
              <w:right w:val="nil"/>
            </w:tcBorders>
          </w:tcPr>
          <w:p w:rsidR="00E25CC6" w:rsidRPr="00C069E6" w:rsidRDefault="00E25CC6" w:rsidP="00C069E6">
            <w:pPr>
              <w:autoSpaceDE w:val="0"/>
              <w:autoSpaceDN w:val="0"/>
              <w:adjustRightInd w:val="0"/>
              <w:spacing w:after="0"/>
              <w:ind w:left="227" w:hanging="227"/>
              <w:rPr>
                <w:rFonts w:ascii="Calibri" w:hAnsi="Calibri" w:cs="Calibri"/>
                <w:i/>
                <w:iCs/>
                <w:color w:val="000000"/>
                <w:sz w:val="19"/>
                <w:szCs w:val="22"/>
                <w:lang w:eastAsia="en-AU"/>
              </w:rPr>
            </w:pPr>
            <w:r w:rsidRPr="00C069E6">
              <w:rPr>
                <w:rFonts w:ascii="Calibri" w:hAnsi="Calibri" w:cs="Calibri"/>
                <w:i/>
                <w:iCs/>
                <w:color w:val="000000"/>
                <w:sz w:val="19"/>
                <w:szCs w:val="22"/>
                <w:lang w:eastAsia="en-AU"/>
              </w:rPr>
              <w:t>Cost</w:t>
            </w: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92"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7"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c>
          <w:tcPr>
            <w:tcW w:w="908" w:type="dxa"/>
            <w:tcBorders>
              <w:top w:val="nil"/>
              <w:left w:val="nil"/>
              <w:bottom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p>
        </w:tc>
      </w:tr>
      <w:tr w:rsidR="00E25CC6" w:rsidRPr="00C069E6" w:rsidTr="009A66FD">
        <w:trPr>
          <w:cantSplit/>
        </w:trPr>
        <w:tc>
          <w:tcPr>
            <w:tcW w:w="3146" w:type="dxa"/>
            <w:tcBorders>
              <w:top w:val="nil"/>
              <w:left w:val="nil"/>
              <w:right w:val="nil"/>
            </w:tcBorders>
          </w:tcPr>
          <w:p w:rsidR="00E25CC6" w:rsidRPr="00C069E6" w:rsidRDefault="00E25CC6" w:rsidP="00C069E6">
            <w:pPr>
              <w:pStyle w:val="OGTabText"/>
              <w:rPr>
                <w:lang w:eastAsia="en-AU"/>
              </w:rPr>
            </w:pPr>
            <w:r w:rsidRPr="00C069E6">
              <w:rPr>
                <w:lang w:eastAsia="en-AU"/>
              </w:rPr>
              <w:t>Total output cost</w:t>
            </w:r>
          </w:p>
        </w:tc>
        <w:tc>
          <w:tcPr>
            <w:tcW w:w="907" w:type="dxa"/>
            <w:tcBorders>
              <w:top w:val="nil"/>
              <w:left w:val="nil"/>
              <w:right w:val="nil"/>
            </w:tcBorders>
          </w:tcPr>
          <w:p w:rsidR="00E25CC6" w:rsidRPr="00C069E6" w:rsidRDefault="00E25CC6" w:rsidP="00C069E6">
            <w:pPr>
              <w:autoSpaceDE w:val="0"/>
              <w:autoSpaceDN w:val="0"/>
              <w:adjustRightInd w:val="0"/>
              <w:spacing w:after="0"/>
              <w:jc w:val="center"/>
              <w:rPr>
                <w:rFonts w:ascii="Calibri" w:hAnsi="Calibri" w:cs="Calibri"/>
                <w:color w:val="000000"/>
                <w:sz w:val="19"/>
                <w:szCs w:val="22"/>
                <w:lang w:eastAsia="en-AU"/>
              </w:rPr>
            </w:pPr>
            <w:r w:rsidRPr="00C069E6">
              <w:rPr>
                <w:rFonts w:ascii="Calibri" w:hAnsi="Calibri" w:cs="Calibri"/>
                <w:color w:val="000000"/>
                <w:sz w:val="19"/>
                <w:szCs w:val="22"/>
                <w:lang w:eastAsia="en-AU"/>
              </w:rPr>
              <w:t>$ million</w:t>
            </w:r>
          </w:p>
        </w:tc>
        <w:tc>
          <w:tcPr>
            <w:tcW w:w="907" w:type="dxa"/>
            <w:tcBorders>
              <w:top w:val="nil"/>
              <w:left w:val="nil"/>
              <w:right w:val="nil"/>
            </w:tcBorders>
            <w:shd w:val="clear" w:color="auto" w:fill="DCDCDC"/>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43.8</w:t>
            </w:r>
          </w:p>
        </w:tc>
        <w:tc>
          <w:tcPr>
            <w:tcW w:w="992" w:type="dxa"/>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41.5</w:t>
            </w:r>
          </w:p>
        </w:tc>
        <w:tc>
          <w:tcPr>
            <w:tcW w:w="907" w:type="dxa"/>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44.7</w:t>
            </w:r>
          </w:p>
        </w:tc>
        <w:tc>
          <w:tcPr>
            <w:tcW w:w="908" w:type="dxa"/>
            <w:tcBorders>
              <w:top w:val="nil"/>
              <w:left w:val="nil"/>
              <w:right w:val="nil"/>
            </w:tcBorders>
          </w:tcPr>
          <w:p w:rsidR="00E25CC6" w:rsidRPr="00C069E6" w:rsidRDefault="00E25CC6" w:rsidP="00C069E6">
            <w:pPr>
              <w:autoSpaceDE w:val="0"/>
              <w:autoSpaceDN w:val="0"/>
              <w:adjustRightInd w:val="0"/>
              <w:spacing w:after="0"/>
              <w:jc w:val="right"/>
              <w:rPr>
                <w:rFonts w:ascii="Calibri" w:hAnsi="Calibri" w:cs="Calibri"/>
                <w:color w:val="000000"/>
                <w:sz w:val="19"/>
                <w:szCs w:val="22"/>
                <w:lang w:eastAsia="en-AU"/>
              </w:rPr>
            </w:pPr>
            <w:r w:rsidRPr="00C069E6">
              <w:rPr>
                <w:rFonts w:ascii="Calibri" w:hAnsi="Calibri" w:cs="Calibri"/>
                <w:color w:val="000000"/>
                <w:sz w:val="19"/>
                <w:szCs w:val="22"/>
                <w:lang w:eastAsia="en-AU"/>
              </w:rPr>
              <w:t>52.0</w:t>
            </w:r>
          </w:p>
        </w:tc>
      </w:tr>
      <w:tr w:rsidR="00E25CC6" w:rsidRPr="00C069E6" w:rsidTr="00C069E6">
        <w:trPr>
          <w:cantSplit/>
        </w:trPr>
        <w:tc>
          <w:tcPr>
            <w:tcW w:w="7767" w:type="dxa"/>
            <w:gridSpan w:val="6"/>
            <w:tcBorders>
              <w:top w:val="nil"/>
              <w:left w:val="nil"/>
              <w:bottom w:val="single" w:sz="12" w:space="0" w:color="auto"/>
              <w:right w:val="nil"/>
            </w:tcBorders>
          </w:tcPr>
          <w:p w:rsidR="00E25CC6" w:rsidRPr="00C069E6" w:rsidRDefault="00E25CC6" w:rsidP="00C069E6">
            <w:pPr>
              <w:pStyle w:val="OGNotes"/>
            </w:pPr>
            <w:r w:rsidRPr="00C069E6">
              <w:t>The 2015</w:t>
            </w:r>
            <w:r>
              <w:noBreakHyphen/>
            </w:r>
            <w:r w:rsidRPr="00C069E6">
              <w:t xml:space="preserve">16 </w:t>
            </w:r>
            <w:r w:rsidRPr="00B22DB8">
              <w:t>expected outcome</w:t>
            </w:r>
            <w:r w:rsidRPr="00C069E6">
              <w:t xml:space="preserve"> is lower than the 2015</w:t>
            </w:r>
            <w:r>
              <w:noBreakHyphen/>
            </w:r>
            <w:r w:rsidRPr="00C069E6">
              <w:t xml:space="preserve">16 </w:t>
            </w:r>
            <w:r>
              <w:t>target</w:t>
            </w:r>
            <w:r w:rsidRPr="00C069E6">
              <w:t xml:space="preserve"> due to lower depreciation costs on government owned buildings. The lower 2016</w:t>
            </w:r>
            <w:r>
              <w:noBreakHyphen/>
            </w:r>
            <w:r w:rsidRPr="00C069E6">
              <w:t xml:space="preserve">17 </w:t>
            </w:r>
            <w:r>
              <w:t>target</w:t>
            </w:r>
            <w:r w:rsidRPr="00C069E6">
              <w:t xml:space="preserve"> reflects lower depreciation estimates on government owned buildings.</w:t>
            </w:r>
          </w:p>
        </w:tc>
      </w:tr>
    </w:tbl>
    <w:p w:rsidR="00E25CC6" w:rsidRDefault="00E25CC6" w:rsidP="0027262F">
      <w:pPr>
        <w:pStyle w:val="Source"/>
        <w:rPr>
          <w:lang w:eastAsia="en-AU"/>
        </w:rPr>
      </w:pPr>
      <w:r>
        <w:rPr>
          <w:lang w:eastAsia="en-AU"/>
        </w:rPr>
        <w:t>Source: Department of Treasury and Finance</w:t>
      </w:r>
      <w:bookmarkEnd w:id="105"/>
      <w:r>
        <w:rPr>
          <w:lang w:eastAsia="en-AU"/>
        </w:rPr>
        <w:t xml:space="preserve"> </w:t>
      </w:r>
      <w:r>
        <w:rPr>
          <w:lang w:eastAsia="en-AU"/>
        </w:rPr>
        <w:fldChar w:fldCharType="begin"/>
      </w:r>
      <w:r>
        <w:instrText xml:space="preserve"> XE "</w:instrText>
      </w:r>
      <w:r w:rsidRPr="00C6112F">
        <w:instrText>Department of Treasury and Finance:Deliver efficient whole of government common services to the Victorian public sector</w:instrText>
      </w:r>
      <w:r>
        <w:instrText xml:space="preserve">" \r "DTF_DeliverEfficientWOG" </w:instrText>
      </w:r>
      <w:r>
        <w:rPr>
          <w:lang w:eastAsia="en-AU"/>
        </w:rPr>
        <w:fldChar w:fldCharType="end"/>
      </w:r>
      <w:r>
        <w:rPr>
          <w:lang w:eastAsia="en-AU"/>
        </w:rPr>
        <w:t xml:space="preserve"> </w:t>
      </w:r>
    </w:p>
    <w:p w:rsidR="00E25CC6" w:rsidRDefault="00E25CC6" w:rsidP="00D14D27">
      <w:pPr>
        <w:pStyle w:val="OGText"/>
        <w:rPr>
          <w:rFonts w:eastAsiaTheme="minorHAnsi"/>
        </w:rPr>
      </w:pPr>
    </w:p>
    <w:p w:rsidR="00E25CC6" w:rsidRDefault="00E25CC6" w:rsidP="00243370">
      <w:pPr>
        <w:rPr>
          <w:rFonts w:eastAsiaTheme="minorHAnsi"/>
        </w:rPr>
        <w:sectPr w:rsidR="00E25CC6" w:rsidSect="00007537">
          <w:footerReference w:type="even" r:id="rId41"/>
          <w:footerReference w:type="default" r:id="rId42"/>
          <w:pgSz w:w="9979" w:h="14181" w:code="138"/>
          <w:pgMar w:top="1140" w:right="1140" w:bottom="1140" w:left="1140" w:header="720" w:footer="431" w:gutter="0"/>
          <w:cols w:space="708"/>
          <w:docGrid w:linePitch="360"/>
        </w:sectPr>
      </w:pPr>
    </w:p>
    <w:p w:rsidR="00E25CC6" w:rsidRDefault="00E25CC6" w:rsidP="00405185">
      <w:pPr>
        <w:pStyle w:val="Heading1"/>
      </w:pPr>
      <w:bookmarkStart w:id="106" w:name="_Toc449109445"/>
      <w:r>
        <w:t>Parliament (including Victorian Auditor</w:t>
      </w:r>
      <w:r>
        <w:noBreakHyphen/>
        <w:t>General’s office)</w:t>
      </w:r>
      <w:bookmarkEnd w:id="106"/>
    </w:p>
    <w:p w:rsidR="00E25CC6" w:rsidRDefault="00E25CC6" w:rsidP="00AD40DC">
      <w:pPr>
        <w:pStyle w:val="Heading2"/>
        <w:rPr>
          <w:rFonts w:eastAsiaTheme="minorHAnsi"/>
        </w:rPr>
      </w:pPr>
      <w:r>
        <w:rPr>
          <w:rFonts w:eastAsiaTheme="minorHAnsi"/>
        </w:rPr>
        <w:t>Departmental mission statement</w:t>
      </w:r>
    </w:p>
    <w:p w:rsidR="00E25CC6" w:rsidRDefault="00E25CC6" w:rsidP="00BD161A">
      <w:pPr>
        <w:pStyle w:val="Heading3"/>
        <w:rPr>
          <w:rFonts w:eastAsiaTheme="minorHAnsi"/>
        </w:rPr>
      </w:pPr>
      <w:r>
        <w:rPr>
          <w:rFonts w:eastAsiaTheme="minorHAnsi"/>
        </w:rPr>
        <w:t>Parliament</w:t>
      </w:r>
    </w:p>
    <w:p w:rsidR="00E25CC6" w:rsidRDefault="00E25CC6" w:rsidP="001B75C4">
      <w:r>
        <w:t>The Parliament of Victoria is an independent body that, through its elected representatives, is accountable to the Victorian community for the provision and conduct of representative government in the interests of Victorians.</w:t>
      </w:r>
    </w:p>
    <w:p w:rsidR="00E25CC6" w:rsidRDefault="00E25CC6" w:rsidP="001B75C4">
      <w:r>
        <w:t>The Parliament of Victoria’s vision is to deliver apolitical, professional and innovative services that will support Victoria’s elected representatives and the Parliament as an institution to ensure the proper, effective and independent functioning of the Parliament.</w:t>
      </w:r>
    </w:p>
    <w:p w:rsidR="00E25CC6" w:rsidRDefault="00E25CC6" w:rsidP="00BD161A">
      <w:pPr>
        <w:pStyle w:val="Heading3"/>
        <w:rPr>
          <w:rFonts w:eastAsiaTheme="minorHAnsi"/>
        </w:rPr>
      </w:pPr>
      <w:r>
        <w:rPr>
          <w:rFonts w:eastAsiaTheme="minorHAnsi"/>
        </w:rPr>
        <w:t>Victorian Auditor</w:t>
      </w:r>
      <w:r>
        <w:rPr>
          <w:rFonts w:eastAsiaTheme="minorHAnsi"/>
        </w:rPr>
        <w:noBreakHyphen/>
        <w:t>General’s Office</w:t>
      </w:r>
    </w:p>
    <w:p w:rsidR="00E25CC6" w:rsidRPr="00BD161A" w:rsidRDefault="00E25CC6" w:rsidP="00BD161A">
      <w:pPr>
        <w:rPr>
          <w:rFonts w:eastAsiaTheme="minorHAnsi"/>
        </w:rPr>
      </w:pPr>
      <w:r w:rsidRPr="00BD161A">
        <w:rPr>
          <w:rFonts w:eastAsiaTheme="minorHAnsi"/>
        </w:rPr>
        <w:t>Victoria</w:t>
      </w:r>
      <w:r>
        <w:rPr>
          <w:rFonts w:eastAsiaTheme="minorHAnsi"/>
        </w:rPr>
        <w:t>’</w:t>
      </w:r>
      <w:r w:rsidRPr="00BD161A">
        <w:rPr>
          <w:rFonts w:eastAsiaTheme="minorHAnsi"/>
        </w:rPr>
        <w:t xml:space="preserve">s </w:t>
      </w:r>
      <w:r w:rsidRPr="00BD161A">
        <w:rPr>
          <w:rFonts w:eastAsiaTheme="minorHAnsi"/>
          <w:i/>
        </w:rPr>
        <w:t>Constitution Act 1975</w:t>
      </w:r>
      <w:r w:rsidRPr="00BD161A">
        <w:rPr>
          <w:rFonts w:eastAsiaTheme="minorHAnsi"/>
        </w:rPr>
        <w:t xml:space="preserve"> provides that the Auditor</w:t>
      </w:r>
      <w:r>
        <w:rPr>
          <w:rFonts w:eastAsiaTheme="minorHAnsi"/>
        </w:rPr>
        <w:noBreakHyphen/>
      </w:r>
      <w:r w:rsidRPr="00BD161A">
        <w:rPr>
          <w:rFonts w:eastAsiaTheme="minorHAnsi"/>
        </w:rPr>
        <w:t>General is an independent officer of Parliament. For budgetary purposes, the Victorian Auditor</w:t>
      </w:r>
      <w:r>
        <w:rPr>
          <w:rFonts w:eastAsiaTheme="minorHAnsi"/>
        </w:rPr>
        <w:noBreakHyphen/>
      </w:r>
      <w:r w:rsidRPr="00BD161A">
        <w:rPr>
          <w:rFonts w:eastAsiaTheme="minorHAnsi"/>
        </w:rPr>
        <w:t>General</w:t>
      </w:r>
      <w:r>
        <w:rPr>
          <w:rFonts w:eastAsiaTheme="minorHAnsi"/>
        </w:rPr>
        <w:t>’</w:t>
      </w:r>
      <w:r w:rsidRPr="00BD161A">
        <w:rPr>
          <w:rFonts w:eastAsiaTheme="minorHAnsi"/>
        </w:rPr>
        <w:t xml:space="preserve">s Office is included as an output classification within Parliament. </w:t>
      </w:r>
    </w:p>
    <w:p w:rsidR="00E25CC6" w:rsidRDefault="00E25CC6" w:rsidP="00BD161A">
      <w:pPr>
        <w:rPr>
          <w:rFonts w:eastAsiaTheme="minorHAnsi"/>
        </w:rPr>
      </w:pPr>
      <w:r w:rsidRPr="00BD161A">
        <w:rPr>
          <w:rFonts w:eastAsiaTheme="minorHAnsi"/>
        </w:rPr>
        <w:t>The main purpose of the Victorian Auditor</w:t>
      </w:r>
      <w:r>
        <w:rPr>
          <w:rFonts w:eastAsiaTheme="minorHAnsi"/>
        </w:rPr>
        <w:noBreakHyphen/>
      </w:r>
      <w:r w:rsidRPr="00BD161A">
        <w:rPr>
          <w:rFonts w:eastAsiaTheme="minorHAnsi"/>
        </w:rPr>
        <w:t>General</w:t>
      </w:r>
      <w:r>
        <w:rPr>
          <w:rFonts w:eastAsiaTheme="minorHAnsi"/>
        </w:rPr>
        <w:t>’</w:t>
      </w:r>
      <w:r w:rsidRPr="00BD161A">
        <w:rPr>
          <w:rFonts w:eastAsiaTheme="minorHAnsi"/>
        </w:rPr>
        <w:t>s Office is to provide assurance to Parliament on the accountability and performance of the Victorian public sector.</w:t>
      </w:r>
    </w:p>
    <w:p w:rsidR="00E25CC6" w:rsidRDefault="00E25CC6" w:rsidP="00AD40DC">
      <w:pPr>
        <w:pStyle w:val="Heading2"/>
        <w:rPr>
          <w:rFonts w:eastAsiaTheme="minorHAnsi"/>
        </w:rPr>
      </w:pPr>
      <w:r>
        <w:rPr>
          <w:rFonts w:eastAsiaTheme="minorHAnsi"/>
        </w:rPr>
        <w:t>Departmental objectives, indicators and outputs</w:t>
      </w:r>
    </w:p>
    <w:p w:rsidR="00E25CC6" w:rsidRDefault="00E25CC6" w:rsidP="00BD161A">
      <w:pPr>
        <w:pStyle w:val="Heading3"/>
        <w:rPr>
          <w:rFonts w:eastAsiaTheme="minorHAnsi"/>
        </w:rPr>
      </w:pPr>
      <w:r>
        <w:rPr>
          <w:rFonts w:eastAsiaTheme="minorHAnsi"/>
        </w:rPr>
        <w:t>Parliament</w:t>
      </w:r>
    </w:p>
    <w:p w:rsidR="00E25CC6" w:rsidRDefault="00E25CC6" w:rsidP="001B75C4">
      <w:r>
        <w:t>The Departments of the Parliament of Victoria aim to:</w:t>
      </w:r>
    </w:p>
    <w:p w:rsidR="00E25CC6" w:rsidRDefault="00E25CC6" w:rsidP="001B75C4">
      <w:pPr>
        <w:pStyle w:val="BulletText"/>
      </w:pPr>
      <w:r>
        <w:t>provide services that support operations, support to members, internal communication, knowledge and infrastructure management, legislation processing and compliance;</w:t>
      </w:r>
    </w:p>
    <w:p w:rsidR="00E25CC6" w:rsidRDefault="00E25CC6" w:rsidP="001B75C4">
      <w:pPr>
        <w:pStyle w:val="BulletText"/>
      </w:pPr>
      <w:r>
        <w:t>provide fearless, apolitical and impartial advice;</w:t>
      </w:r>
    </w:p>
    <w:p w:rsidR="00E25CC6" w:rsidRDefault="00E25CC6" w:rsidP="001B75C4">
      <w:pPr>
        <w:pStyle w:val="BulletText"/>
      </w:pPr>
      <w:r>
        <w:t>safeguard Parliament’s independence and integrity;</w:t>
      </w:r>
    </w:p>
    <w:p w:rsidR="00E25CC6" w:rsidRDefault="00E25CC6" w:rsidP="001B75C4">
      <w:pPr>
        <w:pStyle w:val="BulletText"/>
      </w:pPr>
      <w:r>
        <w:t>strengthen links with the community;</w:t>
      </w:r>
    </w:p>
    <w:p w:rsidR="00E25CC6" w:rsidRDefault="00E25CC6" w:rsidP="001B75C4">
      <w:pPr>
        <w:pStyle w:val="BulletText"/>
      </w:pPr>
      <w:r>
        <w:t>protect building heritage; and</w:t>
      </w:r>
    </w:p>
    <w:p w:rsidR="00E25CC6" w:rsidRDefault="00E25CC6" w:rsidP="001B75C4">
      <w:pPr>
        <w:pStyle w:val="BulletText"/>
      </w:pPr>
      <w:r>
        <w:t>strive for leadership and best practice in their activities and employment standards.</w:t>
      </w:r>
    </w:p>
    <w:p w:rsidR="00E25CC6" w:rsidRDefault="00E25CC6">
      <w:pPr>
        <w:spacing w:after="0"/>
        <w:rPr>
          <w:rFonts w:ascii="Calibri" w:eastAsiaTheme="minorHAnsi" w:hAnsi="Calibri"/>
          <w:b/>
          <w:i/>
          <w:kern w:val="28"/>
          <w:sz w:val="24"/>
          <w:szCs w:val="22"/>
        </w:rPr>
      </w:pPr>
      <w:r>
        <w:rPr>
          <w:rFonts w:eastAsiaTheme="minorHAnsi"/>
        </w:rPr>
        <w:br w:type="page"/>
      </w:r>
    </w:p>
    <w:p w:rsidR="00E25CC6" w:rsidRDefault="00E25CC6" w:rsidP="00BD161A">
      <w:pPr>
        <w:pStyle w:val="Heading3"/>
        <w:rPr>
          <w:rFonts w:eastAsiaTheme="minorHAnsi"/>
        </w:rPr>
      </w:pPr>
      <w:r>
        <w:rPr>
          <w:rFonts w:eastAsiaTheme="minorHAnsi"/>
        </w:rPr>
        <w:t>Victorian Auditor</w:t>
      </w:r>
      <w:r>
        <w:rPr>
          <w:rFonts w:eastAsiaTheme="minorHAnsi"/>
        </w:rPr>
        <w:noBreakHyphen/>
        <w:t>General’s Office</w:t>
      </w:r>
    </w:p>
    <w:p w:rsidR="00E25CC6" w:rsidRPr="00BD161A" w:rsidRDefault="00E25CC6" w:rsidP="00BD161A">
      <w:pPr>
        <w:rPr>
          <w:rFonts w:eastAsiaTheme="minorHAnsi"/>
        </w:rPr>
      </w:pPr>
      <w:r w:rsidRPr="00BD161A">
        <w:rPr>
          <w:rFonts w:eastAsiaTheme="minorHAnsi"/>
        </w:rPr>
        <w:t>The Victorian Auditor</w:t>
      </w:r>
      <w:r>
        <w:rPr>
          <w:rFonts w:eastAsiaTheme="minorHAnsi"/>
        </w:rPr>
        <w:noBreakHyphen/>
      </w:r>
      <w:r w:rsidRPr="00BD161A">
        <w:rPr>
          <w:rFonts w:eastAsiaTheme="minorHAnsi"/>
        </w:rPr>
        <w:t>General</w:t>
      </w:r>
      <w:r>
        <w:rPr>
          <w:rFonts w:eastAsiaTheme="minorHAnsi"/>
        </w:rPr>
        <w:t>’</w:t>
      </w:r>
      <w:r w:rsidRPr="00BD161A">
        <w:rPr>
          <w:rFonts w:eastAsiaTheme="minorHAnsi"/>
        </w:rPr>
        <w:t>s Office aims to:</w:t>
      </w:r>
    </w:p>
    <w:p w:rsidR="00E25CC6" w:rsidRPr="00BD161A" w:rsidRDefault="00E25CC6" w:rsidP="00BD161A">
      <w:pPr>
        <w:pStyle w:val="BulletText"/>
        <w:rPr>
          <w:rFonts w:eastAsiaTheme="minorHAnsi"/>
        </w:rPr>
      </w:pPr>
      <w:r w:rsidRPr="00BD161A">
        <w:rPr>
          <w:rFonts w:eastAsiaTheme="minorHAnsi"/>
        </w:rPr>
        <w:t>provide assurance to Parliament about the accountability and performance of the Victorian public sector through the provision of audits;</w:t>
      </w:r>
    </w:p>
    <w:p w:rsidR="00E25CC6" w:rsidRPr="00BD161A" w:rsidRDefault="00E25CC6" w:rsidP="00BD161A">
      <w:pPr>
        <w:pStyle w:val="BulletText"/>
        <w:rPr>
          <w:rFonts w:eastAsiaTheme="minorHAnsi"/>
        </w:rPr>
      </w:pPr>
      <w:r w:rsidRPr="00BD161A">
        <w:rPr>
          <w:rFonts w:eastAsiaTheme="minorHAnsi"/>
        </w:rPr>
        <w:t>be authoritative and relevant and be highly regarded by Parliament;</w:t>
      </w:r>
    </w:p>
    <w:p w:rsidR="00E25CC6" w:rsidRPr="00BD161A" w:rsidRDefault="00E25CC6" w:rsidP="00BD161A">
      <w:pPr>
        <w:pStyle w:val="BulletText"/>
        <w:rPr>
          <w:rFonts w:eastAsiaTheme="minorHAnsi"/>
        </w:rPr>
      </w:pPr>
      <w:r w:rsidRPr="00BD161A">
        <w:rPr>
          <w:rFonts w:eastAsiaTheme="minorHAnsi"/>
        </w:rPr>
        <w:t>leverage our systems and processes to improve organisational performance;</w:t>
      </w:r>
    </w:p>
    <w:p w:rsidR="00E25CC6" w:rsidRPr="00BD161A" w:rsidRDefault="00E25CC6" w:rsidP="00BD161A">
      <w:pPr>
        <w:pStyle w:val="BulletText"/>
        <w:rPr>
          <w:rFonts w:eastAsiaTheme="minorHAnsi"/>
        </w:rPr>
      </w:pPr>
      <w:r w:rsidRPr="00BD161A">
        <w:rPr>
          <w:rFonts w:eastAsiaTheme="minorHAnsi"/>
        </w:rPr>
        <w:t>foster a stimulating working environment; and</w:t>
      </w:r>
    </w:p>
    <w:p w:rsidR="00E25CC6" w:rsidRDefault="00E25CC6" w:rsidP="00BD161A">
      <w:pPr>
        <w:pStyle w:val="BulletText"/>
        <w:rPr>
          <w:rFonts w:eastAsiaTheme="minorHAnsi"/>
        </w:rPr>
      </w:pPr>
      <w:r w:rsidRPr="00BD161A">
        <w:rPr>
          <w:rFonts w:eastAsiaTheme="minorHAnsi"/>
        </w:rPr>
        <w:t>foster productive relationships with audit clients.</w:t>
      </w:r>
    </w:p>
    <w:p w:rsidR="00E25CC6" w:rsidRDefault="00E25CC6" w:rsidP="00AD40DC">
      <w:pPr>
        <w:pStyle w:val="Heading2"/>
        <w:rPr>
          <w:rFonts w:eastAsiaTheme="minorHAnsi"/>
        </w:rPr>
      </w:pPr>
      <w:r>
        <w:rPr>
          <w:rFonts w:eastAsiaTheme="minorHAnsi"/>
        </w:rPr>
        <w:t>Changes to the output structure</w:t>
      </w:r>
    </w:p>
    <w:p w:rsidR="00E25CC6" w:rsidRPr="00942592" w:rsidRDefault="00E25CC6" w:rsidP="004650AF">
      <w:r w:rsidRPr="00942592">
        <w:t>The Parliament has added a new output Parliamentary Budget Office to its output structure for 2016</w:t>
      </w:r>
      <w:r w:rsidRPr="00942592">
        <w:noBreakHyphen/>
        <w:t>17.</w:t>
      </w:r>
    </w:p>
    <w:tbl>
      <w:tblPr>
        <w:tblStyle w:val="TableColumns4"/>
        <w:tblW w:w="7766" w:type="dxa"/>
        <w:tblInd w:w="45" w:type="dxa"/>
        <w:tblBorders>
          <w:bottom w:val="single" w:sz="12" w:space="0" w:color="auto"/>
        </w:tblBorders>
        <w:tblLayout w:type="fixed"/>
        <w:tblCellMar>
          <w:left w:w="45" w:type="dxa"/>
          <w:right w:w="45" w:type="dxa"/>
        </w:tblCellMar>
        <w:tblLook w:val="04A0" w:firstRow="1" w:lastRow="0" w:firstColumn="1" w:lastColumn="0" w:noHBand="0" w:noVBand="1"/>
      </w:tblPr>
      <w:tblGrid>
        <w:gridCol w:w="2588"/>
        <w:gridCol w:w="2589"/>
        <w:gridCol w:w="2589"/>
      </w:tblGrid>
      <w:tr w:rsidR="00E25CC6" w:rsidRPr="00037568" w:rsidTr="00037568">
        <w:trPr>
          <w:cnfStyle w:val="100000000000" w:firstRow="1" w:lastRow="0" w:firstColumn="0" w:lastColumn="0" w:oddVBand="0" w:evenVBand="0" w:oddHBand="0" w:evenHBand="0" w:firstRowFirstColumn="0" w:firstRowLastColumn="0" w:lastRowFirstColumn="0" w:lastRowLastColumn="0"/>
          <w:cantSplit/>
          <w:tblHeader/>
        </w:trPr>
        <w:tc>
          <w:tcPr>
            <w:tcW w:w="2588" w:type="dxa"/>
            <w:tcBorders>
              <w:bottom w:val="nil"/>
            </w:tcBorders>
            <w:vAlign w:val="bottom"/>
            <w:hideMark/>
          </w:tcPr>
          <w:p w:rsidR="00E25CC6" w:rsidRPr="00037568" w:rsidRDefault="00E25CC6" w:rsidP="00037568">
            <w:pPr>
              <w:pStyle w:val="Tabletextheadingleft"/>
            </w:pPr>
            <w:r w:rsidRPr="00037568">
              <w:t>2015</w:t>
            </w:r>
            <w:r>
              <w:noBreakHyphen/>
            </w:r>
            <w:r w:rsidRPr="00037568">
              <w:t>16 outputs</w:t>
            </w:r>
          </w:p>
        </w:tc>
        <w:tc>
          <w:tcPr>
            <w:tcW w:w="2589" w:type="dxa"/>
            <w:tcBorders>
              <w:bottom w:val="nil"/>
            </w:tcBorders>
            <w:vAlign w:val="bottom"/>
            <w:hideMark/>
          </w:tcPr>
          <w:p w:rsidR="00E25CC6" w:rsidRPr="00037568" w:rsidRDefault="00E25CC6" w:rsidP="00037568">
            <w:pPr>
              <w:pStyle w:val="Tabletextheadingleft"/>
            </w:pPr>
            <w:r w:rsidRPr="00037568">
              <w:t>Reason</w:t>
            </w:r>
          </w:p>
        </w:tc>
        <w:tc>
          <w:tcPr>
            <w:tcW w:w="2589" w:type="dxa"/>
            <w:tcBorders>
              <w:bottom w:val="nil"/>
            </w:tcBorders>
            <w:vAlign w:val="bottom"/>
            <w:hideMark/>
          </w:tcPr>
          <w:p w:rsidR="00E25CC6" w:rsidRPr="00037568" w:rsidRDefault="00E25CC6" w:rsidP="00037568">
            <w:pPr>
              <w:pStyle w:val="Tabletextheadingleft"/>
            </w:pPr>
            <w:r w:rsidRPr="00037568">
              <w:t>2016</w:t>
            </w:r>
            <w:r>
              <w:noBreakHyphen/>
            </w:r>
            <w:r w:rsidRPr="00037568">
              <w:t>17 outputs</w:t>
            </w:r>
          </w:p>
        </w:tc>
      </w:tr>
      <w:tr w:rsidR="00E25CC6" w:rsidRPr="00037568" w:rsidTr="00037568">
        <w:trPr>
          <w:cantSplit/>
        </w:trPr>
        <w:tc>
          <w:tcPr>
            <w:tcW w:w="2588" w:type="dxa"/>
            <w:tcBorders>
              <w:bottom w:val="single" w:sz="12" w:space="0" w:color="auto"/>
            </w:tcBorders>
            <w:shd w:val="clear" w:color="auto" w:fill="FFFFFF"/>
            <w:hideMark/>
          </w:tcPr>
          <w:p w:rsidR="00E25CC6" w:rsidRPr="00037568" w:rsidRDefault="00E25CC6" w:rsidP="00037568">
            <w:pPr>
              <w:pStyle w:val="Tabletext"/>
              <w:ind w:left="0" w:firstLine="0"/>
              <w:rPr>
                <w:highlight w:val="yellow"/>
              </w:rPr>
            </w:pPr>
            <w:r w:rsidRPr="00942592">
              <w:t>na</w:t>
            </w:r>
          </w:p>
        </w:tc>
        <w:tc>
          <w:tcPr>
            <w:tcW w:w="2589" w:type="dxa"/>
            <w:tcBorders>
              <w:bottom w:val="single" w:sz="12" w:space="0" w:color="auto"/>
            </w:tcBorders>
            <w:shd w:val="clear" w:color="auto" w:fill="FFFFFF"/>
            <w:hideMark/>
          </w:tcPr>
          <w:p w:rsidR="00E25CC6" w:rsidRPr="00037568" w:rsidRDefault="00E25CC6" w:rsidP="00A853D0">
            <w:pPr>
              <w:pStyle w:val="Tabletext"/>
              <w:ind w:left="0" w:firstLine="0"/>
              <w:rPr>
                <w:highlight w:val="yellow"/>
              </w:rPr>
            </w:pPr>
            <w:r w:rsidRPr="004650AF">
              <w:t>This output has been created to reflect the establishment and operation of the Parliamentary Budget Office</w:t>
            </w:r>
          </w:p>
        </w:tc>
        <w:tc>
          <w:tcPr>
            <w:tcW w:w="2589" w:type="dxa"/>
            <w:tcBorders>
              <w:bottom w:val="single" w:sz="12" w:space="0" w:color="auto"/>
            </w:tcBorders>
            <w:shd w:val="clear" w:color="auto" w:fill="FFFFFF"/>
            <w:hideMark/>
          </w:tcPr>
          <w:p w:rsidR="00E25CC6" w:rsidRPr="00037568" w:rsidRDefault="00E25CC6" w:rsidP="00037568">
            <w:pPr>
              <w:pStyle w:val="Tabletext"/>
              <w:ind w:left="0" w:firstLine="0"/>
              <w:rPr>
                <w:highlight w:val="yellow"/>
              </w:rPr>
            </w:pPr>
            <w:r w:rsidRPr="00037568">
              <w:t>Parliamentary Budget Office</w:t>
            </w:r>
          </w:p>
        </w:tc>
      </w:tr>
    </w:tbl>
    <w:p w:rsidR="00E25CC6" w:rsidRDefault="00E25CC6" w:rsidP="009D6E58">
      <w:pPr>
        <w:pStyle w:val="Source"/>
        <w:rPr>
          <w:rFonts w:eastAsiaTheme="minorHAnsi"/>
        </w:rPr>
      </w:pPr>
      <w:r>
        <w:rPr>
          <w:rFonts w:eastAsiaTheme="minorHAnsi"/>
        </w:rPr>
        <w:t>Source: Parliament of Victoria and Victorian Auditor</w:t>
      </w:r>
      <w:r>
        <w:rPr>
          <w:rFonts w:eastAsiaTheme="minorHAnsi"/>
        </w:rPr>
        <w:noBreakHyphen/>
        <w:t>General’s Office</w:t>
      </w:r>
    </w:p>
    <w:p w:rsidR="00E25CC6" w:rsidRPr="009D6E58" w:rsidRDefault="00E25CC6" w:rsidP="009D6E58">
      <w:pPr>
        <w:pStyle w:val="Source"/>
        <w:rPr>
          <w:rFonts w:eastAsiaTheme="minorHAnsi"/>
        </w:rPr>
      </w:pPr>
    </w:p>
    <w:p w:rsidR="00E25CC6" w:rsidRPr="00942592" w:rsidRDefault="00E25CC6" w:rsidP="00AD40DC">
      <w:r w:rsidRPr="00942592">
        <w:t>The following table summarises the Department</w:t>
      </w:r>
      <w:r>
        <w:t>’</w:t>
      </w:r>
      <w:r w:rsidRPr="00942592">
        <w:t>s total output cost.</w:t>
      </w:r>
    </w:p>
    <w:p w:rsidR="00E25CC6" w:rsidRDefault="00E25CC6" w:rsidP="00AD40DC">
      <w:pPr>
        <w:pStyle w:val="Tableheading"/>
        <w:rPr>
          <w:rFonts w:eastAsiaTheme="minorHAnsi"/>
        </w:rPr>
      </w:pPr>
      <w:r>
        <w:rPr>
          <w:rFonts w:eastAsiaTheme="minorHAnsi"/>
        </w:rPr>
        <w:t>Table 2.23:</w:t>
      </w:r>
      <w:r>
        <w:rPr>
          <w:rFonts w:eastAsiaTheme="minorHAnsi"/>
        </w:rPr>
        <w:tab/>
        <w:t>Output summary</w:t>
      </w:r>
    </w:p>
    <w:tbl>
      <w:tblPr>
        <w:tblW w:w="7765" w:type="dxa"/>
        <w:tblInd w:w="43" w:type="dxa"/>
        <w:tblLayout w:type="fixed"/>
        <w:tblCellMar>
          <w:left w:w="43" w:type="dxa"/>
          <w:right w:w="43" w:type="dxa"/>
        </w:tblCellMar>
        <w:tblLook w:val="04A0" w:firstRow="1" w:lastRow="0" w:firstColumn="1" w:lastColumn="0" w:noHBand="0" w:noVBand="1"/>
      </w:tblPr>
      <w:tblGrid>
        <w:gridCol w:w="4365"/>
        <w:gridCol w:w="850"/>
        <w:gridCol w:w="850"/>
        <w:gridCol w:w="850"/>
        <w:gridCol w:w="850"/>
      </w:tblGrid>
      <w:tr w:rsidR="00E25CC6" w:rsidRPr="0041306D" w:rsidTr="00037568">
        <w:trPr>
          <w:cantSplit/>
          <w:tblHeader/>
        </w:trPr>
        <w:tc>
          <w:tcPr>
            <w:tcW w:w="4365" w:type="dxa"/>
            <w:tcBorders>
              <w:bottom w:val="nil"/>
              <w:right w:val="nil"/>
            </w:tcBorders>
            <w:shd w:val="clear" w:color="auto" w:fill="000000"/>
            <w:vAlign w:val="bottom"/>
            <w:hideMark/>
          </w:tcPr>
          <w:p w:rsidR="00E25CC6" w:rsidRPr="0041306D" w:rsidRDefault="00E25CC6" w:rsidP="00037568">
            <w:pPr>
              <w:pStyle w:val="Tabletext"/>
              <w:rPr>
                <w:lang w:eastAsia="en-AU"/>
              </w:rPr>
            </w:pPr>
            <w:r w:rsidRPr="0041306D">
              <w:rPr>
                <w:lang w:eastAsia="en-AU"/>
              </w:rPr>
              <w:t xml:space="preserve"> </w:t>
            </w:r>
          </w:p>
        </w:tc>
        <w:tc>
          <w:tcPr>
            <w:tcW w:w="850" w:type="dxa"/>
            <w:tcBorders>
              <w:left w:val="nil"/>
              <w:bottom w:val="nil"/>
              <w:right w:val="nil"/>
            </w:tcBorders>
            <w:shd w:val="clear" w:color="auto" w:fill="000000"/>
            <w:vAlign w:val="bottom"/>
            <w:hideMark/>
          </w:tcPr>
          <w:p w:rsidR="00E25CC6" w:rsidRPr="0041306D" w:rsidRDefault="00E25CC6" w:rsidP="00037568">
            <w:pPr>
              <w:pStyle w:val="Tabletextheading"/>
              <w:rPr>
                <w:sz w:val="19"/>
                <w:lang w:eastAsia="en-AU"/>
              </w:rPr>
            </w:pPr>
            <w:r w:rsidRPr="0041306D">
              <w:rPr>
                <w:sz w:val="19"/>
                <w:lang w:eastAsia="en-AU"/>
              </w:rPr>
              <w:t>2015</w:t>
            </w:r>
            <w:r w:rsidRPr="0041306D">
              <w:rPr>
                <w:sz w:val="19"/>
                <w:lang w:eastAsia="en-AU"/>
              </w:rPr>
              <w:noBreakHyphen/>
              <w:t>16</w:t>
            </w:r>
          </w:p>
        </w:tc>
        <w:tc>
          <w:tcPr>
            <w:tcW w:w="850" w:type="dxa"/>
            <w:tcBorders>
              <w:left w:val="nil"/>
              <w:bottom w:val="nil"/>
              <w:right w:val="nil"/>
            </w:tcBorders>
            <w:shd w:val="clear" w:color="auto" w:fill="000000"/>
            <w:vAlign w:val="bottom"/>
            <w:hideMark/>
          </w:tcPr>
          <w:p w:rsidR="00E25CC6" w:rsidRPr="0041306D" w:rsidRDefault="00E25CC6" w:rsidP="00037568">
            <w:pPr>
              <w:pStyle w:val="Tabletextheading"/>
              <w:rPr>
                <w:sz w:val="19"/>
                <w:lang w:eastAsia="en-AU"/>
              </w:rPr>
            </w:pPr>
            <w:r w:rsidRPr="0041306D">
              <w:rPr>
                <w:sz w:val="19"/>
                <w:lang w:eastAsia="en-AU"/>
              </w:rPr>
              <w:t>2015</w:t>
            </w:r>
            <w:r w:rsidRPr="0041306D">
              <w:rPr>
                <w:sz w:val="19"/>
                <w:lang w:eastAsia="en-AU"/>
              </w:rPr>
              <w:noBreakHyphen/>
              <w:t>16</w:t>
            </w:r>
          </w:p>
        </w:tc>
        <w:tc>
          <w:tcPr>
            <w:tcW w:w="850" w:type="dxa"/>
            <w:tcBorders>
              <w:left w:val="nil"/>
              <w:bottom w:val="nil"/>
              <w:right w:val="nil"/>
            </w:tcBorders>
            <w:shd w:val="clear" w:color="auto" w:fill="000000"/>
            <w:vAlign w:val="bottom"/>
            <w:hideMark/>
          </w:tcPr>
          <w:p w:rsidR="00E25CC6" w:rsidRPr="0041306D" w:rsidRDefault="00E25CC6" w:rsidP="00037568">
            <w:pPr>
              <w:pStyle w:val="Tabletextheading"/>
              <w:rPr>
                <w:sz w:val="19"/>
                <w:lang w:eastAsia="en-AU"/>
              </w:rPr>
            </w:pPr>
            <w:r w:rsidRPr="0041306D">
              <w:rPr>
                <w:sz w:val="19"/>
                <w:lang w:eastAsia="en-AU"/>
              </w:rPr>
              <w:t>2016</w:t>
            </w:r>
            <w:r w:rsidRPr="0041306D">
              <w:rPr>
                <w:sz w:val="19"/>
                <w:lang w:eastAsia="en-AU"/>
              </w:rPr>
              <w:noBreakHyphen/>
              <w:t>17</w:t>
            </w:r>
          </w:p>
        </w:tc>
        <w:tc>
          <w:tcPr>
            <w:tcW w:w="850" w:type="dxa"/>
            <w:tcBorders>
              <w:left w:val="nil"/>
              <w:bottom w:val="nil"/>
            </w:tcBorders>
            <w:shd w:val="clear" w:color="auto" w:fill="000000"/>
            <w:vAlign w:val="bottom"/>
            <w:hideMark/>
          </w:tcPr>
          <w:p w:rsidR="00E25CC6" w:rsidRPr="0041306D" w:rsidRDefault="00E25CC6" w:rsidP="00037568">
            <w:pPr>
              <w:pStyle w:val="Tabletextheading"/>
              <w:rPr>
                <w:sz w:val="19"/>
                <w:vertAlign w:val="superscript"/>
                <w:lang w:eastAsia="en-AU"/>
              </w:rPr>
            </w:pPr>
            <w:r w:rsidRPr="0041306D">
              <w:rPr>
                <w:sz w:val="19"/>
                <w:lang w:eastAsia="en-AU"/>
              </w:rPr>
              <w:t>Variation</w:t>
            </w:r>
          </w:p>
        </w:tc>
      </w:tr>
      <w:tr w:rsidR="00E25CC6" w:rsidRPr="0041306D" w:rsidTr="00037568">
        <w:trPr>
          <w:cantSplit/>
          <w:tblHeader/>
        </w:trPr>
        <w:tc>
          <w:tcPr>
            <w:tcW w:w="4365" w:type="dxa"/>
            <w:tcBorders>
              <w:top w:val="nil"/>
              <w:bottom w:val="single" w:sz="6" w:space="0" w:color="auto"/>
              <w:right w:val="nil"/>
            </w:tcBorders>
            <w:shd w:val="clear" w:color="auto" w:fill="000000"/>
            <w:vAlign w:val="bottom"/>
            <w:hideMark/>
          </w:tcPr>
          <w:p w:rsidR="00E25CC6" w:rsidRPr="0041306D" w:rsidRDefault="00E25CC6" w:rsidP="00037568">
            <w:pPr>
              <w:pStyle w:val="Tabletext"/>
              <w:rPr>
                <w:lang w:eastAsia="en-AU"/>
              </w:rPr>
            </w:pPr>
            <w:r w:rsidRPr="0041306D">
              <w:rPr>
                <w:lang w:eastAsia="en-AU"/>
              </w:rPr>
              <w:t xml:space="preserve"> </w:t>
            </w:r>
          </w:p>
        </w:tc>
        <w:tc>
          <w:tcPr>
            <w:tcW w:w="850" w:type="dxa"/>
            <w:tcBorders>
              <w:top w:val="nil"/>
              <w:left w:val="nil"/>
              <w:bottom w:val="single" w:sz="6" w:space="0" w:color="auto"/>
              <w:right w:val="nil"/>
            </w:tcBorders>
            <w:shd w:val="clear" w:color="auto" w:fill="000000"/>
            <w:vAlign w:val="bottom"/>
            <w:hideMark/>
          </w:tcPr>
          <w:p w:rsidR="00E25CC6" w:rsidRPr="0041306D" w:rsidRDefault="00E25CC6" w:rsidP="00037568">
            <w:pPr>
              <w:pStyle w:val="Tabletextheading"/>
              <w:rPr>
                <w:sz w:val="19"/>
                <w:lang w:eastAsia="en-AU"/>
              </w:rPr>
            </w:pPr>
            <w:r w:rsidRPr="0041306D">
              <w:rPr>
                <w:sz w:val="19"/>
                <w:lang w:eastAsia="en-AU"/>
              </w:rPr>
              <w:t>budget</w:t>
            </w:r>
          </w:p>
        </w:tc>
        <w:tc>
          <w:tcPr>
            <w:tcW w:w="850" w:type="dxa"/>
            <w:tcBorders>
              <w:top w:val="nil"/>
              <w:left w:val="nil"/>
              <w:bottom w:val="single" w:sz="6" w:space="0" w:color="auto"/>
              <w:right w:val="nil"/>
            </w:tcBorders>
            <w:shd w:val="clear" w:color="auto" w:fill="000000"/>
            <w:vAlign w:val="bottom"/>
            <w:hideMark/>
          </w:tcPr>
          <w:p w:rsidR="00E25CC6" w:rsidRPr="0041306D" w:rsidRDefault="00E25CC6" w:rsidP="00037568">
            <w:pPr>
              <w:pStyle w:val="Tabletextheading"/>
              <w:rPr>
                <w:sz w:val="19"/>
                <w:lang w:eastAsia="en-AU"/>
              </w:rPr>
            </w:pPr>
            <w:r w:rsidRPr="0041306D">
              <w:rPr>
                <w:sz w:val="19"/>
                <w:lang w:eastAsia="en-AU"/>
              </w:rPr>
              <w:t>revised</w:t>
            </w:r>
          </w:p>
        </w:tc>
        <w:tc>
          <w:tcPr>
            <w:tcW w:w="850" w:type="dxa"/>
            <w:tcBorders>
              <w:top w:val="nil"/>
              <w:left w:val="nil"/>
              <w:bottom w:val="single" w:sz="6" w:space="0" w:color="auto"/>
              <w:right w:val="nil"/>
            </w:tcBorders>
            <w:shd w:val="clear" w:color="auto" w:fill="000000"/>
            <w:vAlign w:val="bottom"/>
            <w:hideMark/>
          </w:tcPr>
          <w:p w:rsidR="00E25CC6" w:rsidRPr="0041306D" w:rsidRDefault="00E25CC6" w:rsidP="00037568">
            <w:pPr>
              <w:pStyle w:val="Tabletextheading"/>
              <w:rPr>
                <w:sz w:val="19"/>
                <w:lang w:eastAsia="en-AU"/>
              </w:rPr>
            </w:pPr>
            <w:r w:rsidRPr="0041306D">
              <w:rPr>
                <w:sz w:val="19"/>
                <w:lang w:eastAsia="en-AU"/>
              </w:rPr>
              <w:t>budget</w:t>
            </w:r>
          </w:p>
        </w:tc>
        <w:tc>
          <w:tcPr>
            <w:tcW w:w="850" w:type="dxa"/>
            <w:tcBorders>
              <w:top w:val="nil"/>
              <w:left w:val="nil"/>
              <w:bottom w:val="single" w:sz="6" w:space="0" w:color="auto"/>
            </w:tcBorders>
            <w:shd w:val="clear" w:color="auto" w:fill="000000"/>
            <w:vAlign w:val="bottom"/>
            <w:hideMark/>
          </w:tcPr>
          <w:p w:rsidR="00E25CC6" w:rsidRPr="0041306D" w:rsidRDefault="00E25CC6" w:rsidP="00037568">
            <w:pPr>
              <w:pStyle w:val="Tabletextheading"/>
              <w:rPr>
                <w:sz w:val="19"/>
                <w:lang w:eastAsia="en-AU"/>
              </w:rPr>
            </w:pPr>
            <w:r w:rsidRPr="0041306D">
              <w:rPr>
                <w:sz w:val="19"/>
                <w:lang w:eastAsia="en-AU"/>
              </w:rPr>
              <w:t>%</w:t>
            </w:r>
          </w:p>
        </w:tc>
      </w:tr>
      <w:tr w:rsidR="00E25CC6" w:rsidRPr="0041306D" w:rsidTr="00037568">
        <w:trPr>
          <w:cantSplit/>
        </w:trPr>
        <w:tc>
          <w:tcPr>
            <w:tcW w:w="4365" w:type="dxa"/>
            <w:shd w:val="clear" w:color="auto" w:fill="FFFFFF"/>
            <w:hideMark/>
          </w:tcPr>
          <w:p w:rsidR="00E25CC6" w:rsidRPr="0041306D" w:rsidRDefault="00E25CC6" w:rsidP="00037568">
            <w:pPr>
              <w:pStyle w:val="Tabletext"/>
              <w:ind w:left="227" w:hanging="227"/>
              <w:rPr>
                <w:lang w:eastAsia="en-AU"/>
              </w:rPr>
            </w:pPr>
            <w:r w:rsidRPr="0041306D">
              <w:rPr>
                <w:lang w:eastAsia="en-AU"/>
              </w:rPr>
              <w:t xml:space="preserve">Legislative Assembly </w:t>
            </w:r>
          </w:p>
        </w:tc>
        <w:tc>
          <w:tcPr>
            <w:tcW w:w="850" w:type="dxa"/>
            <w:shd w:val="clear" w:color="auto" w:fill="FFFFFF"/>
            <w:hideMark/>
          </w:tcPr>
          <w:p w:rsidR="00E25CC6" w:rsidRPr="0041306D" w:rsidRDefault="00E25CC6" w:rsidP="00037568">
            <w:pPr>
              <w:pStyle w:val="TableofFigures"/>
              <w:rPr>
                <w:sz w:val="19"/>
              </w:rPr>
            </w:pPr>
            <w:r w:rsidRPr="0041306D">
              <w:rPr>
                <w:sz w:val="19"/>
              </w:rPr>
              <w:t>30.7</w:t>
            </w:r>
          </w:p>
        </w:tc>
        <w:tc>
          <w:tcPr>
            <w:tcW w:w="850" w:type="dxa"/>
            <w:shd w:val="clear" w:color="auto" w:fill="FFFFFF"/>
            <w:hideMark/>
          </w:tcPr>
          <w:p w:rsidR="00E25CC6" w:rsidRPr="0041306D" w:rsidRDefault="00E25CC6" w:rsidP="00037568">
            <w:pPr>
              <w:pStyle w:val="TableofFigures"/>
              <w:rPr>
                <w:sz w:val="19"/>
              </w:rPr>
            </w:pPr>
            <w:r w:rsidRPr="0041306D">
              <w:rPr>
                <w:sz w:val="19"/>
              </w:rPr>
              <w:t>30.8</w:t>
            </w:r>
          </w:p>
        </w:tc>
        <w:tc>
          <w:tcPr>
            <w:tcW w:w="850" w:type="dxa"/>
            <w:shd w:val="clear" w:color="auto" w:fill="FFFFFF"/>
            <w:hideMark/>
          </w:tcPr>
          <w:p w:rsidR="00E25CC6" w:rsidRPr="0041306D" w:rsidRDefault="00E25CC6" w:rsidP="00037568">
            <w:pPr>
              <w:pStyle w:val="TableofFigures"/>
              <w:rPr>
                <w:sz w:val="19"/>
              </w:rPr>
            </w:pPr>
            <w:r w:rsidRPr="0041306D">
              <w:rPr>
                <w:sz w:val="19"/>
              </w:rPr>
              <w:t>31.4</w:t>
            </w:r>
          </w:p>
        </w:tc>
        <w:tc>
          <w:tcPr>
            <w:tcW w:w="850" w:type="dxa"/>
            <w:shd w:val="clear" w:color="auto" w:fill="FFFFFF"/>
            <w:hideMark/>
          </w:tcPr>
          <w:p w:rsidR="00E25CC6" w:rsidRPr="0041306D" w:rsidRDefault="00E25CC6" w:rsidP="004675CA">
            <w:pPr>
              <w:pStyle w:val="TableofFigures"/>
              <w:rPr>
                <w:sz w:val="19"/>
              </w:rPr>
            </w:pPr>
            <w:r w:rsidRPr="0041306D">
              <w:rPr>
                <w:sz w:val="19"/>
              </w:rPr>
              <w:t>2.4</w:t>
            </w:r>
          </w:p>
        </w:tc>
      </w:tr>
      <w:tr w:rsidR="00E25CC6" w:rsidRPr="0041306D" w:rsidTr="00037568">
        <w:trPr>
          <w:cantSplit/>
        </w:trPr>
        <w:tc>
          <w:tcPr>
            <w:tcW w:w="4365" w:type="dxa"/>
            <w:shd w:val="clear" w:color="auto" w:fill="FFFFFF"/>
          </w:tcPr>
          <w:p w:rsidR="00E25CC6" w:rsidRPr="0041306D" w:rsidRDefault="00E25CC6" w:rsidP="00652CAB">
            <w:pPr>
              <w:pStyle w:val="Tabletext"/>
              <w:ind w:left="227" w:hanging="227"/>
              <w:rPr>
                <w:lang w:eastAsia="en-AU"/>
              </w:rPr>
            </w:pPr>
            <w:r w:rsidRPr="0041306D">
              <w:rPr>
                <w:lang w:eastAsia="en-AU"/>
              </w:rPr>
              <w:t xml:space="preserve">Legislative Council </w:t>
            </w:r>
            <w:r w:rsidRPr="0041306D">
              <w:rPr>
                <w:vertAlign w:val="superscript"/>
                <w:lang w:eastAsia="en-AU"/>
              </w:rPr>
              <w:t>(a)</w:t>
            </w:r>
          </w:p>
        </w:tc>
        <w:tc>
          <w:tcPr>
            <w:tcW w:w="850" w:type="dxa"/>
            <w:shd w:val="clear" w:color="auto" w:fill="FFFFFF"/>
          </w:tcPr>
          <w:p w:rsidR="00E25CC6" w:rsidRPr="0041306D" w:rsidRDefault="00E25CC6" w:rsidP="00652CAB">
            <w:pPr>
              <w:pStyle w:val="TableofFigures"/>
              <w:rPr>
                <w:sz w:val="19"/>
              </w:rPr>
            </w:pPr>
            <w:r w:rsidRPr="0041306D">
              <w:rPr>
                <w:sz w:val="19"/>
              </w:rPr>
              <w:t>15.8</w:t>
            </w:r>
          </w:p>
        </w:tc>
        <w:tc>
          <w:tcPr>
            <w:tcW w:w="850" w:type="dxa"/>
            <w:shd w:val="clear" w:color="auto" w:fill="FFFFFF"/>
          </w:tcPr>
          <w:p w:rsidR="00E25CC6" w:rsidRPr="0041306D" w:rsidRDefault="00E25CC6" w:rsidP="00652CAB">
            <w:pPr>
              <w:pStyle w:val="TableofFigures"/>
              <w:rPr>
                <w:sz w:val="19"/>
              </w:rPr>
            </w:pPr>
            <w:r w:rsidRPr="0041306D">
              <w:rPr>
                <w:sz w:val="19"/>
              </w:rPr>
              <w:t>16.4</w:t>
            </w:r>
          </w:p>
        </w:tc>
        <w:tc>
          <w:tcPr>
            <w:tcW w:w="850" w:type="dxa"/>
            <w:shd w:val="clear" w:color="auto" w:fill="FFFFFF"/>
          </w:tcPr>
          <w:p w:rsidR="00E25CC6" w:rsidRPr="0041306D" w:rsidRDefault="00E25CC6" w:rsidP="00652CAB">
            <w:pPr>
              <w:pStyle w:val="TableofFigures"/>
              <w:rPr>
                <w:sz w:val="19"/>
              </w:rPr>
            </w:pPr>
            <w:r w:rsidRPr="0041306D">
              <w:rPr>
                <w:sz w:val="19"/>
              </w:rPr>
              <w:t>16.6</w:t>
            </w:r>
          </w:p>
        </w:tc>
        <w:tc>
          <w:tcPr>
            <w:tcW w:w="850" w:type="dxa"/>
            <w:shd w:val="clear" w:color="auto" w:fill="FFFFFF"/>
          </w:tcPr>
          <w:p w:rsidR="00E25CC6" w:rsidRPr="0041306D" w:rsidRDefault="00E25CC6" w:rsidP="00652CAB">
            <w:pPr>
              <w:pStyle w:val="TableofFigures"/>
              <w:rPr>
                <w:sz w:val="19"/>
              </w:rPr>
            </w:pPr>
            <w:r w:rsidRPr="0041306D">
              <w:rPr>
                <w:sz w:val="19"/>
              </w:rPr>
              <w:t>5.2</w:t>
            </w:r>
          </w:p>
        </w:tc>
      </w:tr>
      <w:tr w:rsidR="00E25CC6" w:rsidRPr="0041306D" w:rsidTr="00037568">
        <w:trPr>
          <w:cantSplit/>
        </w:trPr>
        <w:tc>
          <w:tcPr>
            <w:tcW w:w="4365" w:type="dxa"/>
            <w:shd w:val="clear" w:color="000000" w:fill="FFFFFF"/>
            <w:hideMark/>
          </w:tcPr>
          <w:p w:rsidR="00E25CC6" w:rsidRPr="0041306D" w:rsidRDefault="00E25CC6" w:rsidP="00037568">
            <w:pPr>
              <w:pStyle w:val="Tabletext"/>
              <w:ind w:left="227" w:hanging="227"/>
              <w:rPr>
                <w:lang w:eastAsia="en-AU"/>
              </w:rPr>
            </w:pPr>
            <w:r w:rsidRPr="0041306D">
              <w:rPr>
                <w:lang w:eastAsia="en-AU"/>
              </w:rPr>
              <w:t xml:space="preserve">Parliamentary Services </w:t>
            </w:r>
            <w:r w:rsidRPr="0041306D">
              <w:rPr>
                <w:vertAlign w:val="superscript"/>
                <w:lang w:eastAsia="en-AU"/>
              </w:rPr>
              <w:t>(b)</w:t>
            </w:r>
          </w:p>
        </w:tc>
        <w:tc>
          <w:tcPr>
            <w:tcW w:w="850" w:type="dxa"/>
            <w:shd w:val="clear" w:color="000000" w:fill="FFFFFF"/>
            <w:hideMark/>
          </w:tcPr>
          <w:p w:rsidR="00E25CC6" w:rsidRPr="0041306D" w:rsidRDefault="00E25CC6" w:rsidP="00037568">
            <w:pPr>
              <w:pStyle w:val="TableofFigures"/>
              <w:rPr>
                <w:sz w:val="19"/>
              </w:rPr>
            </w:pPr>
            <w:r w:rsidRPr="0041306D">
              <w:rPr>
                <w:sz w:val="19"/>
              </w:rPr>
              <w:t>92.4</w:t>
            </w:r>
          </w:p>
        </w:tc>
        <w:tc>
          <w:tcPr>
            <w:tcW w:w="850" w:type="dxa"/>
            <w:shd w:val="clear" w:color="000000" w:fill="FFFFFF"/>
            <w:hideMark/>
          </w:tcPr>
          <w:p w:rsidR="00E25CC6" w:rsidRPr="0041306D" w:rsidRDefault="00E25CC6" w:rsidP="00037568">
            <w:pPr>
              <w:pStyle w:val="TableofFigures"/>
              <w:rPr>
                <w:sz w:val="19"/>
              </w:rPr>
            </w:pPr>
            <w:r w:rsidRPr="0041306D">
              <w:rPr>
                <w:sz w:val="19"/>
              </w:rPr>
              <w:t>86.9</w:t>
            </w:r>
          </w:p>
        </w:tc>
        <w:tc>
          <w:tcPr>
            <w:tcW w:w="850" w:type="dxa"/>
            <w:shd w:val="clear" w:color="000000" w:fill="FFFFFF"/>
            <w:hideMark/>
          </w:tcPr>
          <w:p w:rsidR="00E25CC6" w:rsidRPr="0041306D" w:rsidRDefault="00E25CC6" w:rsidP="00037568">
            <w:pPr>
              <w:pStyle w:val="TableofFigures"/>
              <w:rPr>
                <w:sz w:val="19"/>
              </w:rPr>
            </w:pPr>
            <w:r w:rsidRPr="0041306D">
              <w:rPr>
                <w:sz w:val="19"/>
              </w:rPr>
              <w:t>97.6</w:t>
            </w:r>
          </w:p>
        </w:tc>
        <w:tc>
          <w:tcPr>
            <w:tcW w:w="850" w:type="dxa"/>
            <w:shd w:val="clear" w:color="000000" w:fill="FFFFFF"/>
            <w:hideMark/>
          </w:tcPr>
          <w:p w:rsidR="00E25CC6" w:rsidRPr="0041306D" w:rsidRDefault="00E25CC6" w:rsidP="004675CA">
            <w:pPr>
              <w:pStyle w:val="TableofFigures"/>
              <w:rPr>
                <w:sz w:val="19"/>
              </w:rPr>
            </w:pPr>
            <w:r w:rsidRPr="0041306D">
              <w:rPr>
                <w:sz w:val="19"/>
              </w:rPr>
              <w:t>5.6</w:t>
            </w:r>
          </w:p>
        </w:tc>
      </w:tr>
      <w:tr w:rsidR="00E25CC6" w:rsidRPr="0041306D" w:rsidTr="00037568">
        <w:trPr>
          <w:cantSplit/>
        </w:trPr>
        <w:tc>
          <w:tcPr>
            <w:tcW w:w="4365" w:type="dxa"/>
            <w:shd w:val="clear" w:color="000000" w:fill="FFFFFF"/>
            <w:hideMark/>
          </w:tcPr>
          <w:p w:rsidR="00E25CC6" w:rsidRPr="0041306D" w:rsidRDefault="00E25CC6" w:rsidP="00037568">
            <w:pPr>
              <w:pStyle w:val="Tabletext"/>
              <w:ind w:left="227" w:hanging="227"/>
              <w:rPr>
                <w:lang w:eastAsia="en-AU"/>
              </w:rPr>
            </w:pPr>
            <w:r w:rsidRPr="0041306D">
              <w:rPr>
                <w:lang w:eastAsia="en-AU"/>
              </w:rPr>
              <w:t xml:space="preserve">Parliamentary Investigatory Committees </w:t>
            </w:r>
            <w:r w:rsidRPr="0041306D">
              <w:rPr>
                <w:vertAlign w:val="superscript"/>
                <w:lang w:eastAsia="en-AU"/>
              </w:rPr>
              <w:t>(c)</w:t>
            </w:r>
          </w:p>
        </w:tc>
        <w:tc>
          <w:tcPr>
            <w:tcW w:w="850" w:type="dxa"/>
            <w:shd w:val="clear" w:color="000000" w:fill="FFFFFF"/>
            <w:hideMark/>
          </w:tcPr>
          <w:p w:rsidR="00E25CC6" w:rsidRPr="0041306D" w:rsidRDefault="00E25CC6" w:rsidP="00037568">
            <w:pPr>
              <w:pStyle w:val="TableofFigures"/>
              <w:rPr>
                <w:sz w:val="19"/>
              </w:rPr>
            </w:pPr>
            <w:r w:rsidRPr="0041306D">
              <w:rPr>
                <w:sz w:val="19"/>
              </w:rPr>
              <w:t>7.0</w:t>
            </w:r>
          </w:p>
        </w:tc>
        <w:tc>
          <w:tcPr>
            <w:tcW w:w="850" w:type="dxa"/>
            <w:shd w:val="clear" w:color="000000" w:fill="FFFFFF"/>
            <w:hideMark/>
          </w:tcPr>
          <w:p w:rsidR="00E25CC6" w:rsidRPr="0041306D" w:rsidRDefault="00E25CC6" w:rsidP="00037568">
            <w:pPr>
              <w:pStyle w:val="TableofFigures"/>
              <w:rPr>
                <w:sz w:val="19"/>
              </w:rPr>
            </w:pPr>
            <w:r w:rsidRPr="0041306D">
              <w:rPr>
                <w:sz w:val="19"/>
              </w:rPr>
              <w:t>7.2</w:t>
            </w:r>
          </w:p>
        </w:tc>
        <w:tc>
          <w:tcPr>
            <w:tcW w:w="850" w:type="dxa"/>
            <w:shd w:val="clear" w:color="000000" w:fill="FFFFFF"/>
            <w:hideMark/>
          </w:tcPr>
          <w:p w:rsidR="00E25CC6" w:rsidRPr="0041306D" w:rsidRDefault="00E25CC6" w:rsidP="00037568">
            <w:pPr>
              <w:pStyle w:val="TableofFigures"/>
              <w:rPr>
                <w:sz w:val="19"/>
              </w:rPr>
            </w:pPr>
            <w:r w:rsidRPr="0041306D">
              <w:rPr>
                <w:sz w:val="19"/>
              </w:rPr>
              <w:t>7.8</w:t>
            </w:r>
          </w:p>
        </w:tc>
        <w:tc>
          <w:tcPr>
            <w:tcW w:w="850" w:type="dxa"/>
            <w:shd w:val="clear" w:color="000000" w:fill="FFFFFF"/>
            <w:hideMark/>
          </w:tcPr>
          <w:p w:rsidR="00E25CC6" w:rsidRPr="0041306D" w:rsidRDefault="00E25CC6" w:rsidP="004675CA">
            <w:pPr>
              <w:pStyle w:val="TableofFigures"/>
              <w:rPr>
                <w:sz w:val="19"/>
              </w:rPr>
            </w:pPr>
            <w:r w:rsidRPr="0041306D">
              <w:rPr>
                <w:sz w:val="19"/>
              </w:rPr>
              <w:t>11.3</w:t>
            </w:r>
          </w:p>
        </w:tc>
      </w:tr>
      <w:tr w:rsidR="00E25CC6" w:rsidRPr="0041306D" w:rsidTr="00417AAE">
        <w:trPr>
          <w:cantSplit/>
        </w:trPr>
        <w:tc>
          <w:tcPr>
            <w:tcW w:w="4365" w:type="dxa"/>
            <w:shd w:val="clear" w:color="000000" w:fill="FFFFFF"/>
            <w:hideMark/>
          </w:tcPr>
          <w:p w:rsidR="00E25CC6" w:rsidRPr="0041306D" w:rsidRDefault="00E25CC6" w:rsidP="00037568">
            <w:pPr>
              <w:pStyle w:val="Tabletext"/>
              <w:ind w:left="227" w:hanging="227"/>
              <w:rPr>
                <w:lang w:eastAsia="en-AU"/>
              </w:rPr>
            </w:pPr>
            <w:r w:rsidRPr="0041306D">
              <w:rPr>
                <w:lang w:eastAsia="en-AU"/>
              </w:rPr>
              <w:t xml:space="preserve">Parliamentary Budget Office </w:t>
            </w:r>
            <w:r w:rsidRPr="0041306D">
              <w:rPr>
                <w:vertAlign w:val="superscript"/>
                <w:lang w:eastAsia="en-AU"/>
              </w:rPr>
              <w:t>(d)</w:t>
            </w:r>
          </w:p>
        </w:tc>
        <w:tc>
          <w:tcPr>
            <w:tcW w:w="850" w:type="dxa"/>
            <w:shd w:val="clear" w:color="000000" w:fill="FFFFFF"/>
            <w:hideMark/>
          </w:tcPr>
          <w:p w:rsidR="00E25CC6" w:rsidRPr="0041306D" w:rsidRDefault="00E25CC6" w:rsidP="00037568">
            <w:pPr>
              <w:pStyle w:val="TableofFigures"/>
              <w:rPr>
                <w:sz w:val="19"/>
              </w:rPr>
            </w:pPr>
            <w:r w:rsidRPr="0041306D">
              <w:rPr>
                <w:sz w:val="19"/>
              </w:rPr>
              <w:t>..</w:t>
            </w:r>
          </w:p>
        </w:tc>
        <w:tc>
          <w:tcPr>
            <w:tcW w:w="850" w:type="dxa"/>
            <w:shd w:val="clear" w:color="000000" w:fill="FFFFFF"/>
            <w:hideMark/>
          </w:tcPr>
          <w:p w:rsidR="00E25CC6" w:rsidRPr="0041306D" w:rsidRDefault="00E25CC6" w:rsidP="00037568">
            <w:pPr>
              <w:pStyle w:val="TableofFigures"/>
              <w:rPr>
                <w:sz w:val="19"/>
              </w:rPr>
            </w:pPr>
            <w:r w:rsidRPr="0041306D">
              <w:rPr>
                <w:sz w:val="19"/>
              </w:rPr>
              <w:t>..</w:t>
            </w:r>
          </w:p>
        </w:tc>
        <w:tc>
          <w:tcPr>
            <w:tcW w:w="850" w:type="dxa"/>
            <w:shd w:val="clear" w:color="000000" w:fill="FFFFFF"/>
            <w:hideMark/>
          </w:tcPr>
          <w:p w:rsidR="00E25CC6" w:rsidRPr="0041306D" w:rsidRDefault="00E25CC6" w:rsidP="00037568">
            <w:pPr>
              <w:pStyle w:val="TableofFigures"/>
              <w:rPr>
                <w:sz w:val="19"/>
              </w:rPr>
            </w:pPr>
            <w:r w:rsidRPr="0041306D">
              <w:rPr>
                <w:sz w:val="19"/>
              </w:rPr>
              <w:t>4.4</w:t>
            </w:r>
          </w:p>
        </w:tc>
        <w:tc>
          <w:tcPr>
            <w:tcW w:w="850" w:type="dxa"/>
            <w:shd w:val="clear" w:color="000000" w:fill="FFFFFF"/>
            <w:hideMark/>
          </w:tcPr>
          <w:p w:rsidR="00E25CC6" w:rsidRPr="0041306D" w:rsidRDefault="00E25CC6" w:rsidP="004675CA">
            <w:pPr>
              <w:pStyle w:val="TableofFigures"/>
              <w:rPr>
                <w:sz w:val="19"/>
              </w:rPr>
            </w:pPr>
            <w:r w:rsidRPr="0041306D">
              <w:rPr>
                <w:sz w:val="19"/>
              </w:rPr>
              <w:t>100</w:t>
            </w:r>
          </w:p>
        </w:tc>
      </w:tr>
      <w:tr w:rsidR="00E25CC6" w:rsidRPr="0041306D" w:rsidTr="00417AAE">
        <w:trPr>
          <w:cantSplit/>
        </w:trPr>
        <w:tc>
          <w:tcPr>
            <w:tcW w:w="4365" w:type="dxa"/>
            <w:tcBorders>
              <w:bottom w:val="single" w:sz="6" w:space="0" w:color="auto"/>
            </w:tcBorders>
            <w:shd w:val="clear" w:color="000000" w:fill="FFFFFF"/>
          </w:tcPr>
          <w:p w:rsidR="00E25CC6" w:rsidRPr="0041306D" w:rsidRDefault="00E25CC6" w:rsidP="00E825C4">
            <w:pPr>
              <w:pStyle w:val="Tabletext"/>
              <w:ind w:left="227" w:hanging="227"/>
              <w:rPr>
                <w:lang w:eastAsia="en-AU"/>
              </w:rPr>
            </w:pPr>
            <w:r w:rsidRPr="0041306D">
              <w:rPr>
                <w:lang w:eastAsia="en-AU"/>
              </w:rPr>
              <w:t>Victorian Auditor</w:t>
            </w:r>
            <w:r>
              <w:rPr>
                <w:lang w:eastAsia="en-AU"/>
              </w:rPr>
              <w:noBreakHyphen/>
            </w:r>
            <w:r w:rsidRPr="0041306D">
              <w:rPr>
                <w:lang w:eastAsia="en-AU"/>
              </w:rPr>
              <w:t>General</w:t>
            </w:r>
            <w:r>
              <w:rPr>
                <w:lang w:eastAsia="en-AU"/>
              </w:rPr>
              <w:t>’</w:t>
            </w:r>
            <w:r w:rsidRPr="0041306D">
              <w:rPr>
                <w:lang w:eastAsia="en-AU"/>
              </w:rPr>
              <w:t>s Office</w:t>
            </w:r>
          </w:p>
        </w:tc>
        <w:tc>
          <w:tcPr>
            <w:tcW w:w="850" w:type="dxa"/>
            <w:tcBorders>
              <w:bottom w:val="single" w:sz="6" w:space="0" w:color="auto"/>
            </w:tcBorders>
            <w:shd w:val="clear" w:color="000000" w:fill="FFFFFF"/>
          </w:tcPr>
          <w:p w:rsidR="00E25CC6" w:rsidRPr="0041306D" w:rsidRDefault="00E25CC6" w:rsidP="00AB64A8">
            <w:pPr>
              <w:pStyle w:val="TableofFigures"/>
              <w:rPr>
                <w:sz w:val="19"/>
              </w:rPr>
            </w:pPr>
            <w:r w:rsidRPr="0041306D">
              <w:rPr>
                <w:sz w:val="19"/>
              </w:rPr>
              <w:t>40.8</w:t>
            </w:r>
          </w:p>
        </w:tc>
        <w:tc>
          <w:tcPr>
            <w:tcW w:w="850" w:type="dxa"/>
            <w:tcBorders>
              <w:bottom w:val="single" w:sz="6" w:space="0" w:color="auto"/>
            </w:tcBorders>
            <w:shd w:val="clear" w:color="000000" w:fill="FFFFFF"/>
          </w:tcPr>
          <w:p w:rsidR="00E25CC6" w:rsidRPr="0041306D" w:rsidRDefault="00E25CC6" w:rsidP="00AB64A8">
            <w:pPr>
              <w:pStyle w:val="TableofFigures"/>
              <w:rPr>
                <w:sz w:val="19"/>
              </w:rPr>
            </w:pPr>
            <w:r w:rsidRPr="0041306D">
              <w:rPr>
                <w:sz w:val="19"/>
              </w:rPr>
              <w:t>40.6</w:t>
            </w:r>
          </w:p>
        </w:tc>
        <w:tc>
          <w:tcPr>
            <w:tcW w:w="850" w:type="dxa"/>
            <w:tcBorders>
              <w:bottom w:val="single" w:sz="6" w:space="0" w:color="auto"/>
            </w:tcBorders>
            <w:shd w:val="clear" w:color="000000" w:fill="FFFFFF"/>
          </w:tcPr>
          <w:p w:rsidR="00E25CC6" w:rsidRPr="0041306D" w:rsidRDefault="00E25CC6" w:rsidP="00AB64A8">
            <w:pPr>
              <w:pStyle w:val="TableofFigures"/>
              <w:rPr>
                <w:sz w:val="19"/>
              </w:rPr>
            </w:pPr>
            <w:r w:rsidRPr="0041306D">
              <w:rPr>
                <w:sz w:val="19"/>
              </w:rPr>
              <w:t>42.5</w:t>
            </w:r>
          </w:p>
        </w:tc>
        <w:tc>
          <w:tcPr>
            <w:tcW w:w="850" w:type="dxa"/>
            <w:tcBorders>
              <w:bottom w:val="single" w:sz="6" w:space="0" w:color="auto"/>
            </w:tcBorders>
            <w:shd w:val="clear" w:color="000000" w:fill="FFFFFF"/>
          </w:tcPr>
          <w:p w:rsidR="00E25CC6" w:rsidRPr="0041306D" w:rsidRDefault="00E25CC6" w:rsidP="00417AAE">
            <w:pPr>
              <w:pStyle w:val="TableofFigures"/>
              <w:tabs>
                <w:tab w:val="center" w:pos="382"/>
                <w:tab w:val="right" w:pos="764"/>
              </w:tabs>
              <w:rPr>
                <w:sz w:val="19"/>
              </w:rPr>
            </w:pPr>
            <w:r w:rsidRPr="0041306D">
              <w:rPr>
                <w:sz w:val="19"/>
              </w:rPr>
              <w:t>4.2</w:t>
            </w:r>
          </w:p>
        </w:tc>
      </w:tr>
      <w:tr w:rsidR="00E25CC6" w:rsidRPr="0041306D" w:rsidTr="00037568">
        <w:trPr>
          <w:cantSplit/>
        </w:trPr>
        <w:tc>
          <w:tcPr>
            <w:tcW w:w="4365" w:type="dxa"/>
            <w:tcBorders>
              <w:top w:val="single" w:sz="6" w:space="0" w:color="auto"/>
              <w:left w:val="nil"/>
              <w:bottom w:val="single" w:sz="12" w:space="0" w:color="auto"/>
              <w:right w:val="nil"/>
            </w:tcBorders>
            <w:shd w:val="clear" w:color="auto" w:fill="FFFFFF"/>
            <w:hideMark/>
          </w:tcPr>
          <w:p w:rsidR="00E25CC6" w:rsidRPr="0041306D" w:rsidRDefault="00E25CC6" w:rsidP="00037568">
            <w:pPr>
              <w:pStyle w:val="Tabletext"/>
              <w:ind w:left="227" w:hanging="227"/>
              <w:rPr>
                <w:b/>
                <w:bCs/>
                <w:lang w:eastAsia="en-AU"/>
              </w:rPr>
            </w:pPr>
            <w:r w:rsidRPr="0041306D">
              <w:rPr>
                <w:b/>
                <w:bCs/>
                <w:lang w:eastAsia="en-AU"/>
              </w:rPr>
              <w:t>Total</w:t>
            </w:r>
          </w:p>
        </w:tc>
        <w:tc>
          <w:tcPr>
            <w:tcW w:w="850" w:type="dxa"/>
            <w:tcBorders>
              <w:top w:val="single" w:sz="6" w:space="0" w:color="auto"/>
              <w:left w:val="nil"/>
              <w:bottom w:val="single" w:sz="12" w:space="0" w:color="auto"/>
              <w:right w:val="nil"/>
            </w:tcBorders>
            <w:shd w:val="clear" w:color="auto" w:fill="FFFFFF"/>
            <w:hideMark/>
          </w:tcPr>
          <w:p w:rsidR="00E25CC6" w:rsidRPr="0041306D" w:rsidRDefault="00E25CC6" w:rsidP="00037568">
            <w:pPr>
              <w:pStyle w:val="TableofFigures"/>
              <w:rPr>
                <w:b/>
                <w:bCs/>
                <w:sz w:val="19"/>
                <w:szCs w:val="22"/>
                <w:lang w:eastAsia="en-AU"/>
              </w:rPr>
            </w:pPr>
            <w:r>
              <w:rPr>
                <w:b/>
                <w:sz w:val="19"/>
              </w:rPr>
              <w:t>186.7</w:t>
            </w:r>
          </w:p>
        </w:tc>
        <w:tc>
          <w:tcPr>
            <w:tcW w:w="850" w:type="dxa"/>
            <w:tcBorders>
              <w:top w:val="single" w:sz="6" w:space="0" w:color="auto"/>
              <w:left w:val="nil"/>
              <w:bottom w:val="single" w:sz="12" w:space="0" w:color="auto"/>
              <w:right w:val="nil"/>
            </w:tcBorders>
            <w:shd w:val="clear" w:color="auto" w:fill="FFFFFF"/>
            <w:hideMark/>
          </w:tcPr>
          <w:p w:rsidR="00E25CC6" w:rsidRPr="0041306D" w:rsidRDefault="00E25CC6" w:rsidP="00037568">
            <w:pPr>
              <w:pStyle w:val="TableofFigures"/>
              <w:rPr>
                <w:b/>
                <w:bCs/>
                <w:sz w:val="19"/>
                <w:szCs w:val="22"/>
                <w:lang w:eastAsia="en-AU"/>
              </w:rPr>
            </w:pPr>
            <w:r>
              <w:rPr>
                <w:b/>
                <w:bCs/>
                <w:sz w:val="19"/>
                <w:szCs w:val="22"/>
                <w:lang w:eastAsia="en-AU"/>
              </w:rPr>
              <w:t>181.9</w:t>
            </w:r>
          </w:p>
        </w:tc>
        <w:tc>
          <w:tcPr>
            <w:tcW w:w="850" w:type="dxa"/>
            <w:tcBorders>
              <w:top w:val="single" w:sz="6" w:space="0" w:color="auto"/>
              <w:left w:val="nil"/>
              <w:bottom w:val="single" w:sz="12" w:space="0" w:color="auto"/>
              <w:right w:val="nil"/>
            </w:tcBorders>
            <w:shd w:val="clear" w:color="auto" w:fill="FFFFFF"/>
            <w:hideMark/>
          </w:tcPr>
          <w:p w:rsidR="00E25CC6" w:rsidRPr="0041306D" w:rsidRDefault="00E25CC6" w:rsidP="00037568">
            <w:pPr>
              <w:pStyle w:val="TableofFigures"/>
              <w:rPr>
                <w:b/>
                <w:bCs/>
                <w:sz w:val="19"/>
                <w:szCs w:val="22"/>
                <w:lang w:eastAsia="en-AU"/>
              </w:rPr>
            </w:pPr>
            <w:r>
              <w:rPr>
                <w:b/>
                <w:bCs/>
                <w:sz w:val="19"/>
                <w:szCs w:val="22"/>
                <w:lang w:eastAsia="en-AU"/>
              </w:rPr>
              <w:t>200.3</w:t>
            </w:r>
          </w:p>
        </w:tc>
        <w:tc>
          <w:tcPr>
            <w:tcW w:w="850" w:type="dxa"/>
            <w:tcBorders>
              <w:top w:val="single" w:sz="6" w:space="0" w:color="auto"/>
              <w:left w:val="nil"/>
              <w:bottom w:val="single" w:sz="12" w:space="0" w:color="auto"/>
              <w:right w:val="nil"/>
            </w:tcBorders>
            <w:shd w:val="clear" w:color="auto" w:fill="FFFFFF"/>
          </w:tcPr>
          <w:p w:rsidR="00E25CC6" w:rsidRPr="0041306D" w:rsidRDefault="00E25CC6" w:rsidP="00037568">
            <w:pPr>
              <w:pStyle w:val="TableofFigures"/>
              <w:rPr>
                <w:b/>
                <w:bCs/>
                <w:sz w:val="19"/>
                <w:szCs w:val="22"/>
                <w:lang w:eastAsia="en-AU"/>
              </w:rPr>
            </w:pPr>
            <w:r>
              <w:rPr>
                <w:b/>
                <w:bCs/>
                <w:sz w:val="19"/>
                <w:szCs w:val="22"/>
                <w:lang w:eastAsia="en-AU"/>
              </w:rPr>
              <w:t>7.3</w:t>
            </w:r>
          </w:p>
        </w:tc>
      </w:tr>
    </w:tbl>
    <w:p w:rsidR="00E25CC6" w:rsidRPr="002B4B00" w:rsidRDefault="00E25CC6" w:rsidP="005A3869">
      <w:pPr>
        <w:pStyle w:val="Source"/>
        <w:rPr>
          <w:rFonts w:eastAsiaTheme="minorHAnsi"/>
          <w:i w:val="0"/>
        </w:rPr>
      </w:pPr>
      <w:r>
        <w:rPr>
          <w:rFonts w:eastAsiaTheme="minorHAnsi"/>
        </w:rPr>
        <w:t>Source: Parliament of Victoria and Victorian Auditor</w:t>
      </w:r>
      <w:r>
        <w:rPr>
          <w:rFonts w:eastAsiaTheme="minorHAnsi"/>
        </w:rPr>
        <w:noBreakHyphen/>
        <w:t xml:space="preserve">General’s Office </w:t>
      </w:r>
      <w:r>
        <w:rPr>
          <w:rFonts w:eastAsiaTheme="minorHAnsi"/>
        </w:rPr>
        <w:fldChar w:fldCharType="begin"/>
      </w:r>
      <w:r>
        <w:instrText xml:space="preserve"> XE "</w:instrText>
      </w:r>
      <w:r w:rsidRPr="004C0AA2">
        <w:instrText>Parliament:Output summary</w:instrText>
      </w:r>
      <w:r>
        <w:instrText xml:space="preserve">" </w:instrText>
      </w:r>
      <w:r>
        <w:rPr>
          <w:rFonts w:eastAsiaTheme="minorHAnsi"/>
        </w:rPr>
        <w:fldChar w:fldCharType="end"/>
      </w:r>
    </w:p>
    <w:p w:rsidR="00E25CC6" w:rsidRPr="00037568" w:rsidRDefault="00E25CC6" w:rsidP="00037568">
      <w:pPr>
        <w:pStyle w:val="Notes"/>
        <w:rPr>
          <w:rFonts w:eastAsiaTheme="minorHAnsi"/>
        </w:rPr>
      </w:pPr>
      <w:r>
        <w:rPr>
          <w:rFonts w:eastAsiaTheme="minorHAnsi"/>
        </w:rPr>
        <w:t>Notes:</w:t>
      </w:r>
    </w:p>
    <w:p w:rsidR="00E25CC6" w:rsidRPr="00037568" w:rsidRDefault="00E25CC6" w:rsidP="00037568">
      <w:pPr>
        <w:pStyle w:val="Notes"/>
        <w:rPr>
          <w:rFonts w:eastAsiaTheme="minorHAnsi"/>
        </w:rPr>
      </w:pPr>
      <w:r w:rsidRPr="00037568">
        <w:rPr>
          <w:rFonts w:eastAsiaTheme="minorHAnsi"/>
        </w:rPr>
        <w:t>(a)</w:t>
      </w:r>
      <w:r w:rsidRPr="00037568">
        <w:rPr>
          <w:rFonts w:eastAsiaTheme="minorHAnsi"/>
        </w:rPr>
        <w:tab/>
        <w:t xml:space="preserve">The total output cost for Legislative </w:t>
      </w:r>
      <w:r w:rsidRPr="002B20F5">
        <w:rPr>
          <w:rFonts w:eastAsiaTheme="minorHAnsi"/>
        </w:rPr>
        <w:t>Council for 2016</w:t>
      </w:r>
      <w:r w:rsidRPr="002B20F5">
        <w:rPr>
          <w:rFonts w:eastAsiaTheme="minorHAnsi"/>
        </w:rPr>
        <w:noBreakHyphen/>
        <w:t>17 budget is higher than 2015</w:t>
      </w:r>
      <w:r w:rsidRPr="002B20F5">
        <w:rPr>
          <w:rFonts w:eastAsiaTheme="minorHAnsi"/>
        </w:rPr>
        <w:noBreakHyphen/>
        <w:t>16 budget. This is due</w:t>
      </w:r>
      <w:r w:rsidRPr="00037568">
        <w:rPr>
          <w:rFonts w:eastAsiaTheme="minorHAnsi"/>
        </w:rPr>
        <w:t xml:space="preserve"> to additional funding for Legislative Council Committees.</w:t>
      </w:r>
    </w:p>
    <w:p w:rsidR="00E25CC6" w:rsidRPr="00571079" w:rsidRDefault="00E25CC6" w:rsidP="00037568">
      <w:pPr>
        <w:pStyle w:val="Notes"/>
        <w:rPr>
          <w:rFonts w:eastAsiaTheme="minorHAnsi"/>
        </w:rPr>
      </w:pPr>
      <w:r w:rsidRPr="00571079">
        <w:rPr>
          <w:rFonts w:eastAsiaTheme="minorHAnsi"/>
        </w:rPr>
        <w:t>(b)</w:t>
      </w:r>
      <w:r w:rsidRPr="00571079">
        <w:rPr>
          <w:rFonts w:eastAsiaTheme="minorHAnsi"/>
        </w:rPr>
        <w:tab/>
      </w:r>
      <w:r w:rsidRPr="00942592">
        <w:rPr>
          <w:rFonts w:eastAsiaTheme="minorHAnsi"/>
        </w:rPr>
        <w:t>The total output cost for Parliamentary Services for 2016</w:t>
      </w:r>
      <w:r w:rsidRPr="00942592">
        <w:rPr>
          <w:rFonts w:eastAsiaTheme="minorHAnsi"/>
        </w:rPr>
        <w:noBreakHyphen/>
        <w:t>17 budget is higher than 2015</w:t>
      </w:r>
      <w:r w:rsidRPr="00942592">
        <w:rPr>
          <w:rFonts w:eastAsiaTheme="minorHAnsi"/>
        </w:rPr>
        <w:noBreakHyphen/>
        <w:t>16 budget. This is due to an estimated carryover of members</w:t>
      </w:r>
      <w:r>
        <w:rPr>
          <w:rFonts w:eastAsiaTheme="minorHAnsi"/>
        </w:rPr>
        <w:t>’</w:t>
      </w:r>
      <w:r w:rsidRPr="00942592">
        <w:rPr>
          <w:rFonts w:eastAsiaTheme="minorHAnsi"/>
        </w:rPr>
        <w:t xml:space="preserve"> budget, additional funding for increased staff at electorate offices to improve staff leave management and for Members</w:t>
      </w:r>
      <w:r>
        <w:rPr>
          <w:rFonts w:eastAsiaTheme="minorHAnsi"/>
        </w:rPr>
        <w:t>’</w:t>
      </w:r>
      <w:r w:rsidRPr="00942592">
        <w:rPr>
          <w:rFonts w:eastAsiaTheme="minorHAnsi"/>
        </w:rPr>
        <w:t xml:space="preserve"> electorate office and communication budget due to an increase in state voter count.</w:t>
      </w:r>
    </w:p>
    <w:p w:rsidR="00E25CC6" w:rsidRPr="00037568" w:rsidRDefault="00E25CC6" w:rsidP="00037568">
      <w:pPr>
        <w:pStyle w:val="Notes"/>
        <w:rPr>
          <w:rFonts w:eastAsiaTheme="minorHAnsi"/>
        </w:rPr>
      </w:pPr>
      <w:r w:rsidRPr="00571079">
        <w:rPr>
          <w:rFonts w:eastAsiaTheme="minorHAnsi"/>
        </w:rPr>
        <w:t>(c)</w:t>
      </w:r>
      <w:r w:rsidRPr="00571079">
        <w:rPr>
          <w:rFonts w:eastAsiaTheme="minorHAnsi"/>
        </w:rPr>
        <w:tab/>
        <w:t>The total output cost</w:t>
      </w:r>
      <w:r w:rsidRPr="00037568">
        <w:rPr>
          <w:rFonts w:eastAsiaTheme="minorHAnsi"/>
        </w:rPr>
        <w:t xml:space="preserve"> for Parliamentary Investigatory </w:t>
      </w:r>
      <w:r w:rsidRPr="002B20F5">
        <w:rPr>
          <w:rFonts w:eastAsiaTheme="minorHAnsi"/>
        </w:rPr>
        <w:t>Committees for 2016</w:t>
      </w:r>
      <w:r w:rsidRPr="002B20F5">
        <w:rPr>
          <w:rFonts w:eastAsiaTheme="minorHAnsi"/>
        </w:rPr>
        <w:noBreakHyphen/>
        <w:t>17 budget is higher than 2015</w:t>
      </w:r>
      <w:r w:rsidRPr="002B20F5">
        <w:rPr>
          <w:rFonts w:eastAsiaTheme="minorHAnsi"/>
        </w:rPr>
        <w:noBreakHyphen/>
        <w:t>16 budget.</w:t>
      </w:r>
      <w:r w:rsidRPr="00037568">
        <w:rPr>
          <w:rFonts w:eastAsiaTheme="minorHAnsi"/>
        </w:rPr>
        <w:t xml:space="preserve"> This is due to additional funding to conduct the performance audit of Victorian Auditor</w:t>
      </w:r>
      <w:r>
        <w:rPr>
          <w:rFonts w:eastAsiaTheme="minorHAnsi"/>
        </w:rPr>
        <w:noBreakHyphen/>
      </w:r>
      <w:r w:rsidRPr="00037568">
        <w:rPr>
          <w:rFonts w:eastAsiaTheme="minorHAnsi"/>
        </w:rPr>
        <w:t>General</w:t>
      </w:r>
      <w:r>
        <w:rPr>
          <w:rFonts w:eastAsiaTheme="minorHAnsi"/>
        </w:rPr>
        <w:t>’</w:t>
      </w:r>
      <w:r w:rsidRPr="00037568">
        <w:rPr>
          <w:rFonts w:eastAsiaTheme="minorHAnsi"/>
        </w:rPr>
        <w:t>s Office in 2016</w:t>
      </w:r>
      <w:r>
        <w:rPr>
          <w:rFonts w:eastAsiaTheme="minorHAnsi"/>
        </w:rPr>
        <w:noBreakHyphen/>
      </w:r>
      <w:r w:rsidRPr="00037568">
        <w:rPr>
          <w:rFonts w:eastAsiaTheme="minorHAnsi"/>
        </w:rPr>
        <w:t>17.</w:t>
      </w:r>
    </w:p>
    <w:p w:rsidR="00E25CC6" w:rsidRDefault="00E25CC6" w:rsidP="00F74E24">
      <w:pPr>
        <w:pStyle w:val="Notes"/>
        <w:rPr>
          <w:rFonts w:eastAsiaTheme="minorHAnsi"/>
        </w:rPr>
      </w:pPr>
      <w:r w:rsidRPr="00037568">
        <w:rPr>
          <w:rFonts w:eastAsiaTheme="minorHAnsi"/>
        </w:rPr>
        <w:t>(d)</w:t>
      </w:r>
      <w:r w:rsidRPr="00037568">
        <w:rPr>
          <w:rFonts w:eastAsiaTheme="minorHAnsi"/>
        </w:rPr>
        <w:tab/>
        <w:t xml:space="preserve">Parliamentary Budget Office is a new </w:t>
      </w:r>
      <w:r>
        <w:rPr>
          <w:rFonts w:eastAsiaTheme="minorHAnsi"/>
        </w:rPr>
        <w:t>output</w:t>
      </w:r>
      <w:r w:rsidRPr="00037568">
        <w:rPr>
          <w:rFonts w:eastAsiaTheme="minorHAnsi"/>
        </w:rPr>
        <w:t xml:space="preserve"> in 2016</w:t>
      </w:r>
      <w:r>
        <w:rPr>
          <w:rFonts w:eastAsiaTheme="minorHAnsi"/>
        </w:rPr>
        <w:noBreakHyphen/>
      </w:r>
      <w:r w:rsidRPr="00037568">
        <w:rPr>
          <w:rFonts w:eastAsiaTheme="minorHAnsi"/>
        </w:rPr>
        <w:t>17.</w:t>
      </w: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AD40DC">
      <w:pPr>
        <w:pStyle w:val="Heading2"/>
        <w:rPr>
          <w:rFonts w:eastAsiaTheme="minorHAnsi"/>
        </w:rPr>
      </w:pPr>
      <w:r>
        <w:rPr>
          <w:rFonts w:eastAsiaTheme="minorHAnsi"/>
        </w:rPr>
        <w:t>Amounts available</w:t>
      </w:r>
    </w:p>
    <w:p w:rsidR="00E25CC6" w:rsidRDefault="00E25CC6" w:rsidP="00E35B7E">
      <w:pPr>
        <w:rPr>
          <w:rFonts w:eastAsiaTheme="minorHAnsi"/>
        </w:rPr>
      </w:pPr>
      <w:r>
        <w:rPr>
          <w:rFonts w:eastAsiaTheme="minorHAnsi"/>
        </w:rPr>
        <w:t>The following tables detail the amounts available to the Department from Parliamentary authority and income generated through transactions.</w:t>
      </w:r>
    </w:p>
    <w:p w:rsidR="00E25CC6" w:rsidRDefault="00E25CC6" w:rsidP="00E35B7E">
      <w:pPr>
        <w:rPr>
          <w:rFonts w:eastAsiaTheme="minorHAnsi"/>
        </w:rPr>
      </w:pPr>
      <w:r>
        <w:rPr>
          <w:rFonts w:eastAsiaTheme="minorHAnsi"/>
        </w:rPr>
        <w:t>Table 2.24 outlines the Department’s income from transactions and 2.25 summarises the sources of Parliamentary authority available to the Department to fund the provision of outputs, additions to the net asset base and payments made on behalf of the State.</w:t>
      </w:r>
    </w:p>
    <w:p w:rsidR="00E25CC6" w:rsidRDefault="00E25CC6" w:rsidP="007044B6">
      <w:pPr>
        <w:pStyle w:val="Source"/>
        <w:rPr>
          <w:rFonts w:eastAsiaTheme="minorHAnsi"/>
        </w:rPr>
      </w:pPr>
    </w:p>
    <w:p w:rsidR="00E25CC6" w:rsidRDefault="00E25CC6" w:rsidP="00AD40DC">
      <w:pPr>
        <w:pStyle w:val="Tableheading"/>
        <w:rPr>
          <w:rFonts w:eastAsiaTheme="minorHAnsi"/>
        </w:rPr>
      </w:pPr>
      <w:r>
        <w:rPr>
          <w:rFonts w:eastAsiaTheme="minorHAnsi"/>
        </w:rPr>
        <w:t>Table 2.24:</w:t>
      </w:r>
      <w:r>
        <w:rPr>
          <w:rFonts w:eastAsiaTheme="minorHAnsi"/>
        </w:rPr>
        <w:tab/>
        <w:t>Income from transactions</w:t>
      </w:r>
    </w:p>
    <w:p w:rsidR="00E25CC6" w:rsidRPr="00AE36D3" w:rsidRDefault="00E25CC6" w:rsidP="00AE36D3">
      <w:pPr>
        <w:pStyle w:val="million"/>
        <w:rPr>
          <w:rFonts w:ascii="Garamond" w:eastAsiaTheme="minorHAnsi" w:hAnsi="Garamond"/>
          <w:b/>
          <w:bCs/>
          <w:sz w:val="22"/>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AE36D3" w:rsidTr="00AE36D3">
        <w:tc>
          <w:tcPr>
            <w:tcW w:w="4365" w:type="dxa"/>
            <w:tcBorders>
              <w:top w:val="nil"/>
              <w:left w:val="nil"/>
              <w:bottom w:val="nil"/>
              <w:right w:val="nil"/>
            </w:tcBorders>
            <w:shd w:val="solid" w:color="000000" w:fill="auto"/>
          </w:tcPr>
          <w:p w:rsidR="00E25CC6" w:rsidRPr="00AE36D3" w:rsidRDefault="00E25CC6" w:rsidP="00AE36D3">
            <w:pPr>
              <w:autoSpaceDE w:val="0"/>
              <w:autoSpaceDN w:val="0"/>
              <w:adjustRightInd w:val="0"/>
              <w:spacing w:after="0"/>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2016-17</w:t>
            </w:r>
          </w:p>
        </w:tc>
      </w:tr>
      <w:tr w:rsidR="00E25CC6" w:rsidRPr="00AE36D3" w:rsidTr="00AE36D3">
        <w:tc>
          <w:tcPr>
            <w:tcW w:w="4365" w:type="dxa"/>
            <w:tcBorders>
              <w:top w:val="nil"/>
              <w:left w:val="nil"/>
              <w:right w:val="nil"/>
            </w:tcBorders>
            <w:shd w:val="solid" w:color="000000" w:fill="auto"/>
          </w:tcPr>
          <w:p w:rsidR="00E25CC6" w:rsidRPr="00AE36D3" w:rsidRDefault="00E25CC6" w:rsidP="00AE36D3">
            <w:pPr>
              <w:autoSpaceDE w:val="0"/>
              <w:autoSpaceDN w:val="0"/>
              <w:adjustRightInd w:val="0"/>
              <w:spacing w:after="0"/>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AE36D3" w:rsidRDefault="00E25CC6" w:rsidP="00AE36D3">
            <w:pPr>
              <w:autoSpaceDE w:val="0"/>
              <w:autoSpaceDN w:val="0"/>
              <w:adjustRightInd w:val="0"/>
              <w:spacing w:after="0"/>
              <w:jc w:val="right"/>
              <w:rPr>
                <w:rFonts w:ascii="Calibri" w:eastAsiaTheme="minorEastAsia" w:hAnsi="Calibri" w:cs="Calibri"/>
                <w:i/>
                <w:iCs/>
                <w:color w:val="FFFFFF"/>
                <w:sz w:val="19"/>
                <w:szCs w:val="19"/>
                <w:lang w:eastAsia="en-AU"/>
              </w:rPr>
            </w:pPr>
            <w:r w:rsidRPr="00AE36D3">
              <w:rPr>
                <w:rFonts w:ascii="Calibri" w:eastAsiaTheme="minorEastAsia" w:hAnsi="Calibri" w:cs="Calibri"/>
                <w:i/>
                <w:iCs/>
                <w:color w:val="FFFFFF"/>
                <w:sz w:val="19"/>
                <w:szCs w:val="19"/>
                <w:lang w:eastAsia="en-AU"/>
              </w:rPr>
              <w:t>budget</w:t>
            </w:r>
          </w:p>
        </w:tc>
      </w:tr>
      <w:tr w:rsidR="00E25CC6" w:rsidRPr="00AE36D3" w:rsidTr="00AE36D3">
        <w:tc>
          <w:tcPr>
            <w:tcW w:w="4365" w:type="dxa"/>
            <w:tcBorders>
              <w:top w:val="nil"/>
              <w:left w:val="nil"/>
              <w:right w:val="nil"/>
            </w:tcBorders>
            <w:shd w:val="clear" w:color="auto" w:fill="FFFFFF"/>
          </w:tcPr>
          <w:p w:rsidR="00E25CC6" w:rsidRPr="00AE36D3" w:rsidRDefault="00E25CC6" w:rsidP="00AE36D3">
            <w:pPr>
              <w:autoSpaceDE w:val="0"/>
              <w:autoSpaceDN w:val="0"/>
              <w:adjustRightInd w:val="0"/>
              <w:spacing w:after="0"/>
              <w:ind w:left="227" w:hanging="227"/>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140.3</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146.7</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142.0</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159.9</w:t>
            </w:r>
          </w:p>
        </w:tc>
      </w:tr>
      <w:tr w:rsidR="00E25CC6" w:rsidRPr="00AE36D3" w:rsidTr="00AE36D3">
        <w:tc>
          <w:tcPr>
            <w:tcW w:w="4365" w:type="dxa"/>
            <w:tcBorders>
              <w:top w:val="nil"/>
              <w:left w:val="nil"/>
              <w:right w:val="nil"/>
            </w:tcBorders>
            <w:shd w:val="clear" w:color="auto" w:fill="FFFFFF"/>
          </w:tcPr>
          <w:p w:rsidR="00E25CC6" w:rsidRPr="00AE36D3" w:rsidRDefault="00E25CC6" w:rsidP="00AE36D3">
            <w:pPr>
              <w:autoSpaceDE w:val="0"/>
              <w:autoSpaceDN w:val="0"/>
              <w:adjustRightInd w:val="0"/>
              <w:spacing w:after="0"/>
              <w:ind w:left="227" w:hanging="227"/>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28.7</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39.3</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39.3</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40.0</w:t>
            </w:r>
          </w:p>
        </w:tc>
      </w:tr>
      <w:tr w:rsidR="00E25CC6" w:rsidRPr="00AE36D3" w:rsidTr="00AE36D3">
        <w:tc>
          <w:tcPr>
            <w:tcW w:w="4365" w:type="dxa"/>
            <w:tcBorders>
              <w:top w:val="nil"/>
              <w:left w:val="nil"/>
              <w:right w:val="nil"/>
            </w:tcBorders>
            <w:shd w:val="clear" w:color="auto" w:fill="FFFFFF"/>
          </w:tcPr>
          <w:p w:rsidR="00E25CC6" w:rsidRPr="00AE36D3" w:rsidRDefault="00E25CC6" w:rsidP="00AE36D3">
            <w:pPr>
              <w:autoSpaceDE w:val="0"/>
              <w:autoSpaceDN w:val="0"/>
              <w:adjustRightInd w:val="0"/>
              <w:spacing w:after="0"/>
              <w:ind w:left="227" w:hanging="227"/>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Sale of goods and services</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1.4</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w:t>
            </w:r>
          </w:p>
        </w:tc>
      </w:tr>
      <w:tr w:rsidR="00E25CC6" w:rsidRPr="00AE36D3" w:rsidTr="00AE36D3">
        <w:tc>
          <w:tcPr>
            <w:tcW w:w="4365" w:type="dxa"/>
            <w:tcBorders>
              <w:top w:val="nil"/>
              <w:left w:val="nil"/>
              <w:right w:val="nil"/>
            </w:tcBorders>
            <w:shd w:val="clear" w:color="auto" w:fill="FFFFFF"/>
          </w:tcPr>
          <w:p w:rsidR="00E25CC6" w:rsidRPr="00AE36D3" w:rsidRDefault="00E25CC6" w:rsidP="00AE36D3">
            <w:pPr>
              <w:autoSpaceDE w:val="0"/>
              <w:autoSpaceDN w:val="0"/>
              <w:adjustRightInd w:val="0"/>
              <w:spacing w:after="0"/>
              <w:ind w:left="227" w:hanging="227"/>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Grants</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0.0</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w:t>
            </w:r>
          </w:p>
        </w:tc>
        <w:tc>
          <w:tcPr>
            <w:tcW w:w="850" w:type="dxa"/>
            <w:tcBorders>
              <w:top w:val="nil"/>
              <w:left w:val="nil"/>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w:t>
            </w:r>
          </w:p>
        </w:tc>
      </w:tr>
      <w:tr w:rsidR="00E25CC6" w:rsidRPr="00AE36D3" w:rsidTr="00AE36D3">
        <w:tc>
          <w:tcPr>
            <w:tcW w:w="4365" w:type="dxa"/>
            <w:tcBorders>
              <w:top w:val="nil"/>
              <w:left w:val="nil"/>
              <w:bottom w:val="single" w:sz="6" w:space="0" w:color="auto"/>
              <w:right w:val="nil"/>
            </w:tcBorders>
            <w:shd w:val="clear" w:color="auto" w:fill="FFFFFF"/>
          </w:tcPr>
          <w:p w:rsidR="00E25CC6" w:rsidRPr="00AE36D3" w:rsidRDefault="00E25CC6" w:rsidP="00AE36D3">
            <w:pPr>
              <w:autoSpaceDE w:val="0"/>
              <w:autoSpaceDN w:val="0"/>
              <w:adjustRightInd w:val="0"/>
              <w:spacing w:after="0"/>
              <w:ind w:left="227" w:hanging="227"/>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Fair value of assets and services received free of charge or for nominal consideration</w:t>
            </w:r>
          </w:p>
        </w:tc>
        <w:tc>
          <w:tcPr>
            <w:tcW w:w="850" w:type="dxa"/>
            <w:tcBorders>
              <w:top w:val="nil"/>
              <w:left w:val="nil"/>
              <w:bottom w:val="single" w:sz="6"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0.0</w:t>
            </w:r>
          </w:p>
        </w:tc>
        <w:tc>
          <w:tcPr>
            <w:tcW w:w="850" w:type="dxa"/>
            <w:tcBorders>
              <w:top w:val="nil"/>
              <w:left w:val="nil"/>
              <w:bottom w:val="single" w:sz="6"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w:t>
            </w:r>
          </w:p>
        </w:tc>
        <w:tc>
          <w:tcPr>
            <w:tcW w:w="850" w:type="dxa"/>
            <w:tcBorders>
              <w:top w:val="nil"/>
              <w:left w:val="nil"/>
              <w:bottom w:val="single" w:sz="6"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color w:val="000000"/>
                <w:sz w:val="19"/>
                <w:szCs w:val="19"/>
                <w:lang w:eastAsia="en-AU"/>
              </w:rPr>
            </w:pPr>
            <w:r w:rsidRPr="00AE36D3">
              <w:rPr>
                <w:rFonts w:ascii="Calibri" w:eastAsiaTheme="minorEastAsia" w:hAnsi="Calibri" w:cs="Calibri"/>
                <w:color w:val="000000"/>
                <w:sz w:val="19"/>
                <w:szCs w:val="19"/>
                <w:lang w:eastAsia="en-AU"/>
              </w:rPr>
              <w:t xml:space="preserve"> ..</w:t>
            </w:r>
          </w:p>
        </w:tc>
      </w:tr>
      <w:tr w:rsidR="00E25CC6" w:rsidRPr="00AE36D3" w:rsidTr="00AE36D3">
        <w:tc>
          <w:tcPr>
            <w:tcW w:w="4365" w:type="dxa"/>
            <w:tcBorders>
              <w:top w:val="single" w:sz="6" w:space="0" w:color="auto"/>
              <w:left w:val="nil"/>
              <w:bottom w:val="single" w:sz="12" w:space="0" w:color="auto"/>
              <w:right w:val="nil"/>
            </w:tcBorders>
            <w:shd w:val="clear" w:color="auto" w:fill="FFFFFF"/>
          </w:tcPr>
          <w:p w:rsidR="00E25CC6" w:rsidRPr="00AE36D3" w:rsidRDefault="00E25CC6" w:rsidP="00AE36D3">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AE36D3">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b/>
                <w:bCs/>
                <w:color w:val="000000"/>
                <w:sz w:val="19"/>
                <w:szCs w:val="19"/>
                <w:lang w:eastAsia="en-AU"/>
              </w:rPr>
            </w:pPr>
            <w:r w:rsidRPr="00AE36D3">
              <w:rPr>
                <w:rFonts w:ascii="Calibri" w:eastAsiaTheme="minorEastAsia" w:hAnsi="Calibri" w:cs="Calibri"/>
                <w:b/>
                <w:bCs/>
                <w:color w:val="000000"/>
                <w:sz w:val="19"/>
                <w:szCs w:val="19"/>
                <w:lang w:eastAsia="en-AU"/>
              </w:rPr>
              <w:t xml:space="preserve"> 170.6</w:t>
            </w:r>
          </w:p>
        </w:tc>
        <w:tc>
          <w:tcPr>
            <w:tcW w:w="850" w:type="dxa"/>
            <w:tcBorders>
              <w:top w:val="single" w:sz="6" w:space="0" w:color="auto"/>
              <w:left w:val="nil"/>
              <w:bottom w:val="single" w:sz="12"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b/>
                <w:bCs/>
                <w:color w:val="000000"/>
                <w:sz w:val="19"/>
                <w:szCs w:val="19"/>
                <w:lang w:eastAsia="en-AU"/>
              </w:rPr>
            </w:pPr>
            <w:r w:rsidRPr="00AE36D3">
              <w:rPr>
                <w:rFonts w:ascii="Calibri" w:eastAsiaTheme="minorEastAsia" w:hAnsi="Calibri" w:cs="Calibri"/>
                <w:b/>
                <w:bCs/>
                <w:color w:val="000000"/>
                <w:sz w:val="19"/>
                <w:szCs w:val="19"/>
                <w:lang w:eastAsia="en-AU"/>
              </w:rPr>
              <w:t xml:space="preserve"> 186.2</w:t>
            </w:r>
          </w:p>
        </w:tc>
        <w:tc>
          <w:tcPr>
            <w:tcW w:w="850" w:type="dxa"/>
            <w:tcBorders>
              <w:top w:val="single" w:sz="6" w:space="0" w:color="auto"/>
              <w:left w:val="nil"/>
              <w:bottom w:val="single" w:sz="12"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b/>
                <w:bCs/>
                <w:color w:val="000000"/>
                <w:sz w:val="19"/>
                <w:szCs w:val="19"/>
                <w:lang w:eastAsia="en-AU"/>
              </w:rPr>
            </w:pPr>
            <w:r w:rsidRPr="00AE36D3">
              <w:rPr>
                <w:rFonts w:ascii="Calibri" w:eastAsiaTheme="minorEastAsia" w:hAnsi="Calibri" w:cs="Calibri"/>
                <w:b/>
                <w:bCs/>
                <w:color w:val="000000"/>
                <w:sz w:val="19"/>
                <w:szCs w:val="19"/>
                <w:lang w:eastAsia="en-AU"/>
              </w:rPr>
              <w:t xml:space="preserve"> 181.4</w:t>
            </w:r>
          </w:p>
        </w:tc>
        <w:tc>
          <w:tcPr>
            <w:tcW w:w="850" w:type="dxa"/>
            <w:tcBorders>
              <w:top w:val="single" w:sz="6" w:space="0" w:color="auto"/>
              <w:left w:val="nil"/>
              <w:bottom w:val="single" w:sz="12" w:space="0" w:color="auto"/>
              <w:right w:val="nil"/>
            </w:tcBorders>
            <w:shd w:val="clear" w:color="auto" w:fill="FFFFFF"/>
          </w:tcPr>
          <w:p w:rsidR="00E25CC6" w:rsidRPr="00AE36D3" w:rsidRDefault="00E25CC6" w:rsidP="00AE36D3">
            <w:pPr>
              <w:autoSpaceDE w:val="0"/>
              <w:autoSpaceDN w:val="0"/>
              <w:adjustRightInd w:val="0"/>
              <w:spacing w:after="0"/>
              <w:jc w:val="right"/>
              <w:rPr>
                <w:rFonts w:ascii="Calibri" w:eastAsiaTheme="minorEastAsia" w:hAnsi="Calibri" w:cs="Calibri"/>
                <w:b/>
                <w:bCs/>
                <w:color w:val="000000"/>
                <w:sz w:val="19"/>
                <w:szCs w:val="19"/>
                <w:lang w:eastAsia="en-AU"/>
              </w:rPr>
            </w:pPr>
            <w:r w:rsidRPr="00AE36D3">
              <w:rPr>
                <w:rFonts w:ascii="Calibri" w:eastAsiaTheme="minorEastAsia" w:hAnsi="Calibri" w:cs="Calibri"/>
                <w:b/>
                <w:bCs/>
                <w:color w:val="000000"/>
                <w:sz w:val="19"/>
                <w:szCs w:val="19"/>
                <w:lang w:eastAsia="en-AU"/>
              </w:rPr>
              <w:t xml:space="preserve"> 200.0</w:t>
            </w:r>
          </w:p>
        </w:tc>
      </w:tr>
    </w:tbl>
    <w:p w:rsidR="00E25CC6" w:rsidRPr="002B4B00" w:rsidRDefault="00E25CC6" w:rsidP="004675CA">
      <w:pPr>
        <w:pStyle w:val="Source"/>
        <w:rPr>
          <w:rFonts w:eastAsiaTheme="minorHAnsi"/>
          <w:i w:val="0"/>
        </w:rPr>
      </w:pPr>
      <w:r>
        <w:rPr>
          <w:rFonts w:eastAsiaTheme="minorHAnsi"/>
        </w:rPr>
        <w:t>Source: Parliament of Victoria and Victorian Auditor</w:t>
      </w:r>
      <w:r>
        <w:rPr>
          <w:rFonts w:eastAsiaTheme="minorHAnsi"/>
        </w:rPr>
        <w:noBreakHyphen/>
        <w:t xml:space="preserve">General’s Office </w:t>
      </w:r>
      <w:r>
        <w:rPr>
          <w:rFonts w:eastAsiaTheme="minorHAnsi"/>
        </w:rPr>
        <w:fldChar w:fldCharType="begin"/>
      </w:r>
      <w:r>
        <w:instrText xml:space="preserve"> XE "</w:instrText>
      </w:r>
      <w:r w:rsidRPr="005E1F78">
        <w:instrText>Parliament:Income from transactions</w:instrText>
      </w:r>
      <w:r>
        <w:instrText xml:space="preserve">" </w:instrText>
      </w:r>
      <w:r>
        <w:rPr>
          <w:rFonts w:eastAsiaTheme="minorHAnsi"/>
        </w:rPr>
        <w:fldChar w:fldCharType="end"/>
      </w:r>
    </w:p>
    <w:p w:rsidR="00E25CC6" w:rsidRDefault="00E25CC6" w:rsidP="00AD40DC">
      <w:pPr>
        <w:rPr>
          <w:rFonts w:eastAsiaTheme="minorHAnsi"/>
        </w:rPr>
      </w:pPr>
    </w:p>
    <w:p w:rsidR="00E25CC6" w:rsidRDefault="00E25CC6" w:rsidP="00AD40DC">
      <w:pPr>
        <w:pStyle w:val="Tableheading"/>
        <w:rPr>
          <w:rFonts w:eastAsiaTheme="minorHAnsi"/>
        </w:rPr>
      </w:pPr>
      <w:r>
        <w:rPr>
          <w:rFonts w:eastAsiaTheme="minorHAnsi"/>
        </w:rPr>
        <w:t>Table 2.25:</w:t>
      </w:r>
      <w:r>
        <w:rPr>
          <w:rFonts w:eastAsiaTheme="minorHAnsi"/>
        </w:rPr>
        <w:tab/>
        <w:t>Parliamentary authority for resources</w:t>
      </w:r>
    </w:p>
    <w:p w:rsidR="00E25CC6" w:rsidRPr="00494B30" w:rsidRDefault="00E25CC6" w:rsidP="00782489">
      <w:pPr>
        <w:pStyle w:val="million"/>
        <w:rPr>
          <w:rFonts w:eastAsiaTheme="minorHAnsi"/>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494B30" w:rsidTr="00494B30">
        <w:tc>
          <w:tcPr>
            <w:tcW w:w="5216" w:type="dxa"/>
            <w:tcBorders>
              <w:left w:val="nil"/>
              <w:bottom w:val="nil"/>
              <w:right w:val="nil"/>
            </w:tcBorders>
            <w:shd w:val="solid" w:color="000000" w:fill="auto"/>
          </w:tcPr>
          <w:p w:rsidR="00E25CC6" w:rsidRPr="00494B30" w:rsidRDefault="00E25CC6">
            <w:pPr>
              <w:autoSpaceDE w:val="0"/>
              <w:autoSpaceDN w:val="0"/>
              <w:adjustRightInd w:val="0"/>
              <w:spacing w:after="0"/>
              <w:rPr>
                <w:rFonts w:ascii="Calibri" w:eastAsiaTheme="minorEastAsia" w:hAnsi="Calibri" w:cs="Calibri"/>
                <w:sz w:val="19"/>
                <w:lang w:eastAsia="en-AU"/>
              </w:rPr>
            </w:pPr>
            <w:r w:rsidRPr="00494B30">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494B30" w:rsidRDefault="00E25CC6" w:rsidP="00494B30">
            <w:pPr>
              <w:autoSpaceDE w:val="0"/>
              <w:autoSpaceDN w:val="0"/>
              <w:adjustRightInd w:val="0"/>
              <w:spacing w:after="0"/>
              <w:jc w:val="right"/>
              <w:rPr>
                <w:rFonts w:ascii="Calibri" w:eastAsiaTheme="minorEastAsia" w:hAnsi="Calibri" w:cs="Calibri"/>
                <w:i/>
                <w:iCs/>
                <w:sz w:val="19"/>
                <w:lang w:eastAsia="en-AU"/>
              </w:rPr>
            </w:pPr>
            <w:r w:rsidRPr="00494B30">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494B30" w:rsidRDefault="00E25CC6" w:rsidP="00494B30">
            <w:pPr>
              <w:autoSpaceDE w:val="0"/>
              <w:autoSpaceDN w:val="0"/>
              <w:adjustRightInd w:val="0"/>
              <w:spacing w:after="0"/>
              <w:jc w:val="right"/>
              <w:rPr>
                <w:rFonts w:ascii="Calibri" w:eastAsiaTheme="minorEastAsia" w:hAnsi="Calibri" w:cs="Calibri"/>
                <w:i/>
                <w:iCs/>
                <w:sz w:val="19"/>
                <w:lang w:eastAsia="en-AU"/>
              </w:rPr>
            </w:pPr>
            <w:r w:rsidRPr="00494B30">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494B30" w:rsidRDefault="00E25CC6" w:rsidP="00494B30">
            <w:pPr>
              <w:autoSpaceDE w:val="0"/>
              <w:autoSpaceDN w:val="0"/>
              <w:adjustRightInd w:val="0"/>
              <w:spacing w:after="0"/>
              <w:jc w:val="right"/>
              <w:rPr>
                <w:rFonts w:ascii="Calibri" w:eastAsiaTheme="minorEastAsia" w:hAnsi="Calibri" w:cs="Calibri"/>
                <w:i/>
                <w:iCs/>
                <w:sz w:val="19"/>
                <w:lang w:eastAsia="en-AU"/>
              </w:rPr>
            </w:pPr>
            <w:r w:rsidRPr="00494B30">
              <w:rPr>
                <w:rFonts w:ascii="Calibri" w:eastAsiaTheme="minorEastAsia" w:hAnsi="Calibri" w:cs="Calibri"/>
                <w:i/>
                <w:iCs/>
                <w:sz w:val="19"/>
                <w:lang w:eastAsia="en-AU"/>
              </w:rPr>
              <w:t>2016-17</w:t>
            </w:r>
          </w:p>
        </w:tc>
      </w:tr>
      <w:tr w:rsidR="00E25CC6" w:rsidRPr="00494B30" w:rsidTr="00494B30">
        <w:tc>
          <w:tcPr>
            <w:tcW w:w="5216" w:type="dxa"/>
            <w:tcBorders>
              <w:top w:val="nil"/>
              <w:left w:val="nil"/>
              <w:bottom w:val="single" w:sz="6" w:space="0" w:color="auto"/>
              <w:right w:val="nil"/>
            </w:tcBorders>
            <w:shd w:val="solid" w:color="000000" w:fill="auto"/>
          </w:tcPr>
          <w:p w:rsidR="00E25CC6" w:rsidRPr="00494B30" w:rsidRDefault="00E25CC6" w:rsidP="00494B30">
            <w:pPr>
              <w:autoSpaceDE w:val="0"/>
              <w:autoSpaceDN w:val="0"/>
              <w:adjustRightInd w:val="0"/>
              <w:spacing w:after="0"/>
              <w:rPr>
                <w:rFonts w:ascii="Calibri" w:eastAsiaTheme="minorEastAsia" w:hAnsi="Calibri" w:cs="Calibri"/>
                <w:sz w:val="19"/>
                <w:lang w:eastAsia="en-AU"/>
              </w:rPr>
            </w:pPr>
            <w:r w:rsidRPr="00494B30">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494B30" w:rsidRDefault="00E25CC6" w:rsidP="00494B30">
            <w:pPr>
              <w:autoSpaceDE w:val="0"/>
              <w:autoSpaceDN w:val="0"/>
              <w:adjustRightInd w:val="0"/>
              <w:spacing w:after="0"/>
              <w:jc w:val="right"/>
              <w:rPr>
                <w:rFonts w:ascii="Calibri" w:eastAsiaTheme="minorEastAsia" w:hAnsi="Calibri" w:cs="Calibri"/>
                <w:i/>
                <w:iCs/>
                <w:sz w:val="19"/>
                <w:lang w:eastAsia="en-AU"/>
              </w:rPr>
            </w:pPr>
            <w:r w:rsidRPr="00494B30">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494B30" w:rsidRDefault="00E25CC6" w:rsidP="00494B30">
            <w:pPr>
              <w:autoSpaceDE w:val="0"/>
              <w:autoSpaceDN w:val="0"/>
              <w:adjustRightInd w:val="0"/>
              <w:spacing w:after="0"/>
              <w:jc w:val="right"/>
              <w:rPr>
                <w:rFonts w:ascii="Calibri" w:eastAsiaTheme="minorEastAsia" w:hAnsi="Calibri" w:cs="Calibri"/>
                <w:i/>
                <w:iCs/>
                <w:sz w:val="19"/>
                <w:lang w:eastAsia="en-AU"/>
              </w:rPr>
            </w:pPr>
            <w:r w:rsidRPr="00494B30">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494B30" w:rsidRDefault="00E25CC6" w:rsidP="00494B30">
            <w:pPr>
              <w:autoSpaceDE w:val="0"/>
              <w:autoSpaceDN w:val="0"/>
              <w:adjustRightInd w:val="0"/>
              <w:spacing w:after="0"/>
              <w:jc w:val="right"/>
              <w:rPr>
                <w:rFonts w:ascii="Calibri" w:eastAsiaTheme="minorEastAsia" w:hAnsi="Calibri" w:cs="Calibri"/>
                <w:i/>
                <w:iCs/>
                <w:sz w:val="19"/>
                <w:lang w:eastAsia="en-AU"/>
              </w:rPr>
            </w:pPr>
            <w:r w:rsidRPr="00494B30">
              <w:rPr>
                <w:rFonts w:ascii="Calibri" w:eastAsiaTheme="minorEastAsia" w:hAnsi="Calibri" w:cs="Calibri"/>
                <w:i/>
                <w:iCs/>
                <w:sz w:val="19"/>
                <w:lang w:eastAsia="en-AU"/>
              </w:rPr>
              <w:t>budget</w:t>
            </w:r>
          </w:p>
        </w:tc>
      </w:tr>
      <w:tr w:rsidR="00E25CC6" w:rsidRPr="00494B30" w:rsidTr="00494B30">
        <w:tc>
          <w:tcPr>
            <w:tcW w:w="5216"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b/>
                <w:bCs/>
                <w:sz w:val="19"/>
                <w:lang w:eastAsia="en-AU"/>
              </w:rPr>
            </w:pPr>
            <w:r w:rsidRPr="00494B30">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117.4</w:t>
            </w:r>
          </w:p>
        </w:tc>
        <w:tc>
          <w:tcPr>
            <w:tcW w:w="850"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115.3</w:t>
            </w:r>
          </w:p>
        </w:tc>
        <w:tc>
          <w:tcPr>
            <w:tcW w:w="850"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128.9</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117.4</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115.3</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128.9</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 xml:space="preserve"> 0.0</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23.9</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23.8</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25.6</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b/>
                <w:bCs/>
                <w:sz w:val="19"/>
                <w:lang w:eastAsia="en-AU"/>
              </w:rPr>
            </w:pPr>
            <w:r w:rsidRPr="00494B30">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5.4</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2.9</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5.4</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5.4</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2.9</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5.4</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w:t>
            </w:r>
          </w:p>
        </w:tc>
      </w:tr>
      <w:tr w:rsidR="00E25CC6" w:rsidRPr="00494B30" w:rsidTr="00494B30">
        <w:tc>
          <w:tcPr>
            <w:tcW w:w="5216"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3.5</w:t>
            </w:r>
          </w:p>
        </w:tc>
        <w:tc>
          <w:tcPr>
            <w:tcW w:w="850"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3.5</w:t>
            </w:r>
          </w:p>
        </w:tc>
        <w:tc>
          <w:tcPr>
            <w:tcW w:w="850"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28.7</w:t>
            </w:r>
          </w:p>
        </w:tc>
      </w:tr>
      <w:tr w:rsidR="00E25CC6" w:rsidRPr="00494B30" w:rsidTr="00494B30">
        <w:tc>
          <w:tcPr>
            <w:tcW w:w="5216"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b/>
                <w:bCs/>
                <w:sz w:val="19"/>
                <w:lang w:eastAsia="en-AU"/>
              </w:rPr>
            </w:pPr>
            <w:r w:rsidRPr="00494B30">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150.2</w:t>
            </w:r>
          </w:p>
        </w:tc>
        <w:tc>
          <w:tcPr>
            <w:tcW w:w="850"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145.5</w:t>
            </w:r>
          </w:p>
        </w:tc>
        <w:tc>
          <w:tcPr>
            <w:tcW w:w="850" w:type="dxa"/>
            <w:tcBorders>
              <w:top w:val="single" w:sz="6" w:space="0" w:color="auto"/>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188.6</w:t>
            </w:r>
          </w:p>
        </w:tc>
      </w:tr>
      <w:tr w:rsidR="00E25CC6" w:rsidRPr="00494B30" w:rsidTr="00494B30">
        <w:tc>
          <w:tcPr>
            <w:tcW w:w="5216" w:type="dxa"/>
            <w:tcBorders>
              <w:top w:val="nil"/>
              <w:left w:val="nil"/>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39.3</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39.3</w:t>
            </w:r>
          </w:p>
        </w:tc>
        <w:tc>
          <w:tcPr>
            <w:tcW w:w="850" w:type="dxa"/>
            <w:tcBorders>
              <w:top w:val="nil"/>
              <w:left w:val="nil"/>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20"/>
                <w:lang w:eastAsia="en-AU"/>
              </w:rPr>
            </w:pPr>
            <w:r w:rsidRPr="00494B30">
              <w:rPr>
                <w:rFonts w:ascii="Calibri" w:eastAsiaTheme="minorEastAsia" w:hAnsi="Calibri" w:cs="Calibri"/>
                <w:sz w:val="19"/>
                <w:lang w:eastAsia="en-AU"/>
              </w:rPr>
              <w:t xml:space="preserve"> 40.0</w:t>
            </w:r>
          </w:p>
        </w:tc>
      </w:tr>
      <w:tr w:rsidR="00E25CC6" w:rsidRPr="00494B30" w:rsidTr="00494B30">
        <w:tc>
          <w:tcPr>
            <w:tcW w:w="5216"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sz w:val="19"/>
                <w:lang w:eastAsia="en-AU"/>
              </w:rPr>
            </w:pPr>
            <w:r w:rsidRPr="00494B30">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 xml:space="preserve"> 0.0</w:t>
            </w:r>
          </w:p>
        </w:tc>
        <w:tc>
          <w:tcPr>
            <w:tcW w:w="850"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 xml:space="preserve"> 0.0</w:t>
            </w:r>
          </w:p>
        </w:tc>
        <w:tc>
          <w:tcPr>
            <w:tcW w:w="850" w:type="dxa"/>
            <w:tcBorders>
              <w:top w:val="nil"/>
              <w:left w:val="nil"/>
              <w:bottom w:val="single" w:sz="6"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sz w:val="19"/>
                <w:lang w:eastAsia="en-AU"/>
              </w:rPr>
            </w:pPr>
            <w:r w:rsidRPr="00494B30">
              <w:rPr>
                <w:rFonts w:ascii="Calibri" w:eastAsiaTheme="minorEastAsia" w:hAnsi="Calibri" w:cs="Calibri"/>
                <w:sz w:val="19"/>
                <w:lang w:eastAsia="en-AU"/>
              </w:rPr>
              <w:t xml:space="preserve"> 0.0</w:t>
            </w:r>
          </w:p>
        </w:tc>
      </w:tr>
      <w:tr w:rsidR="00E25CC6" w:rsidRPr="00494B30" w:rsidTr="00494B30">
        <w:tc>
          <w:tcPr>
            <w:tcW w:w="5216" w:type="dxa"/>
            <w:tcBorders>
              <w:top w:val="single" w:sz="6" w:space="0" w:color="auto"/>
              <w:left w:val="nil"/>
              <w:bottom w:val="single" w:sz="12" w:space="0" w:color="auto"/>
              <w:right w:val="nil"/>
            </w:tcBorders>
            <w:shd w:val="solid" w:color="FFFFFF" w:fill="FFFFFF"/>
          </w:tcPr>
          <w:p w:rsidR="00E25CC6" w:rsidRPr="00494B30" w:rsidRDefault="00E25CC6" w:rsidP="00494B30">
            <w:pPr>
              <w:autoSpaceDE w:val="0"/>
              <w:autoSpaceDN w:val="0"/>
              <w:adjustRightInd w:val="0"/>
              <w:spacing w:after="0"/>
              <w:ind w:left="227" w:hanging="227"/>
              <w:rPr>
                <w:rFonts w:ascii="Calibri" w:eastAsiaTheme="minorEastAsia" w:hAnsi="Calibri" w:cs="Calibri"/>
                <w:b/>
                <w:bCs/>
                <w:sz w:val="19"/>
                <w:lang w:eastAsia="en-AU"/>
              </w:rPr>
            </w:pPr>
            <w:r w:rsidRPr="00494B30">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189.6</w:t>
            </w:r>
          </w:p>
        </w:tc>
        <w:tc>
          <w:tcPr>
            <w:tcW w:w="850" w:type="dxa"/>
            <w:tcBorders>
              <w:top w:val="single" w:sz="6" w:space="0" w:color="auto"/>
              <w:left w:val="nil"/>
              <w:bottom w:val="single" w:sz="12"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184.9</w:t>
            </w:r>
          </w:p>
        </w:tc>
        <w:tc>
          <w:tcPr>
            <w:tcW w:w="850" w:type="dxa"/>
            <w:tcBorders>
              <w:top w:val="single" w:sz="6" w:space="0" w:color="auto"/>
              <w:left w:val="nil"/>
              <w:bottom w:val="single" w:sz="12" w:space="0" w:color="auto"/>
              <w:right w:val="nil"/>
            </w:tcBorders>
            <w:shd w:val="solid" w:color="FFFFFF" w:fill="FFFFFF"/>
          </w:tcPr>
          <w:p w:rsidR="00E25CC6" w:rsidRPr="00494B30" w:rsidRDefault="00E25CC6" w:rsidP="00494B30">
            <w:pPr>
              <w:autoSpaceDE w:val="0"/>
              <w:autoSpaceDN w:val="0"/>
              <w:adjustRightInd w:val="0"/>
              <w:spacing w:after="0"/>
              <w:jc w:val="right"/>
              <w:rPr>
                <w:rFonts w:ascii="Calibri" w:eastAsiaTheme="minorEastAsia" w:hAnsi="Calibri" w:cs="Calibri"/>
                <w:b/>
                <w:bCs/>
                <w:sz w:val="20"/>
                <w:lang w:eastAsia="en-AU"/>
              </w:rPr>
            </w:pPr>
            <w:r w:rsidRPr="00494B30">
              <w:rPr>
                <w:rFonts w:ascii="Calibri" w:eastAsiaTheme="minorEastAsia" w:hAnsi="Calibri" w:cs="Calibri"/>
                <w:b/>
                <w:bCs/>
                <w:sz w:val="19"/>
                <w:lang w:eastAsia="en-AU"/>
              </w:rPr>
              <w:t xml:space="preserve"> 228.6</w:t>
            </w:r>
          </w:p>
        </w:tc>
      </w:tr>
    </w:tbl>
    <w:p w:rsidR="00E25CC6" w:rsidRPr="0022795B" w:rsidRDefault="00E25CC6" w:rsidP="00494B30">
      <w:pPr>
        <w:pStyle w:val="Source"/>
        <w:rPr>
          <w:rFonts w:eastAsiaTheme="minorHAnsi"/>
        </w:rPr>
      </w:pPr>
      <w:r>
        <w:rPr>
          <w:rFonts w:eastAsiaTheme="minorHAnsi"/>
        </w:rPr>
        <w:t>Source: Parliament of Victoria and Victorian Auditor</w:t>
      </w:r>
      <w:r>
        <w:rPr>
          <w:rFonts w:eastAsiaTheme="minorHAnsi"/>
        </w:rPr>
        <w:noBreakHyphen/>
        <w:t xml:space="preserve">General’s Office </w:t>
      </w:r>
      <w:r>
        <w:rPr>
          <w:rFonts w:eastAsiaTheme="minorHAnsi"/>
        </w:rPr>
        <w:fldChar w:fldCharType="begin"/>
      </w:r>
      <w:r>
        <w:instrText xml:space="preserve"> XE "</w:instrText>
      </w:r>
      <w:r w:rsidRPr="00D309C6">
        <w:instrText>Parliament:Parliamentary authority for resources</w:instrText>
      </w:r>
      <w:r>
        <w:instrText xml:space="preserve">" </w:instrText>
      </w:r>
      <w:r>
        <w:rPr>
          <w:rFonts w:eastAsiaTheme="minorHAnsi"/>
        </w:rPr>
        <w:fldChar w:fldCharType="end"/>
      </w:r>
    </w:p>
    <w:p w:rsidR="00E25CC6" w:rsidRDefault="00E25CC6" w:rsidP="00367DDD">
      <w:pPr>
        <w:rPr>
          <w:rFonts w:eastAsiaTheme="minorHAnsi"/>
        </w:rPr>
      </w:pPr>
    </w:p>
    <w:p w:rsidR="00E25CC6" w:rsidRDefault="00E25CC6">
      <w:pPr>
        <w:spacing w:after="0"/>
        <w:rPr>
          <w:rFonts w:eastAsiaTheme="minorHAnsi"/>
        </w:rPr>
      </w:pPr>
      <w:r>
        <w:rPr>
          <w:rFonts w:eastAsiaTheme="minorHAnsi"/>
          <w:b/>
        </w:rPr>
        <w:br w:type="page"/>
      </w:r>
    </w:p>
    <w:p w:rsidR="00E25CC6" w:rsidRPr="00367DDD" w:rsidRDefault="00E25CC6" w:rsidP="00081FC8">
      <w:pPr>
        <w:pStyle w:val="OGHeading1"/>
      </w:pPr>
      <w:r w:rsidRPr="000452AF">
        <w:rPr>
          <w:lang w:eastAsia="en-AU"/>
        </w:rPr>
        <w:t>Legislative Assembly</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6"/>
        <w:gridCol w:w="907"/>
        <w:gridCol w:w="992"/>
        <w:gridCol w:w="907"/>
        <w:gridCol w:w="911"/>
      </w:tblGrid>
      <w:tr w:rsidR="00E25CC6" w:rsidRPr="00367DDD" w:rsidTr="00652CAB">
        <w:trPr>
          <w:cantSplit/>
          <w:tblHeader/>
        </w:trPr>
        <w:tc>
          <w:tcPr>
            <w:tcW w:w="3144" w:type="dxa"/>
            <w:tcBorders>
              <w:top w:val="nil"/>
              <w:left w:val="nil"/>
              <w:bottom w:val="single" w:sz="4" w:space="0" w:color="auto"/>
              <w:right w:val="nil"/>
            </w:tcBorders>
            <w:shd w:val="solid" w:color="000000" w:fill="auto"/>
            <w:vAlign w:val="bottom"/>
          </w:tcPr>
          <w:p w:rsidR="00E25CC6" w:rsidRPr="00367DDD" w:rsidRDefault="00E25CC6" w:rsidP="00652CAB">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b/>
                <w:bCs/>
                <w:color w:val="FFFFFF"/>
                <w:sz w:val="19"/>
                <w:szCs w:val="22"/>
                <w:lang w:eastAsia="en-AU"/>
              </w:rPr>
              <w:t>Major outputs/deliverables</w:t>
            </w:r>
          </w:p>
          <w:p w:rsidR="00E25CC6" w:rsidRPr="00367DDD" w:rsidRDefault="00E25CC6" w:rsidP="00652CAB">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Performance measures</w:t>
            </w:r>
          </w:p>
        </w:tc>
        <w:tc>
          <w:tcPr>
            <w:tcW w:w="906" w:type="dxa"/>
            <w:tcBorders>
              <w:top w:val="nil"/>
              <w:left w:val="nil"/>
              <w:bottom w:val="single" w:sz="4" w:space="0" w:color="auto"/>
              <w:right w:val="nil"/>
            </w:tcBorders>
            <w:shd w:val="solid" w:color="000000" w:fill="auto"/>
            <w:vAlign w:val="bottom"/>
          </w:tcPr>
          <w:p w:rsidR="00E25CC6" w:rsidRPr="00367DDD" w:rsidRDefault="00E25CC6" w:rsidP="00652CAB">
            <w:pPr>
              <w:autoSpaceDE w:val="0"/>
              <w:autoSpaceDN w:val="0"/>
              <w:adjustRightInd w:val="0"/>
              <w:spacing w:after="0"/>
              <w:jc w:val="center"/>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67DDD" w:rsidRDefault="00E25CC6" w:rsidP="00652CAB">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367DDD" w:rsidRDefault="00E25CC6" w:rsidP="00652CAB">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367DDD" w:rsidRDefault="00E25CC6" w:rsidP="00652CAB">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target</w:t>
            </w:r>
          </w:p>
        </w:tc>
        <w:tc>
          <w:tcPr>
            <w:tcW w:w="911" w:type="dxa"/>
            <w:tcBorders>
              <w:top w:val="nil"/>
              <w:left w:val="nil"/>
              <w:bottom w:val="single" w:sz="4" w:space="0" w:color="auto"/>
              <w:right w:val="nil"/>
            </w:tcBorders>
            <w:shd w:val="solid" w:color="000000" w:fill="auto"/>
            <w:vAlign w:val="bottom"/>
          </w:tcPr>
          <w:p w:rsidR="00E25CC6" w:rsidRPr="00367DDD" w:rsidRDefault="00E25CC6" w:rsidP="00652CAB">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15 actual</w:t>
            </w:r>
          </w:p>
        </w:tc>
      </w:tr>
      <w:tr w:rsidR="00E25CC6" w:rsidRPr="00367DDD" w:rsidTr="00652CAB">
        <w:trPr>
          <w:cantSplit/>
        </w:trPr>
        <w:tc>
          <w:tcPr>
            <w:tcW w:w="7767" w:type="dxa"/>
            <w:gridSpan w:val="6"/>
            <w:tcBorders>
              <w:top w:val="nil"/>
              <w:left w:val="nil"/>
              <w:bottom w:val="nil"/>
              <w:right w:val="nil"/>
            </w:tcBorders>
          </w:tcPr>
          <w:p w:rsidR="00E25CC6" w:rsidRPr="00367DDD" w:rsidRDefault="00E25CC6" w:rsidP="00652CAB">
            <w:pPr>
              <w:pStyle w:val="OGHeading2"/>
              <w:rPr>
                <w:lang w:eastAsia="en-AU"/>
              </w:rPr>
            </w:pPr>
            <w:r w:rsidRPr="00367DDD">
              <w:t>Procedural</w:t>
            </w:r>
            <w:r w:rsidRPr="00367DDD">
              <w:rPr>
                <w:lang w:eastAsia="en-AU"/>
              </w:rPr>
              <w:t xml:space="preserve"> Support, Documentation Preparation and Provision of Information for Assembly</w:t>
            </w:r>
          </w:p>
        </w:tc>
      </w:tr>
      <w:tr w:rsidR="00E25CC6" w:rsidRPr="00367DDD" w:rsidTr="00652CAB">
        <w:trPr>
          <w:cantSplit/>
        </w:trPr>
        <w:tc>
          <w:tcPr>
            <w:tcW w:w="7767" w:type="dxa"/>
            <w:gridSpan w:val="6"/>
            <w:tcBorders>
              <w:top w:val="nil"/>
              <w:left w:val="nil"/>
              <w:bottom w:val="single" w:sz="6" w:space="0" w:color="auto"/>
              <w:right w:val="nil"/>
            </w:tcBorders>
          </w:tcPr>
          <w:p w:rsidR="00E25CC6" w:rsidRPr="00367DDD" w:rsidRDefault="00E25CC6" w:rsidP="00652CAB">
            <w:pPr>
              <w:pStyle w:val="OGText"/>
            </w:pPr>
            <w:r w:rsidRPr="00367DDD">
              <w:t>This output involves the provision of procedural advice to Members of the Legislative Assembly including: processing of legislation, preparation of the records of the proceedings and documentation required for the sittings of the Assembly, provision of assistance to Parliamentary Committees, provision of information relating to the proceedings of the Assembly, and the enhancement of public awareness of Parliament.</w:t>
            </w:r>
          </w:p>
        </w:tc>
      </w:tr>
      <w:tr w:rsidR="00E25CC6" w:rsidRPr="00367DDD" w:rsidTr="00C52184">
        <w:trPr>
          <w:cantSplit/>
        </w:trPr>
        <w:tc>
          <w:tcPr>
            <w:tcW w:w="3144" w:type="dxa"/>
            <w:tcBorders>
              <w:top w:val="nil"/>
              <w:left w:val="nil"/>
              <w:right w:val="nil"/>
            </w:tcBorders>
          </w:tcPr>
          <w:p w:rsidR="00E25CC6" w:rsidRPr="00367DDD" w:rsidRDefault="00E25CC6" w:rsidP="00652CAB">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Quantity</w:t>
            </w:r>
          </w:p>
        </w:tc>
        <w:tc>
          <w:tcPr>
            <w:tcW w:w="906" w:type="dxa"/>
            <w:tcBorders>
              <w:top w:val="nil"/>
              <w:left w:val="nil"/>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nil"/>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C52184">
        <w:trPr>
          <w:cantSplit/>
        </w:trPr>
        <w:tc>
          <w:tcPr>
            <w:tcW w:w="3144" w:type="dxa"/>
            <w:tcBorders>
              <w:top w:val="nil"/>
              <w:left w:val="nil"/>
              <w:bottom w:val="single" w:sz="6" w:space="0" w:color="auto"/>
              <w:right w:val="nil"/>
            </w:tcBorders>
          </w:tcPr>
          <w:p w:rsidR="00E25CC6" w:rsidRPr="00367DDD" w:rsidRDefault="00E25CC6" w:rsidP="00652CAB">
            <w:pPr>
              <w:pStyle w:val="OGTabText"/>
              <w:rPr>
                <w:lang w:eastAsia="en-AU"/>
              </w:rPr>
            </w:pPr>
            <w:r w:rsidRPr="00367DDD">
              <w:rPr>
                <w:lang w:eastAsia="en-AU"/>
              </w:rPr>
              <w:t>Procedural references updated biannually</w:t>
            </w:r>
          </w:p>
        </w:tc>
        <w:tc>
          <w:tcPr>
            <w:tcW w:w="906"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c>
          <w:tcPr>
            <w:tcW w:w="992"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c>
          <w:tcPr>
            <w:tcW w:w="907"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c>
          <w:tcPr>
            <w:tcW w:w="911"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r>
      <w:tr w:rsidR="00E25CC6" w:rsidRPr="00367DDD" w:rsidTr="00C52184">
        <w:trPr>
          <w:cantSplit/>
        </w:trPr>
        <w:tc>
          <w:tcPr>
            <w:tcW w:w="3144" w:type="dxa"/>
            <w:tcBorders>
              <w:top w:val="single" w:sz="6" w:space="0" w:color="auto"/>
              <w:left w:val="nil"/>
              <w:bottom w:val="single" w:sz="6" w:space="0" w:color="auto"/>
              <w:right w:val="nil"/>
            </w:tcBorders>
          </w:tcPr>
          <w:p w:rsidR="00E25CC6" w:rsidRPr="00367DDD" w:rsidRDefault="00E25CC6" w:rsidP="00652CAB">
            <w:pPr>
              <w:pStyle w:val="OGTabText"/>
              <w:rPr>
                <w:lang w:eastAsia="en-AU"/>
              </w:rPr>
            </w:pPr>
            <w:r w:rsidRPr="00367DDD">
              <w:rPr>
                <w:lang w:eastAsia="en-AU"/>
              </w:rPr>
              <w:t>Regional visits to schools to conduct Parliamentary role plays</w:t>
            </w:r>
          </w:p>
        </w:tc>
        <w:tc>
          <w:tcPr>
            <w:tcW w:w="906"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5</w:t>
            </w:r>
          </w:p>
        </w:tc>
        <w:tc>
          <w:tcPr>
            <w:tcW w:w="992"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5</w:t>
            </w:r>
          </w:p>
        </w:tc>
        <w:tc>
          <w:tcPr>
            <w:tcW w:w="907"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5</w:t>
            </w:r>
          </w:p>
        </w:tc>
        <w:tc>
          <w:tcPr>
            <w:tcW w:w="911"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6</w:t>
            </w:r>
          </w:p>
        </w:tc>
      </w:tr>
      <w:tr w:rsidR="00E25CC6" w:rsidRPr="00367DDD" w:rsidTr="00652CAB">
        <w:trPr>
          <w:cantSplit/>
        </w:trPr>
        <w:tc>
          <w:tcPr>
            <w:tcW w:w="3144" w:type="dxa"/>
            <w:tcBorders>
              <w:top w:val="single" w:sz="6" w:space="0" w:color="auto"/>
              <w:left w:val="nil"/>
              <w:right w:val="nil"/>
            </w:tcBorders>
          </w:tcPr>
          <w:p w:rsidR="00E25CC6" w:rsidRPr="00367DDD" w:rsidRDefault="00E25CC6" w:rsidP="00652CAB">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Quality</w:t>
            </w:r>
          </w:p>
        </w:tc>
        <w:tc>
          <w:tcPr>
            <w:tcW w:w="906" w:type="dxa"/>
            <w:tcBorders>
              <w:top w:val="single" w:sz="6" w:space="0" w:color="auto"/>
              <w:left w:val="nil"/>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652CAB">
        <w:trPr>
          <w:cantSplit/>
        </w:trPr>
        <w:tc>
          <w:tcPr>
            <w:tcW w:w="3144" w:type="dxa"/>
            <w:tcBorders>
              <w:top w:val="nil"/>
              <w:left w:val="nil"/>
              <w:bottom w:val="single" w:sz="6" w:space="0" w:color="auto"/>
              <w:right w:val="nil"/>
            </w:tcBorders>
          </w:tcPr>
          <w:p w:rsidR="00E25CC6" w:rsidRPr="00367DDD" w:rsidRDefault="00E25CC6" w:rsidP="00652CAB">
            <w:pPr>
              <w:pStyle w:val="OGTabText"/>
              <w:rPr>
                <w:lang w:eastAsia="en-AU"/>
              </w:rPr>
            </w:pPr>
            <w:r w:rsidRPr="00367DDD">
              <w:rPr>
                <w:lang w:eastAsia="en-AU"/>
              </w:rPr>
              <w:t>Bills and amendments processed accurately through all relevant stages in compliance with constitutional requirements and standing orders</w:t>
            </w:r>
          </w:p>
        </w:tc>
        <w:tc>
          <w:tcPr>
            <w:tcW w:w="906"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11"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652CAB">
        <w:trPr>
          <w:cantSplit/>
        </w:trPr>
        <w:tc>
          <w:tcPr>
            <w:tcW w:w="3144" w:type="dxa"/>
            <w:tcBorders>
              <w:top w:val="single" w:sz="6" w:space="0" w:color="auto"/>
              <w:left w:val="nil"/>
              <w:bottom w:val="single" w:sz="6" w:space="0" w:color="auto"/>
              <w:right w:val="nil"/>
            </w:tcBorders>
          </w:tcPr>
          <w:p w:rsidR="00E25CC6" w:rsidRPr="00367DDD" w:rsidRDefault="00E25CC6" w:rsidP="00652CAB">
            <w:pPr>
              <w:pStyle w:val="OGTabText"/>
              <w:rPr>
                <w:lang w:eastAsia="en-AU"/>
              </w:rPr>
            </w:pPr>
            <w:r w:rsidRPr="00367DDD">
              <w:rPr>
                <w:lang w:eastAsia="en-AU"/>
              </w:rPr>
              <w:t>Member satisfaction that advice is responsive, prompt, clear and objective</w:t>
            </w:r>
          </w:p>
        </w:tc>
        <w:tc>
          <w:tcPr>
            <w:tcW w:w="906"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11"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r>
      <w:tr w:rsidR="00E25CC6" w:rsidRPr="00367DDD" w:rsidTr="00652CAB">
        <w:trPr>
          <w:cantSplit/>
        </w:trPr>
        <w:tc>
          <w:tcPr>
            <w:tcW w:w="3144" w:type="dxa"/>
            <w:tcBorders>
              <w:top w:val="single" w:sz="6" w:space="0" w:color="auto"/>
              <w:left w:val="nil"/>
              <w:bottom w:val="single" w:sz="6" w:space="0" w:color="auto"/>
              <w:right w:val="nil"/>
            </w:tcBorders>
          </w:tcPr>
          <w:p w:rsidR="00E25CC6" w:rsidRPr="00367DDD" w:rsidRDefault="00E25CC6" w:rsidP="00652CAB">
            <w:pPr>
              <w:pStyle w:val="OGTabText"/>
              <w:rPr>
                <w:lang w:eastAsia="en-AU"/>
              </w:rPr>
            </w:pPr>
            <w:r w:rsidRPr="00367DDD">
              <w:rPr>
                <w:lang w:eastAsia="en-AU"/>
              </w:rPr>
              <w:t>Teacher satisfaction with tours of Parliament for school groups</w:t>
            </w:r>
          </w:p>
        </w:tc>
        <w:tc>
          <w:tcPr>
            <w:tcW w:w="906"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92"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07"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11"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98</w:t>
            </w:r>
          </w:p>
        </w:tc>
      </w:tr>
      <w:tr w:rsidR="00E25CC6" w:rsidRPr="00367DDD" w:rsidTr="00652CAB">
        <w:trPr>
          <w:cantSplit/>
        </w:trPr>
        <w:tc>
          <w:tcPr>
            <w:tcW w:w="3144" w:type="dxa"/>
            <w:tcBorders>
              <w:top w:val="single" w:sz="6" w:space="0" w:color="auto"/>
              <w:left w:val="nil"/>
              <w:right w:val="nil"/>
            </w:tcBorders>
          </w:tcPr>
          <w:p w:rsidR="00E25CC6" w:rsidRPr="00367DDD" w:rsidRDefault="00E25CC6" w:rsidP="00652CAB">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Timeliness</w:t>
            </w:r>
          </w:p>
        </w:tc>
        <w:tc>
          <w:tcPr>
            <w:tcW w:w="906" w:type="dxa"/>
            <w:tcBorders>
              <w:top w:val="single" w:sz="6" w:space="0" w:color="auto"/>
              <w:left w:val="nil"/>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652CAB">
        <w:trPr>
          <w:cantSplit/>
        </w:trPr>
        <w:tc>
          <w:tcPr>
            <w:tcW w:w="3144" w:type="dxa"/>
            <w:tcBorders>
              <w:top w:val="nil"/>
              <w:left w:val="nil"/>
              <w:bottom w:val="single" w:sz="6" w:space="0" w:color="auto"/>
              <w:right w:val="nil"/>
            </w:tcBorders>
          </w:tcPr>
          <w:p w:rsidR="00E25CC6" w:rsidRPr="00367DDD" w:rsidRDefault="00E25CC6" w:rsidP="00652CAB">
            <w:pPr>
              <w:pStyle w:val="OGTabText"/>
              <w:rPr>
                <w:lang w:eastAsia="en-AU"/>
              </w:rPr>
            </w:pPr>
            <w:r w:rsidRPr="00367DDD">
              <w:rPr>
                <w:lang w:eastAsia="en-AU"/>
              </w:rPr>
              <w:t>Documents tabled within time guidelines</w:t>
            </w:r>
          </w:p>
        </w:tc>
        <w:tc>
          <w:tcPr>
            <w:tcW w:w="906"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11" w:type="dxa"/>
            <w:tcBorders>
              <w:top w:val="nil"/>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652CAB">
        <w:trPr>
          <w:cantSplit/>
        </w:trPr>
        <w:tc>
          <w:tcPr>
            <w:tcW w:w="3144" w:type="dxa"/>
            <w:tcBorders>
              <w:top w:val="single" w:sz="6" w:space="0" w:color="auto"/>
              <w:left w:val="nil"/>
              <w:bottom w:val="single" w:sz="6" w:space="0" w:color="auto"/>
              <w:right w:val="nil"/>
            </w:tcBorders>
          </w:tcPr>
          <w:p w:rsidR="00E25CC6" w:rsidRPr="00367DDD" w:rsidRDefault="00E25CC6" w:rsidP="00652CAB">
            <w:pPr>
              <w:pStyle w:val="OGTabText"/>
              <w:rPr>
                <w:lang w:eastAsia="en-AU"/>
              </w:rPr>
            </w:pPr>
            <w:r w:rsidRPr="00367DDD">
              <w:rPr>
                <w:lang w:eastAsia="en-AU"/>
              </w:rPr>
              <w:t>House documents available one day after sitting day</w:t>
            </w:r>
          </w:p>
        </w:tc>
        <w:tc>
          <w:tcPr>
            <w:tcW w:w="906"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11"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652CAB">
        <w:trPr>
          <w:cantSplit/>
        </w:trPr>
        <w:tc>
          <w:tcPr>
            <w:tcW w:w="3144" w:type="dxa"/>
            <w:tcBorders>
              <w:top w:val="single" w:sz="6" w:space="0" w:color="auto"/>
              <w:left w:val="nil"/>
              <w:bottom w:val="single" w:sz="6" w:space="0" w:color="auto"/>
              <w:right w:val="nil"/>
            </w:tcBorders>
          </w:tcPr>
          <w:p w:rsidR="00E25CC6" w:rsidRPr="00367DDD" w:rsidRDefault="00E25CC6" w:rsidP="00652CAB">
            <w:pPr>
              <w:pStyle w:val="OGTabText"/>
              <w:rPr>
                <w:lang w:eastAsia="en-AU"/>
              </w:rPr>
            </w:pPr>
            <w:r w:rsidRPr="00367DDD">
              <w:rPr>
                <w:lang w:eastAsia="en-AU"/>
              </w:rPr>
              <w:t>Online information relating to bills updated within one day</w:t>
            </w:r>
          </w:p>
        </w:tc>
        <w:tc>
          <w:tcPr>
            <w:tcW w:w="906"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98</w:t>
            </w:r>
          </w:p>
        </w:tc>
        <w:tc>
          <w:tcPr>
            <w:tcW w:w="992"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98</w:t>
            </w:r>
          </w:p>
        </w:tc>
        <w:tc>
          <w:tcPr>
            <w:tcW w:w="907"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98</w:t>
            </w:r>
          </w:p>
        </w:tc>
        <w:tc>
          <w:tcPr>
            <w:tcW w:w="911" w:type="dxa"/>
            <w:tcBorders>
              <w:top w:val="single" w:sz="6" w:space="0" w:color="auto"/>
              <w:left w:val="nil"/>
              <w:bottom w:val="single" w:sz="6"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652CAB">
        <w:trPr>
          <w:cantSplit/>
        </w:trPr>
        <w:tc>
          <w:tcPr>
            <w:tcW w:w="3144" w:type="dxa"/>
            <w:tcBorders>
              <w:top w:val="single" w:sz="6" w:space="0" w:color="auto"/>
              <w:left w:val="nil"/>
              <w:right w:val="nil"/>
            </w:tcBorders>
          </w:tcPr>
          <w:p w:rsidR="00E25CC6" w:rsidRPr="00367DDD" w:rsidRDefault="00E25CC6" w:rsidP="00652CAB">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Cost</w:t>
            </w:r>
          </w:p>
        </w:tc>
        <w:tc>
          <w:tcPr>
            <w:tcW w:w="906" w:type="dxa"/>
            <w:tcBorders>
              <w:top w:val="single" w:sz="6" w:space="0" w:color="auto"/>
              <w:left w:val="nil"/>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652CAB">
        <w:trPr>
          <w:cantSplit/>
        </w:trPr>
        <w:tc>
          <w:tcPr>
            <w:tcW w:w="3144" w:type="dxa"/>
            <w:tcBorders>
              <w:top w:val="nil"/>
              <w:left w:val="nil"/>
              <w:bottom w:val="single" w:sz="12" w:space="0" w:color="auto"/>
              <w:right w:val="nil"/>
            </w:tcBorders>
          </w:tcPr>
          <w:p w:rsidR="00E25CC6" w:rsidRPr="00367DDD" w:rsidRDefault="00E25CC6" w:rsidP="00652CAB">
            <w:pPr>
              <w:pStyle w:val="OGTabText"/>
              <w:rPr>
                <w:lang w:eastAsia="en-AU"/>
              </w:rPr>
            </w:pPr>
            <w:r w:rsidRPr="00367DDD">
              <w:rPr>
                <w:lang w:eastAsia="en-AU"/>
              </w:rPr>
              <w:t>Total output cost</w:t>
            </w:r>
          </w:p>
        </w:tc>
        <w:tc>
          <w:tcPr>
            <w:tcW w:w="906" w:type="dxa"/>
            <w:tcBorders>
              <w:top w:val="nil"/>
              <w:left w:val="nil"/>
              <w:bottom w:val="single" w:sz="12" w:space="0" w:color="auto"/>
              <w:right w:val="nil"/>
            </w:tcBorders>
          </w:tcPr>
          <w:p w:rsidR="00E25CC6" w:rsidRPr="00367DDD" w:rsidRDefault="00E25CC6" w:rsidP="00652CAB">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million</w:t>
            </w:r>
          </w:p>
        </w:tc>
        <w:tc>
          <w:tcPr>
            <w:tcW w:w="907" w:type="dxa"/>
            <w:tcBorders>
              <w:top w:val="nil"/>
              <w:left w:val="nil"/>
              <w:bottom w:val="single" w:sz="12" w:space="0" w:color="auto"/>
              <w:right w:val="nil"/>
            </w:tcBorders>
            <w:shd w:val="clear" w:color="auto" w:fill="DCDCDC"/>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31.4</w:t>
            </w:r>
          </w:p>
        </w:tc>
        <w:tc>
          <w:tcPr>
            <w:tcW w:w="992" w:type="dxa"/>
            <w:tcBorders>
              <w:top w:val="nil"/>
              <w:left w:val="nil"/>
              <w:bottom w:val="single" w:sz="12"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30.8</w:t>
            </w:r>
          </w:p>
        </w:tc>
        <w:tc>
          <w:tcPr>
            <w:tcW w:w="907" w:type="dxa"/>
            <w:tcBorders>
              <w:top w:val="nil"/>
              <w:left w:val="nil"/>
              <w:bottom w:val="single" w:sz="12"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30.7</w:t>
            </w:r>
          </w:p>
        </w:tc>
        <w:tc>
          <w:tcPr>
            <w:tcW w:w="911" w:type="dxa"/>
            <w:tcBorders>
              <w:top w:val="nil"/>
              <w:left w:val="nil"/>
              <w:bottom w:val="single" w:sz="12" w:space="0" w:color="auto"/>
              <w:right w:val="nil"/>
            </w:tcBorders>
          </w:tcPr>
          <w:p w:rsidR="00E25CC6" w:rsidRPr="00367DDD" w:rsidRDefault="00E25CC6" w:rsidP="00652CAB">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23.5</w:t>
            </w:r>
          </w:p>
        </w:tc>
      </w:tr>
    </w:tbl>
    <w:p w:rsidR="00E25CC6" w:rsidRDefault="00E25CC6" w:rsidP="00081FC8">
      <w:pPr>
        <w:pStyle w:val="Source"/>
      </w:pPr>
      <w:r>
        <w:t xml:space="preserve">Source: Parliament of Victoria </w:t>
      </w:r>
      <w:r>
        <w:fldChar w:fldCharType="begin"/>
      </w:r>
      <w:r>
        <w:instrText xml:space="preserve"> XE "</w:instrText>
      </w:r>
      <w:r w:rsidRPr="00316A17">
        <w:instrText>Parliament:Legislative Assembly</w:instrText>
      </w:r>
      <w:r>
        <w:instrText xml:space="preserve">" </w:instrText>
      </w:r>
      <w:r>
        <w:fldChar w:fldCharType="end"/>
      </w:r>
    </w:p>
    <w:p w:rsidR="00E25CC6" w:rsidRDefault="00E25CC6" w:rsidP="00081FC8">
      <w:pPr>
        <w:spacing w:after="0"/>
        <w:rPr>
          <w:rFonts w:ascii="Calibri" w:hAnsi="Calibri"/>
          <w:b/>
          <w:sz w:val="32"/>
          <w:szCs w:val="28"/>
          <w:lang w:eastAsia="en-AU"/>
        </w:rPr>
      </w:pPr>
      <w:r>
        <w:rPr>
          <w:lang w:eastAsia="en-AU"/>
        </w:rPr>
        <w:br w:type="page"/>
      </w:r>
    </w:p>
    <w:p w:rsidR="00E25CC6" w:rsidRDefault="00E25CC6" w:rsidP="00367DDD">
      <w:pPr>
        <w:pStyle w:val="OGHeading1"/>
        <w:rPr>
          <w:rFonts w:eastAsiaTheme="minorHAnsi"/>
        </w:rPr>
      </w:pPr>
      <w:r w:rsidRPr="00326101">
        <w:rPr>
          <w:lang w:eastAsia="en-AU"/>
        </w:rPr>
        <w:t>Legislative Council</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6"/>
        <w:gridCol w:w="907"/>
        <w:gridCol w:w="992"/>
        <w:gridCol w:w="907"/>
        <w:gridCol w:w="911"/>
      </w:tblGrid>
      <w:tr w:rsidR="00E25CC6" w:rsidRPr="00367DDD" w:rsidTr="00367DDD">
        <w:trPr>
          <w:cantSplit/>
          <w:tblHeader/>
        </w:trPr>
        <w:tc>
          <w:tcPr>
            <w:tcW w:w="3144"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b/>
                <w:bCs/>
                <w:color w:val="FFFFFF"/>
                <w:sz w:val="19"/>
                <w:szCs w:val="22"/>
                <w:lang w:eastAsia="en-AU"/>
              </w:rPr>
              <w:t>Major outputs/deliverables</w:t>
            </w:r>
          </w:p>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Performance measures</w:t>
            </w:r>
          </w:p>
        </w:tc>
        <w:tc>
          <w:tcPr>
            <w:tcW w:w="906"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center"/>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target</w:t>
            </w:r>
          </w:p>
        </w:tc>
        <w:tc>
          <w:tcPr>
            <w:tcW w:w="911"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15 actual</w:t>
            </w:r>
          </w:p>
        </w:tc>
      </w:tr>
      <w:tr w:rsidR="00E25CC6" w:rsidRPr="00367DDD" w:rsidTr="00367DDD">
        <w:trPr>
          <w:cantSplit/>
        </w:trPr>
        <w:tc>
          <w:tcPr>
            <w:tcW w:w="7767" w:type="dxa"/>
            <w:gridSpan w:val="6"/>
            <w:tcBorders>
              <w:top w:val="single" w:sz="4" w:space="0" w:color="auto"/>
              <w:left w:val="nil"/>
              <w:bottom w:val="nil"/>
              <w:right w:val="nil"/>
            </w:tcBorders>
          </w:tcPr>
          <w:p w:rsidR="00E25CC6" w:rsidRPr="00367DDD" w:rsidRDefault="00E25CC6" w:rsidP="00367DDD">
            <w:pPr>
              <w:pStyle w:val="OGHeading2"/>
              <w:rPr>
                <w:lang w:eastAsia="en-AU"/>
              </w:rPr>
            </w:pPr>
            <w:r w:rsidRPr="00367DDD">
              <w:rPr>
                <w:lang w:eastAsia="en-AU"/>
              </w:rPr>
              <w:t>Procedural Support, Documentation Preparation and Provision of Information for Council</w:t>
            </w:r>
          </w:p>
        </w:tc>
      </w:tr>
      <w:tr w:rsidR="00E25CC6" w:rsidRPr="00367DDD" w:rsidTr="00367DDD">
        <w:trPr>
          <w:cantSplit/>
        </w:trPr>
        <w:tc>
          <w:tcPr>
            <w:tcW w:w="7767" w:type="dxa"/>
            <w:gridSpan w:val="6"/>
            <w:tcBorders>
              <w:top w:val="nil"/>
              <w:left w:val="nil"/>
              <w:bottom w:val="single" w:sz="6" w:space="0" w:color="auto"/>
              <w:right w:val="nil"/>
            </w:tcBorders>
          </w:tcPr>
          <w:p w:rsidR="00E25CC6" w:rsidRPr="00367DDD" w:rsidRDefault="00E25CC6" w:rsidP="00367DDD">
            <w:pPr>
              <w:pStyle w:val="OGTabText"/>
              <w:rPr>
                <w:rFonts w:cs="Calibri"/>
                <w:color w:val="000000"/>
                <w:sz w:val="19"/>
                <w:szCs w:val="22"/>
                <w:lang w:eastAsia="en-AU"/>
              </w:rPr>
            </w:pPr>
            <w:r w:rsidRPr="00367DDD">
              <w:rPr>
                <w:lang w:eastAsia="en-AU"/>
              </w:rPr>
              <w:t>This output involves the provision of procedural advice to Members of the Legislative Council including: processing of legislation, preparation of the records of the proceedings and documentation required for the sittings of the Council, provision of assistance to Parliamentary Committees, provision of information relating to the proceedings of the Council, and the enhancement of public awareness of Parliament.</w:t>
            </w:r>
            <w:r w:rsidRPr="00367DDD">
              <w:rPr>
                <w:rFonts w:cs="Calibri"/>
                <w:color w:val="000000"/>
                <w:sz w:val="19"/>
                <w:szCs w:val="22"/>
                <w:lang w:eastAsia="en-AU"/>
              </w:rPr>
              <w:t xml:space="preserve"> </w:t>
            </w:r>
          </w:p>
        </w:tc>
      </w:tr>
      <w:tr w:rsidR="00E25CC6" w:rsidRPr="00367DDD" w:rsidTr="00A853D0">
        <w:trPr>
          <w:cantSplit/>
        </w:trPr>
        <w:tc>
          <w:tcPr>
            <w:tcW w:w="3144" w:type="dxa"/>
            <w:tcBorders>
              <w:top w:val="nil"/>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Quantity</w:t>
            </w:r>
          </w:p>
        </w:tc>
        <w:tc>
          <w:tcPr>
            <w:tcW w:w="906" w:type="dxa"/>
            <w:tcBorders>
              <w:top w:val="nil"/>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A853D0">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Procedural References updated biannually</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w:t>
            </w:r>
          </w:p>
        </w:tc>
      </w:tr>
      <w:tr w:rsidR="00E25CC6" w:rsidRPr="00367DDD" w:rsidTr="00F74E24">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Quality</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F74E24">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Bills and amendments processed accurately through all relevant stages and other business of the House conducted according to law, Standing and Sessional Orders</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367DDD">
            <w:pPr>
              <w:pStyle w:val="OGTabText"/>
              <w:rPr>
                <w:lang w:eastAsia="en-AU"/>
              </w:rPr>
            </w:pPr>
            <w:r w:rsidRPr="00367DDD">
              <w:rPr>
                <w:lang w:eastAsia="en-AU"/>
              </w:rPr>
              <w:t>Member satisfaction with accuracy, clarity and timeliness of advice</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98</w:t>
            </w:r>
          </w:p>
        </w:tc>
      </w:tr>
      <w:tr w:rsidR="00E25CC6" w:rsidRPr="00367DDD" w:rsidTr="00F74E24">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Timeliness</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F74E24">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Documents tabled within time guidelines</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2B20F5">
            <w:pPr>
              <w:pStyle w:val="OGTabText"/>
              <w:rPr>
                <w:lang w:eastAsia="en-AU"/>
              </w:rPr>
            </w:pPr>
            <w:r w:rsidRPr="00367DDD">
              <w:rPr>
                <w:lang w:eastAsia="en-AU"/>
              </w:rPr>
              <w:t>House documents and other sitting</w:t>
            </w:r>
            <w:r>
              <w:rPr>
                <w:lang w:eastAsia="en-AU"/>
              </w:rPr>
              <w:noBreakHyphen/>
            </w:r>
            <w:r w:rsidRPr="00367DDD">
              <w:rPr>
                <w:lang w:eastAsia="en-AU"/>
              </w:rPr>
              <w:t>related information available one day after sitting day</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A853D0">
        <w:trPr>
          <w:cantSplit/>
        </w:trPr>
        <w:tc>
          <w:tcPr>
            <w:tcW w:w="3144" w:type="dxa"/>
            <w:tcBorders>
              <w:top w:val="single" w:sz="6" w:space="0" w:color="auto"/>
              <w:left w:val="nil"/>
              <w:bottom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Cost</w:t>
            </w:r>
          </w:p>
        </w:tc>
        <w:tc>
          <w:tcPr>
            <w:tcW w:w="906"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367DDD">
        <w:trPr>
          <w:cantSplit/>
        </w:trPr>
        <w:tc>
          <w:tcPr>
            <w:tcW w:w="3144" w:type="dxa"/>
            <w:tcBorders>
              <w:top w:val="nil"/>
              <w:left w:val="nil"/>
              <w:bottom w:val="nil"/>
              <w:right w:val="nil"/>
            </w:tcBorders>
          </w:tcPr>
          <w:p w:rsidR="00E25CC6" w:rsidRPr="00367DDD" w:rsidRDefault="00E25CC6" w:rsidP="00367DDD">
            <w:pPr>
              <w:pStyle w:val="OGTabText"/>
              <w:rPr>
                <w:lang w:eastAsia="en-AU"/>
              </w:rPr>
            </w:pPr>
            <w:r w:rsidRPr="00367DDD">
              <w:rPr>
                <w:lang w:eastAsia="en-AU"/>
              </w:rPr>
              <w:t>Total output cost</w:t>
            </w:r>
          </w:p>
        </w:tc>
        <w:tc>
          <w:tcPr>
            <w:tcW w:w="906" w:type="dxa"/>
            <w:tcBorders>
              <w:top w:val="nil"/>
              <w:left w:val="nil"/>
              <w:bottom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16.6</w:t>
            </w:r>
          </w:p>
        </w:tc>
        <w:tc>
          <w:tcPr>
            <w:tcW w:w="992" w:type="dxa"/>
            <w:tcBorders>
              <w:top w:val="nil"/>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16.4</w:t>
            </w:r>
          </w:p>
        </w:tc>
        <w:tc>
          <w:tcPr>
            <w:tcW w:w="907" w:type="dxa"/>
            <w:tcBorders>
              <w:top w:val="nil"/>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15.8</w:t>
            </w:r>
          </w:p>
        </w:tc>
        <w:tc>
          <w:tcPr>
            <w:tcW w:w="911" w:type="dxa"/>
            <w:tcBorders>
              <w:top w:val="nil"/>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12.5</w:t>
            </w:r>
          </w:p>
        </w:tc>
      </w:tr>
      <w:tr w:rsidR="00E25CC6" w:rsidRPr="00367DDD" w:rsidTr="00367DDD">
        <w:trPr>
          <w:cantSplit/>
        </w:trPr>
        <w:tc>
          <w:tcPr>
            <w:tcW w:w="7767" w:type="dxa"/>
            <w:gridSpan w:val="6"/>
            <w:tcBorders>
              <w:top w:val="nil"/>
              <w:left w:val="nil"/>
              <w:bottom w:val="single" w:sz="12" w:space="0" w:color="auto"/>
              <w:right w:val="nil"/>
            </w:tcBorders>
          </w:tcPr>
          <w:p w:rsidR="00E25CC6" w:rsidRPr="00367DDD" w:rsidRDefault="00E25CC6" w:rsidP="00ED2268">
            <w:pPr>
              <w:pStyle w:val="OGNotes"/>
            </w:pPr>
            <w:r w:rsidRPr="00942592">
              <w:t>The higher 2016</w:t>
            </w:r>
            <w:r w:rsidRPr="00942592">
              <w:noBreakHyphen/>
              <w:t xml:space="preserve">17 target is </w:t>
            </w:r>
            <w:r w:rsidRPr="00367DDD">
              <w:t>due to additional funding for Legislative Council Committees.</w:t>
            </w:r>
          </w:p>
        </w:tc>
      </w:tr>
    </w:tbl>
    <w:p w:rsidR="00E25CC6" w:rsidRDefault="00E25CC6" w:rsidP="007F1BDD">
      <w:pPr>
        <w:pStyle w:val="Source"/>
      </w:pPr>
      <w:r>
        <w:t xml:space="preserve">Source: Parliament of Victoria </w:t>
      </w:r>
      <w:r>
        <w:fldChar w:fldCharType="begin"/>
      </w:r>
      <w:r>
        <w:instrText xml:space="preserve"> XE "</w:instrText>
      </w:r>
      <w:r w:rsidRPr="0093711E">
        <w:instrText>Parliament:Legislative Council</w:instrText>
      </w:r>
      <w:r>
        <w:instrText xml:space="preserve">" </w:instrText>
      </w:r>
      <w:r>
        <w:fldChar w:fldCharType="end"/>
      </w:r>
      <w:r>
        <w:t xml:space="preserve"> </w:t>
      </w:r>
      <w:r>
        <w:fldChar w:fldCharType="begin"/>
      </w:r>
      <w:r>
        <w:instrText xml:space="preserve"> XE "</w:instrText>
      </w:r>
      <w:r w:rsidRPr="00C17834">
        <w:instrText>Legislative Council</w:instrText>
      </w:r>
      <w:r>
        <w:instrText xml:space="preserve">" </w:instrText>
      </w:r>
      <w:r>
        <w:fldChar w:fldCharType="end"/>
      </w:r>
    </w:p>
    <w:p w:rsidR="00E25CC6" w:rsidRDefault="00E25CC6">
      <w:pPr>
        <w:spacing w:after="0"/>
        <w:rPr>
          <w:rFonts w:ascii="Calibri" w:hAnsi="Calibri"/>
          <w:b/>
          <w:sz w:val="32"/>
          <w:szCs w:val="28"/>
          <w:lang w:eastAsia="en-AU"/>
        </w:rPr>
      </w:pPr>
      <w:r>
        <w:rPr>
          <w:lang w:eastAsia="en-AU"/>
        </w:rPr>
        <w:br w:type="page"/>
      </w:r>
    </w:p>
    <w:p w:rsidR="00E25CC6" w:rsidRPr="00367DDD" w:rsidRDefault="00E25CC6" w:rsidP="00367DDD">
      <w:pPr>
        <w:pStyle w:val="OGHeading1"/>
      </w:pPr>
      <w:r w:rsidRPr="00326101">
        <w:rPr>
          <w:lang w:eastAsia="en-AU"/>
        </w:rPr>
        <w:t>Parliamentary Services</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6"/>
        <w:gridCol w:w="907"/>
        <w:gridCol w:w="992"/>
        <w:gridCol w:w="907"/>
        <w:gridCol w:w="911"/>
      </w:tblGrid>
      <w:tr w:rsidR="00E25CC6" w:rsidRPr="00367DDD" w:rsidTr="00367DDD">
        <w:trPr>
          <w:cantSplit/>
          <w:tblHeader/>
        </w:trPr>
        <w:tc>
          <w:tcPr>
            <w:tcW w:w="3144"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b/>
                <w:bCs/>
                <w:color w:val="FFFFFF"/>
                <w:sz w:val="19"/>
                <w:szCs w:val="22"/>
                <w:lang w:eastAsia="en-AU"/>
              </w:rPr>
              <w:t>Major outputs/deliverables</w:t>
            </w:r>
          </w:p>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Performance measures</w:t>
            </w:r>
          </w:p>
        </w:tc>
        <w:tc>
          <w:tcPr>
            <w:tcW w:w="906"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center"/>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target</w:t>
            </w:r>
          </w:p>
        </w:tc>
        <w:tc>
          <w:tcPr>
            <w:tcW w:w="911"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15 actual</w:t>
            </w:r>
          </w:p>
        </w:tc>
      </w:tr>
      <w:tr w:rsidR="00E25CC6" w:rsidRPr="00367DDD" w:rsidTr="00367DDD">
        <w:trPr>
          <w:cantSplit/>
        </w:trPr>
        <w:tc>
          <w:tcPr>
            <w:tcW w:w="7767" w:type="dxa"/>
            <w:gridSpan w:val="6"/>
            <w:tcBorders>
              <w:top w:val="nil"/>
              <w:left w:val="nil"/>
              <w:bottom w:val="nil"/>
              <w:right w:val="nil"/>
            </w:tcBorders>
          </w:tcPr>
          <w:p w:rsidR="00E25CC6" w:rsidRPr="00367DDD" w:rsidRDefault="00E25CC6" w:rsidP="00367DDD">
            <w:pPr>
              <w:pStyle w:val="OGHeading2"/>
              <w:rPr>
                <w:lang w:eastAsia="en-AU"/>
              </w:rPr>
            </w:pPr>
            <w:bookmarkStart w:id="107" w:name="Parl_Svces"/>
            <w:r w:rsidRPr="00367DDD">
              <w:rPr>
                <w:lang w:eastAsia="en-AU"/>
              </w:rPr>
              <w:t xml:space="preserve">Provision of Information and Resources to Parliament </w:t>
            </w:r>
          </w:p>
        </w:tc>
      </w:tr>
      <w:tr w:rsidR="00E25CC6" w:rsidRPr="00367DDD" w:rsidTr="00367DDD">
        <w:trPr>
          <w:cantSplit/>
        </w:trPr>
        <w:tc>
          <w:tcPr>
            <w:tcW w:w="7767" w:type="dxa"/>
            <w:gridSpan w:val="6"/>
            <w:tcBorders>
              <w:top w:val="nil"/>
              <w:left w:val="nil"/>
              <w:bottom w:val="single" w:sz="6" w:space="0" w:color="auto"/>
              <w:right w:val="nil"/>
            </w:tcBorders>
          </w:tcPr>
          <w:p w:rsidR="00E25CC6" w:rsidRPr="00367DDD" w:rsidRDefault="00E25CC6" w:rsidP="00367DDD">
            <w:pPr>
              <w:pStyle w:val="OGText"/>
              <w:rPr>
                <w:rFonts w:cs="Calibri"/>
                <w:color w:val="000000"/>
                <w:sz w:val="19"/>
                <w:szCs w:val="22"/>
                <w:lang w:eastAsia="en-AU"/>
              </w:rPr>
            </w:pPr>
            <w:r w:rsidRPr="00367DDD">
              <w:rPr>
                <w:lang w:eastAsia="en-AU"/>
              </w:rPr>
              <w:t>Parliamentary Services provides consultancy, advisory and support services in the areas of library, Hansard, education, human resources, finance, information technology (IT), maintenance, grounds and facilities along with planning, implementation and management of capital projects, for the Parliament of Victoria.</w:t>
            </w:r>
          </w:p>
        </w:tc>
      </w:tr>
      <w:tr w:rsidR="00E25CC6" w:rsidRPr="00367DDD" w:rsidTr="00F74E24">
        <w:trPr>
          <w:cantSplit/>
        </w:trPr>
        <w:tc>
          <w:tcPr>
            <w:tcW w:w="3144" w:type="dxa"/>
            <w:tcBorders>
              <w:top w:val="nil"/>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Quantity</w:t>
            </w:r>
          </w:p>
        </w:tc>
        <w:tc>
          <w:tcPr>
            <w:tcW w:w="906" w:type="dxa"/>
            <w:tcBorders>
              <w:top w:val="nil"/>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F74E24">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IT systems availability</w:t>
            </w:r>
            <w:r>
              <w:rPr>
                <w:lang w:eastAsia="en-AU"/>
              </w:rPr>
              <w:t xml:space="preserve"> – </w:t>
            </w:r>
            <w:r w:rsidRPr="00367DDD">
              <w:rPr>
                <w:lang w:eastAsia="en-AU"/>
              </w:rPr>
              <w:t>(Parliament and Electorate Offices)</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2B20F5">
            <w:pPr>
              <w:pStyle w:val="OGTabText"/>
              <w:rPr>
                <w:lang w:eastAsia="en-AU"/>
              </w:rPr>
            </w:pPr>
            <w:r w:rsidRPr="00367DDD">
              <w:rPr>
                <w:lang w:eastAsia="en-AU"/>
              </w:rPr>
              <w:t>Monthly management reports to MPs and departments within 5</w:t>
            </w:r>
            <w:r>
              <w:rPr>
                <w:lang w:eastAsia="en-AU"/>
              </w:rPr>
              <w:t> </w:t>
            </w:r>
            <w:r w:rsidRPr="00367DDD">
              <w:rPr>
                <w:lang w:eastAsia="en-AU"/>
              </w:rPr>
              <w:t>business days after the end of the month to include variance information against budgets</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number</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12</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12</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12</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12</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367DDD">
            <w:pPr>
              <w:pStyle w:val="OGTabText"/>
              <w:rPr>
                <w:lang w:eastAsia="en-AU"/>
              </w:rPr>
            </w:pPr>
            <w:r w:rsidRPr="00367DDD">
              <w:rPr>
                <w:lang w:eastAsia="en-AU"/>
              </w:rPr>
              <w:t>Parliamentary audio system transmission availability</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367DDD">
            <w:pPr>
              <w:pStyle w:val="OGTabText"/>
              <w:rPr>
                <w:lang w:eastAsia="en-AU"/>
              </w:rPr>
            </w:pPr>
            <w:r w:rsidRPr="00367DDD">
              <w:rPr>
                <w:lang w:eastAsia="en-AU"/>
              </w:rPr>
              <w:t>Provide MPs with a functional electorate office</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r>
      <w:tr w:rsidR="00E25CC6" w:rsidRPr="00367DDD" w:rsidTr="00F74E24">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Quality</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F74E24">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Clear Audit opinion on Parliamentary Financial Statements (previous year)</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367DDD">
            <w:pPr>
              <w:pStyle w:val="OGTabText"/>
              <w:rPr>
                <w:lang w:eastAsia="en-AU"/>
              </w:rPr>
            </w:pPr>
            <w:r w:rsidRPr="00367DDD">
              <w:rPr>
                <w:lang w:eastAsia="en-AU"/>
              </w:rPr>
              <w:t>Clients satisfied with quality of information provided by Library staff</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85</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85</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85</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97</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367DDD">
            <w:pPr>
              <w:pStyle w:val="OGTabText"/>
              <w:rPr>
                <w:lang w:eastAsia="en-AU"/>
              </w:rPr>
            </w:pPr>
            <w:r w:rsidRPr="00367DDD">
              <w:rPr>
                <w:lang w:eastAsia="en-AU"/>
              </w:rPr>
              <w:t>Maintain and secure the parliamentary precinct and have it available for legislative program</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F74E24">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Timeliness</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F74E24">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Indexes, records and speeches and transcripts provided within agreed timeframes</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90</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94</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367DDD">
            <w:pPr>
              <w:pStyle w:val="OGTabText"/>
              <w:rPr>
                <w:lang w:eastAsia="en-AU"/>
              </w:rPr>
            </w:pPr>
            <w:r w:rsidRPr="00367DDD">
              <w:rPr>
                <w:lang w:eastAsia="en-AU"/>
              </w:rPr>
              <w:t>Payroll processing completed accurately and within agreed timeframes</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99</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A853D0">
        <w:trPr>
          <w:cantSplit/>
        </w:trPr>
        <w:tc>
          <w:tcPr>
            <w:tcW w:w="3144" w:type="dxa"/>
            <w:tcBorders>
              <w:top w:val="single" w:sz="6" w:space="0" w:color="auto"/>
              <w:left w:val="nil"/>
              <w:bottom w:val="nil"/>
              <w:right w:val="nil"/>
            </w:tcBorders>
          </w:tcPr>
          <w:p w:rsidR="00E25CC6" w:rsidRPr="00367DDD" w:rsidRDefault="00E25CC6" w:rsidP="00F74E24">
            <w:pPr>
              <w:keepNext/>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Cost</w:t>
            </w:r>
          </w:p>
        </w:tc>
        <w:tc>
          <w:tcPr>
            <w:tcW w:w="906" w:type="dxa"/>
            <w:tcBorders>
              <w:top w:val="single" w:sz="6" w:space="0" w:color="auto"/>
              <w:left w:val="nil"/>
              <w:bottom w:val="nil"/>
              <w:right w:val="nil"/>
            </w:tcBorders>
          </w:tcPr>
          <w:p w:rsidR="00E25CC6" w:rsidRPr="00367DDD" w:rsidRDefault="00E25CC6" w:rsidP="00F74E24">
            <w:pPr>
              <w:keepNext/>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bottom w:val="nil"/>
              <w:right w:val="nil"/>
            </w:tcBorders>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367DDD">
        <w:trPr>
          <w:cantSplit/>
        </w:trPr>
        <w:tc>
          <w:tcPr>
            <w:tcW w:w="3144" w:type="dxa"/>
            <w:tcBorders>
              <w:top w:val="nil"/>
              <w:left w:val="nil"/>
              <w:bottom w:val="nil"/>
              <w:right w:val="nil"/>
            </w:tcBorders>
          </w:tcPr>
          <w:p w:rsidR="00E25CC6" w:rsidRPr="00367DDD" w:rsidRDefault="00E25CC6" w:rsidP="00F74E24">
            <w:pPr>
              <w:pStyle w:val="OGTabText"/>
              <w:keepNext/>
              <w:rPr>
                <w:lang w:eastAsia="en-AU"/>
              </w:rPr>
            </w:pPr>
            <w:r w:rsidRPr="00367DDD">
              <w:rPr>
                <w:lang w:eastAsia="en-AU"/>
              </w:rPr>
              <w:t>Total output cost</w:t>
            </w:r>
          </w:p>
        </w:tc>
        <w:tc>
          <w:tcPr>
            <w:tcW w:w="906" w:type="dxa"/>
            <w:tcBorders>
              <w:top w:val="nil"/>
              <w:left w:val="nil"/>
              <w:bottom w:val="nil"/>
              <w:right w:val="nil"/>
            </w:tcBorders>
          </w:tcPr>
          <w:p w:rsidR="00E25CC6" w:rsidRPr="00367DDD" w:rsidRDefault="00E25CC6" w:rsidP="00F74E24">
            <w:pPr>
              <w:keepNext/>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97.6</w:t>
            </w:r>
          </w:p>
        </w:tc>
        <w:tc>
          <w:tcPr>
            <w:tcW w:w="992" w:type="dxa"/>
            <w:tcBorders>
              <w:top w:val="nil"/>
              <w:left w:val="nil"/>
              <w:bottom w:val="nil"/>
              <w:right w:val="nil"/>
            </w:tcBorders>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86.9</w:t>
            </w:r>
          </w:p>
        </w:tc>
        <w:tc>
          <w:tcPr>
            <w:tcW w:w="907" w:type="dxa"/>
            <w:tcBorders>
              <w:top w:val="nil"/>
              <w:left w:val="nil"/>
              <w:bottom w:val="nil"/>
              <w:right w:val="nil"/>
            </w:tcBorders>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92.4</w:t>
            </w:r>
          </w:p>
        </w:tc>
        <w:tc>
          <w:tcPr>
            <w:tcW w:w="911" w:type="dxa"/>
            <w:tcBorders>
              <w:top w:val="nil"/>
              <w:left w:val="nil"/>
              <w:bottom w:val="nil"/>
              <w:right w:val="nil"/>
            </w:tcBorders>
          </w:tcPr>
          <w:p w:rsidR="00E25CC6" w:rsidRPr="00367DDD" w:rsidRDefault="00E25CC6" w:rsidP="00F74E24">
            <w:pPr>
              <w:keepNext/>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86.5</w:t>
            </w:r>
          </w:p>
        </w:tc>
      </w:tr>
      <w:tr w:rsidR="00E25CC6" w:rsidRPr="00367DDD" w:rsidTr="00367DDD">
        <w:trPr>
          <w:cantSplit/>
        </w:trPr>
        <w:tc>
          <w:tcPr>
            <w:tcW w:w="7767" w:type="dxa"/>
            <w:gridSpan w:val="6"/>
            <w:tcBorders>
              <w:top w:val="nil"/>
              <w:left w:val="nil"/>
              <w:bottom w:val="single" w:sz="12" w:space="0" w:color="auto"/>
              <w:right w:val="nil"/>
            </w:tcBorders>
          </w:tcPr>
          <w:p w:rsidR="00E25CC6" w:rsidRPr="00942592" w:rsidRDefault="00E25CC6" w:rsidP="00367DDD">
            <w:pPr>
              <w:pStyle w:val="OGNotes"/>
              <w:rPr>
                <w:rFonts w:eastAsiaTheme="minorHAnsi"/>
              </w:rPr>
            </w:pPr>
            <w:r w:rsidRPr="00942592">
              <w:t>The higher 2016</w:t>
            </w:r>
            <w:r w:rsidRPr="00942592">
              <w:noBreakHyphen/>
              <w:t>17 target reflects</w:t>
            </w:r>
            <w:r w:rsidRPr="00942592">
              <w:rPr>
                <w:rFonts w:eastAsiaTheme="minorHAnsi"/>
              </w:rPr>
              <w:t xml:space="preserve"> an estimated carryover of members</w:t>
            </w:r>
            <w:r>
              <w:rPr>
                <w:rFonts w:eastAsiaTheme="minorHAnsi"/>
              </w:rPr>
              <w:t>’</w:t>
            </w:r>
            <w:r w:rsidRPr="00942592">
              <w:rPr>
                <w:rFonts w:eastAsiaTheme="minorHAnsi"/>
              </w:rPr>
              <w:t xml:space="preserve"> budget, additional funding for increased staff at electorate offices to improve staff leave management and for Members</w:t>
            </w:r>
            <w:r>
              <w:rPr>
                <w:rFonts w:eastAsiaTheme="minorHAnsi"/>
              </w:rPr>
              <w:t>’</w:t>
            </w:r>
            <w:r w:rsidRPr="00942592">
              <w:rPr>
                <w:rFonts w:eastAsiaTheme="minorHAnsi"/>
              </w:rPr>
              <w:t xml:space="preserve"> electorate office and communication budget due to an increase in state voter count.</w:t>
            </w:r>
          </w:p>
          <w:p w:rsidR="00E25CC6" w:rsidRPr="00367DDD" w:rsidRDefault="00E25CC6" w:rsidP="00EB234F">
            <w:pPr>
              <w:pStyle w:val="OGNotes"/>
            </w:pPr>
            <w:r w:rsidRPr="00942592">
              <w:t>The 2015</w:t>
            </w:r>
            <w:r w:rsidRPr="00942592">
              <w:noBreakHyphen/>
              <w:t>16 expected outcome is lower than the 2015</w:t>
            </w:r>
            <w:r w:rsidRPr="00942592">
              <w:noBreakHyphen/>
              <w:t xml:space="preserve">16 target due to </w:t>
            </w:r>
            <w:r w:rsidRPr="00942592">
              <w:rPr>
                <w:rFonts w:eastAsiaTheme="minorHAnsi"/>
              </w:rPr>
              <w:t>an estimated carryover of members</w:t>
            </w:r>
            <w:r>
              <w:rPr>
                <w:rFonts w:eastAsiaTheme="minorHAnsi"/>
              </w:rPr>
              <w:t>’</w:t>
            </w:r>
            <w:r w:rsidRPr="00942592">
              <w:rPr>
                <w:rFonts w:eastAsiaTheme="minorHAnsi"/>
              </w:rPr>
              <w:t xml:space="preserve"> budget.</w:t>
            </w:r>
          </w:p>
        </w:tc>
      </w:tr>
    </w:tbl>
    <w:p w:rsidR="00E25CC6" w:rsidRDefault="00E25CC6" w:rsidP="007F1BDD">
      <w:pPr>
        <w:pStyle w:val="Source"/>
      </w:pPr>
      <w:r>
        <w:t>Source: Parliament of Victoria</w:t>
      </w:r>
      <w:bookmarkEnd w:id="107"/>
      <w:r>
        <w:t xml:space="preserve"> </w:t>
      </w:r>
      <w:r>
        <w:fldChar w:fldCharType="begin"/>
      </w:r>
      <w:r>
        <w:instrText xml:space="preserve"> XE "</w:instrText>
      </w:r>
      <w:r w:rsidRPr="00854A9E">
        <w:instrText>Parliament:Parliamentary services</w:instrText>
      </w:r>
      <w:r>
        <w:instrText xml:space="preserve">" \r "Parl_Svces" </w:instrText>
      </w:r>
      <w:r>
        <w:fldChar w:fldCharType="end"/>
      </w:r>
    </w:p>
    <w:p w:rsidR="00E25CC6" w:rsidRDefault="00E25CC6">
      <w:pPr>
        <w:spacing w:after="0"/>
        <w:rPr>
          <w:rFonts w:ascii="Calibri" w:hAnsi="Calibri"/>
          <w:b/>
          <w:sz w:val="32"/>
          <w:szCs w:val="28"/>
          <w:lang w:eastAsia="en-AU"/>
        </w:rPr>
      </w:pPr>
      <w:r>
        <w:rPr>
          <w:lang w:eastAsia="en-AU"/>
        </w:rPr>
        <w:br w:type="page"/>
      </w:r>
    </w:p>
    <w:p w:rsidR="00E25CC6" w:rsidRPr="00150605" w:rsidRDefault="00E25CC6" w:rsidP="00150605">
      <w:pPr>
        <w:pStyle w:val="OGHeading1"/>
      </w:pPr>
      <w:r w:rsidRPr="00326101">
        <w:rPr>
          <w:lang w:eastAsia="en-AU"/>
        </w:rPr>
        <w:t>Parliamentary Investigatory Committees</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6"/>
        <w:gridCol w:w="907"/>
        <w:gridCol w:w="992"/>
        <w:gridCol w:w="907"/>
        <w:gridCol w:w="911"/>
      </w:tblGrid>
      <w:tr w:rsidR="00E25CC6" w:rsidRPr="00367DDD" w:rsidTr="00367DDD">
        <w:trPr>
          <w:cantSplit/>
          <w:tblHeader/>
        </w:trPr>
        <w:tc>
          <w:tcPr>
            <w:tcW w:w="3144"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b/>
                <w:bCs/>
                <w:color w:val="FFFFFF"/>
                <w:sz w:val="19"/>
                <w:szCs w:val="22"/>
                <w:lang w:eastAsia="en-AU"/>
              </w:rPr>
              <w:t>Major outputs/deliverables</w:t>
            </w:r>
          </w:p>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Performance measures</w:t>
            </w:r>
          </w:p>
        </w:tc>
        <w:tc>
          <w:tcPr>
            <w:tcW w:w="906"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center"/>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target</w:t>
            </w:r>
          </w:p>
        </w:tc>
        <w:tc>
          <w:tcPr>
            <w:tcW w:w="911"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15 actual</w:t>
            </w:r>
          </w:p>
        </w:tc>
      </w:tr>
      <w:tr w:rsidR="00E25CC6" w:rsidRPr="00367DDD" w:rsidTr="00367DDD">
        <w:trPr>
          <w:cantSplit/>
        </w:trPr>
        <w:tc>
          <w:tcPr>
            <w:tcW w:w="7767" w:type="dxa"/>
            <w:gridSpan w:val="6"/>
            <w:tcBorders>
              <w:top w:val="nil"/>
              <w:left w:val="nil"/>
              <w:bottom w:val="nil"/>
              <w:right w:val="nil"/>
            </w:tcBorders>
          </w:tcPr>
          <w:p w:rsidR="00E25CC6" w:rsidRPr="00367DDD" w:rsidRDefault="00E25CC6" w:rsidP="00367DDD">
            <w:pPr>
              <w:pStyle w:val="OGHeading2"/>
              <w:rPr>
                <w:lang w:eastAsia="en-AU"/>
              </w:rPr>
            </w:pPr>
            <w:r w:rsidRPr="00367DDD">
              <w:rPr>
                <w:lang w:eastAsia="en-AU"/>
              </w:rPr>
              <w:t xml:space="preserve">Reports tabled and papers published </w:t>
            </w:r>
          </w:p>
        </w:tc>
      </w:tr>
      <w:tr w:rsidR="00E25CC6" w:rsidRPr="00367DDD" w:rsidTr="00367DDD">
        <w:trPr>
          <w:cantSplit/>
        </w:trPr>
        <w:tc>
          <w:tcPr>
            <w:tcW w:w="7767" w:type="dxa"/>
            <w:gridSpan w:val="6"/>
            <w:tcBorders>
              <w:top w:val="nil"/>
              <w:left w:val="nil"/>
              <w:bottom w:val="single" w:sz="6" w:space="0" w:color="auto"/>
              <w:right w:val="nil"/>
            </w:tcBorders>
          </w:tcPr>
          <w:p w:rsidR="00E25CC6" w:rsidRPr="00367DDD" w:rsidRDefault="00E25CC6" w:rsidP="00367DDD">
            <w:pPr>
              <w:pStyle w:val="OGText"/>
            </w:pPr>
            <w:r w:rsidRPr="00367DDD">
              <w:t xml:space="preserve">Joint Investigatory Committees are appointed pursuant to the </w:t>
            </w:r>
            <w:r>
              <w:rPr>
                <w:i/>
              </w:rPr>
              <w:t>Parliamentary Committees Act </w:t>
            </w:r>
            <w:r w:rsidRPr="001526FD">
              <w:rPr>
                <w:i/>
              </w:rPr>
              <w:t>2003</w:t>
            </w:r>
            <w:r w:rsidRPr="00367DDD">
              <w:t xml:space="preserve"> to inquire into and report on matters referred by either House or the Governor in Council, or which may be self</w:t>
            </w:r>
            <w:r>
              <w:noBreakHyphen/>
            </w:r>
            <w:r w:rsidRPr="00367DDD">
              <w:t>generated by a committee.</w:t>
            </w:r>
          </w:p>
        </w:tc>
      </w:tr>
      <w:tr w:rsidR="00E25CC6" w:rsidRPr="00367DDD" w:rsidTr="00A853D0">
        <w:trPr>
          <w:cantSplit/>
        </w:trPr>
        <w:tc>
          <w:tcPr>
            <w:tcW w:w="3144" w:type="dxa"/>
            <w:tcBorders>
              <w:top w:val="nil"/>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Quantity</w:t>
            </w:r>
          </w:p>
        </w:tc>
        <w:tc>
          <w:tcPr>
            <w:tcW w:w="906" w:type="dxa"/>
            <w:tcBorders>
              <w:top w:val="nil"/>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nil"/>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A853D0">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Reports tabled per annum</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number</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28</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28</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28</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28</w:t>
            </w:r>
          </w:p>
        </w:tc>
      </w:tr>
      <w:tr w:rsidR="00E25CC6" w:rsidRPr="00367DDD" w:rsidTr="00F74E24">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Quality</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F74E24">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Committee members satisfied that advice about procedure, research and administration is responsive, clear, objective and prompt</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98</w:t>
            </w:r>
          </w:p>
        </w:tc>
      </w:tr>
      <w:tr w:rsidR="00E25CC6" w:rsidRPr="00367DDD" w:rsidTr="00F74E24">
        <w:trPr>
          <w:cantSplit/>
        </w:trPr>
        <w:tc>
          <w:tcPr>
            <w:tcW w:w="3144" w:type="dxa"/>
            <w:tcBorders>
              <w:top w:val="single" w:sz="6" w:space="0" w:color="auto"/>
              <w:left w:val="nil"/>
              <w:bottom w:val="single" w:sz="6" w:space="0" w:color="auto"/>
              <w:right w:val="nil"/>
            </w:tcBorders>
          </w:tcPr>
          <w:p w:rsidR="00E25CC6" w:rsidRPr="00367DDD" w:rsidRDefault="00E25CC6" w:rsidP="00367DDD">
            <w:pPr>
              <w:pStyle w:val="OGTabText"/>
              <w:rPr>
                <w:lang w:eastAsia="en-AU"/>
              </w:rPr>
            </w:pPr>
            <w:r w:rsidRPr="00367DDD">
              <w:rPr>
                <w:lang w:eastAsia="en-AU"/>
              </w:rPr>
              <w:t>Inquiries conducted and reports produced in compliance with procedural and legislative requirements</w:t>
            </w:r>
          </w:p>
        </w:tc>
        <w:tc>
          <w:tcPr>
            <w:tcW w:w="906"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92"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07"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11" w:type="dxa"/>
            <w:tcBorders>
              <w:top w:val="single" w:sz="6" w:space="0" w:color="auto"/>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A853D0">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Timeliness</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A853D0">
        <w:trPr>
          <w:cantSplit/>
        </w:trPr>
        <w:tc>
          <w:tcPr>
            <w:tcW w:w="3144" w:type="dxa"/>
            <w:tcBorders>
              <w:top w:val="nil"/>
              <w:left w:val="nil"/>
              <w:bottom w:val="single" w:sz="6" w:space="0" w:color="auto"/>
              <w:right w:val="nil"/>
            </w:tcBorders>
          </w:tcPr>
          <w:p w:rsidR="00E25CC6" w:rsidRPr="00367DDD" w:rsidRDefault="00E25CC6" w:rsidP="00367DDD">
            <w:pPr>
              <w:pStyle w:val="OGTabText"/>
              <w:rPr>
                <w:lang w:eastAsia="en-AU"/>
              </w:rPr>
            </w:pPr>
            <w:r w:rsidRPr="00367DDD">
              <w:rPr>
                <w:lang w:eastAsia="en-AU"/>
              </w:rPr>
              <w:t>Reports tabled in compliance with procedural and legislative deadlines</w:t>
            </w:r>
          </w:p>
        </w:tc>
        <w:tc>
          <w:tcPr>
            <w:tcW w:w="906"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bottom w:val="single" w:sz="6"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92"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07"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95</w:t>
            </w:r>
          </w:p>
        </w:tc>
        <w:tc>
          <w:tcPr>
            <w:tcW w:w="911" w:type="dxa"/>
            <w:tcBorders>
              <w:top w:val="nil"/>
              <w:left w:val="nil"/>
              <w:bottom w:val="single" w:sz="6"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100</w:t>
            </w:r>
          </w:p>
        </w:tc>
      </w:tr>
      <w:tr w:rsidR="00E25CC6" w:rsidRPr="00367DDD" w:rsidTr="00A853D0">
        <w:trPr>
          <w:cantSplit/>
        </w:trPr>
        <w:tc>
          <w:tcPr>
            <w:tcW w:w="3144" w:type="dxa"/>
            <w:tcBorders>
              <w:top w:val="single" w:sz="6" w:space="0" w:color="auto"/>
              <w:left w:val="nil"/>
              <w:bottom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Cost</w:t>
            </w:r>
          </w:p>
        </w:tc>
        <w:tc>
          <w:tcPr>
            <w:tcW w:w="906"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367DDD">
        <w:trPr>
          <w:cantSplit/>
        </w:trPr>
        <w:tc>
          <w:tcPr>
            <w:tcW w:w="3144" w:type="dxa"/>
            <w:tcBorders>
              <w:top w:val="nil"/>
              <w:left w:val="nil"/>
              <w:bottom w:val="nil"/>
              <w:right w:val="nil"/>
            </w:tcBorders>
          </w:tcPr>
          <w:p w:rsidR="00E25CC6" w:rsidRPr="00367DDD" w:rsidRDefault="00E25CC6" w:rsidP="00367DDD">
            <w:pPr>
              <w:pStyle w:val="OGTabText"/>
              <w:rPr>
                <w:lang w:eastAsia="en-AU"/>
              </w:rPr>
            </w:pPr>
            <w:r w:rsidRPr="00367DDD">
              <w:rPr>
                <w:lang w:eastAsia="en-AU"/>
              </w:rPr>
              <w:t>Total output cost</w:t>
            </w:r>
          </w:p>
        </w:tc>
        <w:tc>
          <w:tcPr>
            <w:tcW w:w="906" w:type="dxa"/>
            <w:tcBorders>
              <w:top w:val="nil"/>
              <w:left w:val="nil"/>
              <w:bottom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million</w:t>
            </w:r>
          </w:p>
        </w:tc>
        <w:tc>
          <w:tcPr>
            <w:tcW w:w="907" w:type="dxa"/>
            <w:tcBorders>
              <w:top w:val="nil"/>
              <w:left w:val="nil"/>
              <w:bottom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7.8</w:t>
            </w:r>
          </w:p>
        </w:tc>
        <w:tc>
          <w:tcPr>
            <w:tcW w:w="992" w:type="dxa"/>
            <w:tcBorders>
              <w:top w:val="nil"/>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7.2</w:t>
            </w:r>
          </w:p>
        </w:tc>
        <w:tc>
          <w:tcPr>
            <w:tcW w:w="907" w:type="dxa"/>
            <w:tcBorders>
              <w:top w:val="nil"/>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7</w:t>
            </w:r>
            <w:r w:rsidR="007B7011">
              <w:rPr>
                <w:rFonts w:ascii="Calibri" w:hAnsi="Calibri" w:cs="Calibri"/>
                <w:color w:val="000000"/>
                <w:sz w:val="19"/>
                <w:szCs w:val="22"/>
                <w:lang w:eastAsia="en-AU"/>
              </w:rPr>
              <w:t>.0</w:t>
            </w:r>
          </w:p>
        </w:tc>
        <w:tc>
          <w:tcPr>
            <w:tcW w:w="911" w:type="dxa"/>
            <w:tcBorders>
              <w:top w:val="nil"/>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7</w:t>
            </w:r>
            <w:r w:rsidR="007B7011">
              <w:rPr>
                <w:rFonts w:ascii="Calibri" w:hAnsi="Calibri" w:cs="Calibri"/>
                <w:color w:val="000000"/>
                <w:sz w:val="19"/>
                <w:szCs w:val="22"/>
                <w:lang w:eastAsia="en-AU"/>
              </w:rPr>
              <w:t>.0</w:t>
            </w:r>
          </w:p>
        </w:tc>
      </w:tr>
      <w:tr w:rsidR="00E25CC6" w:rsidRPr="00367DDD" w:rsidTr="00367DDD">
        <w:trPr>
          <w:cantSplit/>
        </w:trPr>
        <w:tc>
          <w:tcPr>
            <w:tcW w:w="7767" w:type="dxa"/>
            <w:gridSpan w:val="6"/>
            <w:tcBorders>
              <w:top w:val="nil"/>
              <w:left w:val="nil"/>
              <w:bottom w:val="single" w:sz="12" w:space="0" w:color="auto"/>
              <w:right w:val="nil"/>
            </w:tcBorders>
          </w:tcPr>
          <w:p w:rsidR="00E25CC6" w:rsidRPr="00367DDD" w:rsidRDefault="00E25CC6" w:rsidP="00ED2268">
            <w:pPr>
              <w:pStyle w:val="OGNotes"/>
            </w:pPr>
            <w:r w:rsidRPr="00942592">
              <w:t>The higher 2016</w:t>
            </w:r>
            <w:r w:rsidRPr="00942592">
              <w:noBreakHyphen/>
              <w:t xml:space="preserve">17 target is due </w:t>
            </w:r>
            <w:r w:rsidRPr="00367DDD">
              <w:t xml:space="preserve">to additional funding to conduct the performance audit of </w:t>
            </w:r>
            <w:r>
              <w:t xml:space="preserve">the </w:t>
            </w:r>
            <w:r w:rsidRPr="00367DDD">
              <w:t>Victorian Auditor</w:t>
            </w:r>
            <w:r>
              <w:noBreakHyphen/>
            </w:r>
            <w:r w:rsidRPr="00367DDD">
              <w:t>General</w:t>
            </w:r>
            <w:r>
              <w:t>’</w:t>
            </w:r>
            <w:r w:rsidRPr="00367DDD">
              <w:t>s Office in 2016</w:t>
            </w:r>
            <w:r>
              <w:noBreakHyphen/>
            </w:r>
            <w:r w:rsidRPr="00367DDD">
              <w:t>17.</w:t>
            </w:r>
          </w:p>
        </w:tc>
      </w:tr>
    </w:tbl>
    <w:p w:rsidR="00E25CC6" w:rsidRDefault="00E25CC6" w:rsidP="007F1BDD">
      <w:pPr>
        <w:pStyle w:val="Source"/>
      </w:pPr>
      <w:r>
        <w:t xml:space="preserve">Source: Parliament of Victoria </w:t>
      </w:r>
      <w:r>
        <w:fldChar w:fldCharType="begin"/>
      </w:r>
      <w:r>
        <w:instrText xml:space="preserve"> XE "</w:instrText>
      </w:r>
      <w:r w:rsidRPr="00033A17">
        <w:instrText>Parliament:Parliamentary investigatory committees</w:instrText>
      </w:r>
      <w:r>
        <w:instrText xml:space="preserve">" </w:instrText>
      </w:r>
      <w:r>
        <w:fldChar w:fldCharType="end"/>
      </w:r>
    </w:p>
    <w:p w:rsidR="00E25CC6" w:rsidRDefault="00E25CC6" w:rsidP="00367DDD"/>
    <w:p w:rsidR="00E25CC6" w:rsidRDefault="00E25CC6" w:rsidP="00F74E24">
      <w:r>
        <w:br w:type="page"/>
      </w:r>
    </w:p>
    <w:p w:rsidR="00E25CC6" w:rsidRPr="00150605" w:rsidRDefault="00E25CC6" w:rsidP="00150605">
      <w:pPr>
        <w:pStyle w:val="OGHeading1"/>
      </w:pPr>
      <w:r>
        <w:rPr>
          <w:lang w:eastAsia="en-AU"/>
        </w:rPr>
        <w:t>Parliamentary Budget Office</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6"/>
        <w:gridCol w:w="907"/>
        <w:gridCol w:w="992"/>
        <w:gridCol w:w="907"/>
        <w:gridCol w:w="911"/>
      </w:tblGrid>
      <w:tr w:rsidR="00E25CC6" w:rsidRPr="00367DDD" w:rsidTr="00367DDD">
        <w:trPr>
          <w:cantSplit/>
          <w:tblHeader/>
        </w:trPr>
        <w:tc>
          <w:tcPr>
            <w:tcW w:w="3144"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b/>
                <w:bCs/>
                <w:color w:val="FFFFFF"/>
                <w:sz w:val="19"/>
                <w:szCs w:val="22"/>
                <w:lang w:eastAsia="en-AU"/>
              </w:rPr>
              <w:t>Major outputs/deliverables</w:t>
            </w:r>
          </w:p>
          <w:p w:rsidR="00E25CC6" w:rsidRPr="00367DDD" w:rsidRDefault="00E25CC6" w:rsidP="00367DDD">
            <w:pPr>
              <w:autoSpaceDE w:val="0"/>
              <w:autoSpaceDN w:val="0"/>
              <w:adjustRightInd w:val="0"/>
              <w:spacing w:after="0"/>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Performance measures</w:t>
            </w:r>
          </w:p>
        </w:tc>
        <w:tc>
          <w:tcPr>
            <w:tcW w:w="906"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center"/>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2016</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2015</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16 target</w:t>
            </w:r>
          </w:p>
        </w:tc>
        <w:tc>
          <w:tcPr>
            <w:tcW w:w="911" w:type="dxa"/>
            <w:tcBorders>
              <w:top w:val="nil"/>
              <w:left w:val="nil"/>
              <w:bottom w:val="single" w:sz="4" w:space="0" w:color="auto"/>
              <w:right w:val="nil"/>
            </w:tcBorders>
            <w:shd w:val="solid" w:color="000000" w:fill="auto"/>
            <w:vAlign w:val="bottom"/>
          </w:tcPr>
          <w:p w:rsidR="00E25CC6" w:rsidRPr="00367DDD" w:rsidRDefault="00E25CC6" w:rsidP="00367DDD">
            <w:pPr>
              <w:autoSpaceDE w:val="0"/>
              <w:autoSpaceDN w:val="0"/>
              <w:adjustRightInd w:val="0"/>
              <w:spacing w:after="0"/>
              <w:jc w:val="right"/>
              <w:rPr>
                <w:rFonts w:ascii="Calibri" w:hAnsi="Calibri" w:cs="Calibri"/>
                <w:i/>
                <w:iCs/>
                <w:color w:val="FFFFFF"/>
                <w:sz w:val="19"/>
                <w:szCs w:val="22"/>
                <w:lang w:eastAsia="en-AU"/>
              </w:rPr>
            </w:pPr>
            <w:r w:rsidRPr="00367DDD">
              <w:rPr>
                <w:rFonts w:ascii="Calibri" w:hAnsi="Calibri" w:cs="Calibri"/>
                <w:i/>
                <w:iCs/>
                <w:color w:val="FFFFFF"/>
                <w:sz w:val="19"/>
                <w:szCs w:val="22"/>
                <w:lang w:eastAsia="en-AU"/>
              </w:rPr>
              <w:t>2014</w:t>
            </w:r>
            <w:r>
              <w:rPr>
                <w:rFonts w:ascii="Calibri" w:hAnsi="Calibri" w:cs="Calibri"/>
                <w:i/>
                <w:iCs/>
                <w:color w:val="FFFFFF"/>
                <w:sz w:val="19"/>
                <w:szCs w:val="22"/>
                <w:lang w:eastAsia="en-AU"/>
              </w:rPr>
              <w:noBreakHyphen/>
            </w:r>
            <w:r w:rsidRPr="00367DDD">
              <w:rPr>
                <w:rFonts w:ascii="Calibri" w:hAnsi="Calibri" w:cs="Calibri"/>
                <w:i/>
                <w:iCs/>
                <w:color w:val="FFFFFF"/>
                <w:sz w:val="19"/>
                <w:szCs w:val="22"/>
                <w:lang w:eastAsia="en-AU"/>
              </w:rPr>
              <w:t>15 actual</w:t>
            </w:r>
          </w:p>
        </w:tc>
      </w:tr>
      <w:tr w:rsidR="00E25CC6" w:rsidRPr="00367DDD" w:rsidTr="00367DDD">
        <w:trPr>
          <w:cantSplit/>
        </w:trPr>
        <w:tc>
          <w:tcPr>
            <w:tcW w:w="7767" w:type="dxa"/>
            <w:gridSpan w:val="6"/>
            <w:tcBorders>
              <w:top w:val="nil"/>
              <w:left w:val="nil"/>
              <w:bottom w:val="nil"/>
              <w:right w:val="nil"/>
            </w:tcBorders>
          </w:tcPr>
          <w:p w:rsidR="00E25CC6" w:rsidRPr="00367DDD" w:rsidRDefault="00E25CC6" w:rsidP="00150605">
            <w:pPr>
              <w:pStyle w:val="OGHeading2"/>
              <w:rPr>
                <w:lang w:eastAsia="en-AU"/>
              </w:rPr>
            </w:pPr>
            <w:r w:rsidRPr="00367DDD">
              <w:rPr>
                <w:lang w:eastAsia="en-AU"/>
              </w:rPr>
              <w:t>Parliamentary Budget Off</w:t>
            </w:r>
            <w:r>
              <w:rPr>
                <w:lang w:eastAsia="en-AU"/>
              </w:rPr>
              <w:t>i</w:t>
            </w:r>
            <w:r w:rsidRPr="00367DDD">
              <w:rPr>
                <w:lang w:eastAsia="en-AU"/>
              </w:rPr>
              <w:t>ce</w:t>
            </w:r>
          </w:p>
        </w:tc>
      </w:tr>
      <w:tr w:rsidR="00E25CC6" w:rsidRPr="00367DDD" w:rsidTr="00367DDD">
        <w:trPr>
          <w:cantSplit/>
        </w:trPr>
        <w:tc>
          <w:tcPr>
            <w:tcW w:w="7767" w:type="dxa"/>
            <w:gridSpan w:val="6"/>
            <w:tcBorders>
              <w:top w:val="nil"/>
              <w:left w:val="nil"/>
              <w:bottom w:val="single" w:sz="6" w:space="0" w:color="auto"/>
              <w:right w:val="nil"/>
            </w:tcBorders>
          </w:tcPr>
          <w:p w:rsidR="00E25CC6" w:rsidRPr="00367DDD" w:rsidRDefault="00E25CC6" w:rsidP="00F21F62">
            <w:pPr>
              <w:pStyle w:val="OGText"/>
            </w:pPr>
            <w:r w:rsidRPr="00367DDD">
              <w:t>This output provides policy costings and advisory services to members of Parliament, and pre</w:t>
            </w:r>
            <w:r>
              <w:noBreakHyphen/>
            </w:r>
            <w:r w:rsidRPr="00367DDD">
              <w:t>election and post</w:t>
            </w:r>
            <w:r>
              <w:noBreakHyphen/>
            </w:r>
            <w:r w:rsidRPr="00367DDD">
              <w:t xml:space="preserve">election reports. The first year of operations will mainly involve establishing the </w:t>
            </w:r>
            <w:r>
              <w:t>Parliamentary Budget Office (</w:t>
            </w:r>
            <w:r w:rsidRPr="00367DDD">
              <w:t>PBO</w:t>
            </w:r>
            <w:r>
              <w:t>)</w:t>
            </w:r>
            <w:r w:rsidRPr="00367DDD">
              <w:t xml:space="preserve"> and its operational capability</w:t>
            </w:r>
            <w:r>
              <w:t>,</w:t>
            </w:r>
            <w:r w:rsidRPr="00367DDD">
              <w:t xml:space="preserve"> including recruitment of the first Parliamentary Budget Officer and staff</w:t>
            </w:r>
            <w:r>
              <w:t>,</w:t>
            </w:r>
            <w:r w:rsidRPr="00367DDD">
              <w:t xml:space="preserve"> developing governance, data security, infrastructure and operational arrangements, building analytical and research capability and some policy costing services.</w:t>
            </w:r>
            <w:r>
              <w:t xml:space="preserve"> </w:t>
            </w:r>
          </w:p>
        </w:tc>
      </w:tr>
      <w:tr w:rsidR="00E25CC6" w:rsidRPr="00367DDD" w:rsidTr="00A853D0">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Quality</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7D008D">
        <w:trPr>
          <w:cantSplit/>
        </w:trPr>
        <w:tc>
          <w:tcPr>
            <w:tcW w:w="3144" w:type="dxa"/>
            <w:tcBorders>
              <w:top w:val="nil"/>
              <w:left w:val="nil"/>
              <w:right w:val="nil"/>
            </w:tcBorders>
          </w:tcPr>
          <w:p w:rsidR="00E25CC6" w:rsidRPr="00367DDD" w:rsidRDefault="00E25CC6" w:rsidP="00367DDD">
            <w:pPr>
              <w:pStyle w:val="OGTabText"/>
              <w:rPr>
                <w:lang w:eastAsia="en-AU"/>
              </w:rPr>
            </w:pPr>
            <w:r w:rsidRPr="00367DDD">
              <w:rPr>
                <w:lang w:eastAsia="en-AU"/>
              </w:rPr>
              <w:t xml:space="preserve">Satisfaction of Parliamentary stakeholders with policy costings and financial advice </w:t>
            </w:r>
          </w:p>
        </w:tc>
        <w:tc>
          <w:tcPr>
            <w:tcW w:w="906" w:type="dxa"/>
            <w:tcBorders>
              <w:top w:val="nil"/>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92"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c>
          <w:tcPr>
            <w:tcW w:w="907"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c>
          <w:tcPr>
            <w:tcW w:w="911"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r>
      <w:tr w:rsidR="00E25CC6" w:rsidRPr="00367DDD" w:rsidTr="007D008D">
        <w:trPr>
          <w:cantSplit/>
        </w:trPr>
        <w:tc>
          <w:tcPr>
            <w:tcW w:w="7767" w:type="dxa"/>
            <w:gridSpan w:val="6"/>
            <w:tcBorders>
              <w:top w:val="nil"/>
              <w:left w:val="nil"/>
              <w:bottom w:val="single" w:sz="6" w:space="0" w:color="auto"/>
              <w:right w:val="nil"/>
            </w:tcBorders>
          </w:tcPr>
          <w:p w:rsidR="00E25CC6" w:rsidRPr="00367DDD" w:rsidRDefault="00E25CC6" w:rsidP="00C52184">
            <w:pPr>
              <w:pStyle w:val="OGNotes"/>
            </w:pPr>
            <w:r>
              <w:t>New performance measure for 2016</w:t>
            </w:r>
            <w:r>
              <w:noBreakHyphen/>
              <w:t xml:space="preserve">17 to reflect the establishment of the </w:t>
            </w:r>
            <w:r w:rsidRPr="007D008D">
              <w:t>Parliamentary Budget Office</w:t>
            </w:r>
            <w:r>
              <w:t>.</w:t>
            </w:r>
          </w:p>
        </w:tc>
      </w:tr>
      <w:tr w:rsidR="00E25CC6" w:rsidRPr="00367DDD" w:rsidTr="007D008D">
        <w:trPr>
          <w:cantSplit/>
        </w:trPr>
        <w:tc>
          <w:tcPr>
            <w:tcW w:w="3144" w:type="dxa"/>
            <w:tcBorders>
              <w:top w:val="single" w:sz="6" w:space="0" w:color="auto"/>
              <w:left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Timeliness</w:t>
            </w:r>
          </w:p>
        </w:tc>
        <w:tc>
          <w:tcPr>
            <w:tcW w:w="906" w:type="dxa"/>
            <w:tcBorders>
              <w:top w:val="single" w:sz="6" w:space="0" w:color="auto"/>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7D008D">
        <w:trPr>
          <w:cantSplit/>
        </w:trPr>
        <w:tc>
          <w:tcPr>
            <w:tcW w:w="3144" w:type="dxa"/>
            <w:tcBorders>
              <w:top w:val="nil"/>
              <w:left w:val="nil"/>
              <w:right w:val="nil"/>
            </w:tcBorders>
          </w:tcPr>
          <w:p w:rsidR="00E25CC6" w:rsidRPr="00367DDD" w:rsidRDefault="00E25CC6" w:rsidP="00367DDD">
            <w:pPr>
              <w:pStyle w:val="OGTabText"/>
              <w:rPr>
                <w:lang w:eastAsia="en-AU"/>
              </w:rPr>
            </w:pPr>
            <w:r w:rsidRPr="00367DDD">
              <w:rPr>
                <w:lang w:eastAsia="en-AU"/>
              </w:rPr>
              <w:t>Costing requests responded by due date</w:t>
            </w:r>
          </w:p>
        </w:tc>
        <w:tc>
          <w:tcPr>
            <w:tcW w:w="906" w:type="dxa"/>
            <w:tcBorders>
              <w:top w:val="nil"/>
              <w:left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80</w:t>
            </w:r>
          </w:p>
        </w:tc>
        <w:tc>
          <w:tcPr>
            <w:tcW w:w="992"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c>
          <w:tcPr>
            <w:tcW w:w="907"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c>
          <w:tcPr>
            <w:tcW w:w="911" w:type="dxa"/>
            <w:tcBorders>
              <w:top w:val="nil"/>
              <w:left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r>
      <w:tr w:rsidR="00E25CC6" w:rsidRPr="00367DDD" w:rsidTr="007D008D">
        <w:trPr>
          <w:cantSplit/>
        </w:trPr>
        <w:tc>
          <w:tcPr>
            <w:tcW w:w="7767" w:type="dxa"/>
            <w:gridSpan w:val="6"/>
            <w:tcBorders>
              <w:top w:val="nil"/>
              <w:left w:val="nil"/>
              <w:bottom w:val="single" w:sz="6" w:space="0" w:color="auto"/>
              <w:right w:val="nil"/>
            </w:tcBorders>
          </w:tcPr>
          <w:p w:rsidR="00E25CC6" w:rsidRPr="00367DDD" w:rsidRDefault="00E25CC6" w:rsidP="00E92544">
            <w:pPr>
              <w:pStyle w:val="OGNotes"/>
            </w:pPr>
            <w:r>
              <w:t>New performance measure for 2016</w:t>
            </w:r>
            <w:r>
              <w:noBreakHyphen/>
              <w:t xml:space="preserve">17 to reflect the establishment of the </w:t>
            </w:r>
            <w:r w:rsidRPr="007D008D">
              <w:t>Parliamentary Budget Office</w:t>
            </w:r>
            <w:r>
              <w:t>.</w:t>
            </w:r>
          </w:p>
        </w:tc>
      </w:tr>
      <w:tr w:rsidR="00E25CC6" w:rsidRPr="00942592" w:rsidTr="007D008D">
        <w:trPr>
          <w:cantSplit/>
        </w:trPr>
        <w:tc>
          <w:tcPr>
            <w:tcW w:w="3144" w:type="dxa"/>
            <w:tcBorders>
              <w:top w:val="single" w:sz="6" w:space="0" w:color="auto"/>
              <w:left w:val="nil"/>
              <w:right w:val="nil"/>
            </w:tcBorders>
          </w:tcPr>
          <w:p w:rsidR="00E25CC6" w:rsidRPr="00942592" w:rsidRDefault="00E25CC6" w:rsidP="001526FD">
            <w:pPr>
              <w:pStyle w:val="OGTabText"/>
              <w:rPr>
                <w:lang w:eastAsia="en-AU"/>
              </w:rPr>
            </w:pPr>
            <w:r w:rsidRPr="00942592">
              <w:rPr>
                <w:lang w:eastAsia="en-AU"/>
              </w:rPr>
              <w:t>Operational framework, including protocols and procedures, established and implemented</w:t>
            </w:r>
          </w:p>
        </w:tc>
        <w:tc>
          <w:tcPr>
            <w:tcW w:w="906" w:type="dxa"/>
            <w:tcBorders>
              <w:top w:val="single" w:sz="6" w:space="0" w:color="auto"/>
              <w:left w:val="nil"/>
              <w:right w:val="nil"/>
            </w:tcBorders>
          </w:tcPr>
          <w:p w:rsidR="00E25CC6" w:rsidRPr="00942592" w:rsidRDefault="00E25CC6" w:rsidP="00367DDD">
            <w:pPr>
              <w:autoSpaceDE w:val="0"/>
              <w:autoSpaceDN w:val="0"/>
              <w:adjustRightInd w:val="0"/>
              <w:spacing w:after="0"/>
              <w:jc w:val="center"/>
              <w:rPr>
                <w:rFonts w:ascii="Calibri" w:hAnsi="Calibri" w:cs="Calibri"/>
                <w:sz w:val="19"/>
                <w:szCs w:val="22"/>
                <w:lang w:eastAsia="en-AU"/>
              </w:rPr>
            </w:pPr>
            <w:r w:rsidRPr="00942592">
              <w:rPr>
                <w:rFonts w:ascii="Calibri" w:hAnsi="Calibri" w:cs="Calibri"/>
                <w:sz w:val="19"/>
                <w:szCs w:val="22"/>
                <w:lang w:eastAsia="en-AU"/>
              </w:rPr>
              <w:t>date</w:t>
            </w:r>
          </w:p>
        </w:tc>
        <w:tc>
          <w:tcPr>
            <w:tcW w:w="907" w:type="dxa"/>
            <w:tcBorders>
              <w:top w:val="single" w:sz="6" w:space="0" w:color="auto"/>
              <w:left w:val="nil"/>
              <w:right w:val="nil"/>
            </w:tcBorders>
            <w:shd w:val="clear" w:color="auto" w:fill="DCDCDC"/>
          </w:tcPr>
          <w:p w:rsidR="00E25CC6" w:rsidRPr="00942592" w:rsidRDefault="00E25CC6" w:rsidP="00367DDD">
            <w:pPr>
              <w:autoSpaceDE w:val="0"/>
              <w:autoSpaceDN w:val="0"/>
              <w:adjustRightInd w:val="0"/>
              <w:spacing w:after="0"/>
              <w:jc w:val="right"/>
              <w:rPr>
                <w:rFonts w:ascii="Calibri" w:hAnsi="Calibri" w:cs="Calibri"/>
                <w:sz w:val="19"/>
                <w:szCs w:val="22"/>
                <w:lang w:eastAsia="en-AU"/>
              </w:rPr>
            </w:pPr>
            <w:r w:rsidRPr="00942592">
              <w:rPr>
                <w:rFonts w:ascii="Calibri" w:hAnsi="Calibri" w:cs="Calibri"/>
                <w:sz w:val="19"/>
                <w:szCs w:val="22"/>
                <w:lang w:eastAsia="en-AU"/>
              </w:rPr>
              <w:t>31 March 2017</w:t>
            </w:r>
          </w:p>
        </w:tc>
        <w:tc>
          <w:tcPr>
            <w:tcW w:w="992" w:type="dxa"/>
            <w:tcBorders>
              <w:top w:val="single" w:sz="6" w:space="0" w:color="auto"/>
              <w:left w:val="nil"/>
              <w:right w:val="nil"/>
            </w:tcBorders>
          </w:tcPr>
          <w:p w:rsidR="00E25CC6" w:rsidRPr="00942592" w:rsidRDefault="00E25CC6" w:rsidP="00367DDD">
            <w:pPr>
              <w:autoSpaceDE w:val="0"/>
              <w:autoSpaceDN w:val="0"/>
              <w:adjustRightInd w:val="0"/>
              <w:spacing w:after="0"/>
              <w:jc w:val="right"/>
              <w:rPr>
                <w:rFonts w:ascii="Calibri" w:hAnsi="Calibri" w:cs="Calibri"/>
                <w:sz w:val="19"/>
                <w:szCs w:val="22"/>
                <w:lang w:eastAsia="en-AU"/>
              </w:rPr>
            </w:pPr>
            <w:r w:rsidRPr="00942592">
              <w:rPr>
                <w:rFonts w:ascii="Calibri" w:hAnsi="Calibri" w:cs="Calibri"/>
                <w:sz w:val="19"/>
                <w:szCs w:val="22"/>
                <w:lang w:eastAsia="en-AU"/>
              </w:rPr>
              <w:t>nm</w:t>
            </w:r>
          </w:p>
        </w:tc>
        <w:tc>
          <w:tcPr>
            <w:tcW w:w="907" w:type="dxa"/>
            <w:tcBorders>
              <w:top w:val="single" w:sz="6" w:space="0" w:color="auto"/>
              <w:left w:val="nil"/>
              <w:right w:val="nil"/>
            </w:tcBorders>
          </w:tcPr>
          <w:p w:rsidR="00E25CC6" w:rsidRPr="00942592" w:rsidRDefault="00E25CC6" w:rsidP="00367DDD">
            <w:pPr>
              <w:autoSpaceDE w:val="0"/>
              <w:autoSpaceDN w:val="0"/>
              <w:adjustRightInd w:val="0"/>
              <w:spacing w:after="0"/>
              <w:jc w:val="right"/>
              <w:rPr>
                <w:rFonts w:ascii="Calibri" w:hAnsi="Calibri" w:cs="Calibri"/>
                <w:sz w:val="19"/>
                <w:szCs w:val="22"/>
                <w:lang w:eastAsia="en-AU"/>
              </w:rPr>
            </w:pPr>
            <w:r w:rsidRPr="00942592">
              <w:rPr>
                <w:rFonts w:ascii="Calibri" w:hAnsi="Calibri" w:cs="Calibri"/>
                <w:sz w:val="19"/>
                <w:szCs w:val="22"/>
                <w:lang w:eastAsia="en-AU"/>
              </w:rPr>
              <w:t>nm</w:t>
            </w:r>
          </w:p>
        </w:tc>
        <w:tc>
          <w:tcPr>
            <w:tcW w:w="911" w:type="dxa"/>
            <w:tcBorders>
              <w:top w:val="single" w:sz="6" w:space="0" w:color="auto"/>
              <w:left w:val="nil"/>
              <w:right w:val="nil"/>
            </w:tcBorders>
          </w:tcPr>
          <w:p w:rsidR="00E25CC6" w:rsidRPr="00942592" w:rsidRDefault="00E25CC6" w:rsidP="00367DDD">
            <w:pPr>
              <w:autoSpaceDE w:val="0"/>
              <w:autoSpaceDN w:val="0"/>
              <w:adjustRightInd w:val="0"/>
              <w:spacing w:after="0"/>
              <w:jc w:val="right"/>
              <w:rPr>
                <w:rFonts w:ascii="Calibri" w:hAnsi="Calibri" w:cs="Calibri"/>
                <w:sz w:val="19"/>
                <w:szCs w:val="22"/>
                <w:lang w:eastAsia="en-AU"/>
              </w:rPr>
            </w:pPr>
            <w:r w:rsidRPr="00942592">
              <w:rPr>
                <w:rFonts w:ascii="Calibri" w:hAnsi="Calibri" w:cs="Calibri"/>
                <w:sz w:val="19"/>
                <w:szCs w:val="22"/>
                <w:lang w:eastAsia="en-AU"/>
              </w:rPr>
              <w:t>nm</w:t>
            </w:r>
          </w:p>
        </w:tc>
      </w:tr>
      <w:tr w:rsidR="00E25CC6" w:rsidRPr="00367DDD" w:rsidTr="007D008D">
        <w:trPr>
          <w:cantSplit/>
        </w:trPr>
        <w:tc>
          <w:tcPr>
            <w:tcW w:w="7767" w:type="dxa"/>
            <w:gridSpan w:val="6"/>
            <w:tcBorders>
              <w:left w:val="nil"/>
              <w:bottom w:val="single" w:sz="6" w:space="0" w:color="auto"/>
              <w:right w:val="nil"/>
            </w:tcBorders>
          </w:tcPr>
          <w:p w:rsidR="00E25CC6" w:rsidRPr="00367DDD" w:rsidRDefault="00E25CC6" w:rsidP="00E92544">
            <w:pPr>
              <w:pStyle w:val="OGNotes"/>
            </w:pPr>
            <w:r>
              <w:t>New performance measure for 2016</w:t>
            </w:r>
            <w:r>
              <w:noBreakHyphen/>
              <w:t xml:space="preserve">17 to reflect the establishment of the </w:t>
            </w:r>
            <w:r w:rsidRPr="007D008D">
              <w:t>Parliamentary Budget Office</w:t>
            </w:r>
            <w:r>
              <w:t>.</w:t>
            </w:r>
          </w:p>
        </w:tc>
      </w:tr>
      <w:tr w:rsidR="00E25CC6" w:rsidRPr="00367DDD" w:rsidTr="00A853D0">
        <w:trPr>
          <w:cantSplit/>
        </w:trPr>
        <w:tc>
          <w:tcPr>
            <w:tcW w:w="3144" w:type="dxa"/>
            <w:tcBorders>
              <w:top w:val="single" w:sz="6" w:space="0" w:color="auto"/>
              <w:left w:val="nil"/>
              <w:bottom w:val="nil"/>
              <w:right w:val="nil"/>
            </w:tcBorders>
          </w:tcPr>
          <w:p w:rsidR="00E25CC6" w:rsidRPr="00367DDD" w:rsidRDefault="00E25CC6" w:rsidP="00367DDD">
            <w:pPr>
              <w:autoSpaceDE w:val="0"/>
              <w:autoSpaceDN w:val="0"/>
              <w:adjustRightInd w:val="0"/>
              <w:spacing w:after="0"/>
              <w:ind w:left="227" w:hanging="227"/>
              <w:rPr>
                <w:rFonts w:ascii="Calibri" w:hAnsi="Calibri" w:cs="Calibri"/>
                <w:i/>
                <w:iCs/>
                <w:color w:val="000000"/>
                <w:sz w:val="19"/>
                <w:szCs w:val="22"/>
                <w:lang w:eastAsia="en-AU"/>
              </w:rPr>
            </w:pPr>
            <w:r w:rsidRPr="00367DDD">
              <w:rPr>
                <w:rFonts w:ascii="Calibri" w:hAnsi="Calibri" w:cs="Calibri"/>
                <w:i/>
                <w:iCs/>
                <w:color w:val="000000"/>
                <w:sz w:val="19"/>
                <w:szCs w:val="22"/>
                <w:lang w:eastAsia="en-AU"/>
              </w:rPr>
              <w:t>Cost</w:t>
            </w:r>
          </w:p>
        </w:tc>
        <w:tc>
          <w:tcPr>
            <w:tcW w:w="906"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c>
          <w:tcPr>
            <w:tcW w:w="911" w:type="dxa"/>
            <w:tcBorders>
              <w:top w:val="single" w:sz="6" w:space="0" w:color="auto"/>
              <w:left w:val="nil"/>
              <w:bottom w:val="nil"/>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 xml:space="preserve"> </w:t>
            </w:r>
          </w:p>
        </w:tc>
      </w:tr>
      <w:tr w:rsidR="00E25CC6" w:rsidRPr="00367DDD" w:rsidTr="00367DDD">
        <w:trPr>
          <w:cantSplit/>
        </w:trPr>
        <w:tc>
          <w:tcPr>
            <w:tcW w:w="3144" w:type="dxa"/>
            <w:tcBorders>
              <w:top w:val="nil"/>
              <w:left w:val="nil"/>
              <w:bottom w:val="single" w:sz="12" w:space="0" w:color="auto"/>
              <w:right w:val="nil"/>
            </w:tcBorders>
          </w:tcPr>
          <w:p w:rsidR="00E25CC6" w:rsidRPr="00367DDD" w:rsidRDefault="00E25CC6" w:rsidP="00367DDD">
            <w:pPr>
              <w:pStyle w:val="OGTabText"/>
              <w:rPr>
                <w:lang w:eastAsia="en-AU"/>
              </w:rPr>
            </w:pPr>
            <w:r w:rsidRPr="00367DDD">
              <w:rPr>
                <w:lang w:eastAsia="en-AU"/>
              </w:rPr>
              <w:t>Total output cost</w:t>
            </w:r>
          </w:p>
        </w:tc>
        <w:tc>
          <w:tcPr>
            <w:tcW w:w="906" w:type="dxa"/>
            <w:tcBorders>
              <w:top w:val="nil"/>
              <w:left w:val="nil"/>
              <w:bottom w:val="single" w:sz="12" w:space="0" w:color="auto"/>
              <w:right w:val="nil"/>
            </w:tcBorders>
          </w:tcPr>
          <w:p w:rsidR="00E25CC6" w:rsidRPr="00367DDD" w:rsidRDefault="00E25CC6" w:rsidP="00367DDD">
            <w:pPr>
              <w:autoSpaceDE w:val="0"/>
              <w:autoSpaceDN w:val="0"/>
              <w:adjustRightInd w:val="0"/>
              <w:spacing w:after="0"/>
              <w:jc w:val="center"/>
              <w:rPr>
                <w:rFonts w:ascii="Calibri" w:hAnsi="Calibri" w:cs="Calibri"/>
                <w:color w:val="000000"/>
                <w:sz w:val="19"/>
                <w:szCs w:val="22"/>
                <w:lang w:eastAsia="en-AU"/>
              </w:rPr>
            </w:pPr>
            <w:r w:rsidRPr="00367DDD">
              <w:rPr>
                <w:rFonts w:ascii="Calibri" w:hAnsi="Calibri" w:cs="Calibri"/>
                <w:color w:val="000000"/>
                <w:sz w:val="19"/>
                <w:szCs w:val="22"/>
                <w:lang w:eastAsia="en-AU"/>
              </w:rPr>
              <w:t>$ million</w:t>
            </w:r>
          </w:p>
        </w:tc>
        <w:tc>
          <w:tcPr>
            <w:tcW w:w="907" w:type="dxa"/>
            <w:tcBorders>
              <w:top w:val="nil"/>
              <w:left w:val="nil"/>
              <w:bottom w:val="single" w:sz="12" w:space="0" w:color="auto"/>
              <w:right w:val="nil"/>
            </w:tcBorders>
            <w:shd w:val="clear" w:color="auto" w:fill="DCDCDC"/>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4.4</w:t>
            </w:r>
          </w:p>
        </w:tc>
        <w:tc>
          <w:tcPr>
            <w:tcW w:w="992" w:type="dxa"/>
            <w:tcBorders>
              <w:top w:val="nil"/>
              <w:left w:val="nil"/>
              <w:bottom w:val="single" w:sz="12"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c>
          <w:tcPr>
            <w:tcW w:w="907" w:type="dxa"/>
            <w:tcBorders>
              <w:top w:val="nil"/>
              <w:left w:val="nil"/>
              <w:bottom w:val="single" w:sz="12"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c>
          <w:tcPr>
            <w:tcW w:w="911" w:type="dxa"/>
            <w:tcBorders>
              <w:top w:val="nil"/>
              <w:left w:val="nil"/>
              <w:bottom w:val="single" w:sz="12" w:space="0" w:color="auto"/>
              <w:right w:val="nil"/>
            </w:tcBorders>
          </w:tcPr>
          <w:p w:rsidR="00E25CC6" w:rsidRPr="00367DDD" w:rsidRDefault="00E25CC6" w:rsidP="00367DDD">
            <w:pPr>
              <w:autoSpaceDE w:val="0"/>
              <w:autoSpaceDN w:val="0"/>
              <w:adjustRightInd w:val="0"/>
              <w:spacing w:after="0"/>
              <w:jc w:val="right"/>
              <w:rPr>
                <w:rFonts w:ascii="Calibri" w:hAnsi="Calibri" w:cs="Calibri"/>
                <w:color w:val="000000"/>
                <w:sz w:val="19"/>
                <w:szCs w:val="22"/>
                <w:lang w:eastAsia="en-AU"/>
              </w:rPr>
            </w:pPr>
            <w:r w:rsidRPr="00367DDD">
              <w:rPr>
                <w:rFonts w:ascii="Calibri" w:hAnsi="Calibri" w:cs="Calibri"/>
                <w:color w:val="000000"/>
                <w:sz w:val="19"/>
                <w:szCs w:val="22"/>
                <w:lang w:eastAsia="en-AU"/>
              </w:rPr>
              <w:t>nm</w:t>
            </w:r>
          </w:p>
        </w:tc>
      </w:tr>
    </w:tbl>
    <w:p w:rsidR="00E25CC6" w:rsidRDefault="00E25CC6" w:rsidP="007F1BDD">
      <w:pPr>
        <w:pStyle w:val="Source"/>
      </w:pPr>
      <w:r>
        <w:t xml:space="preserve">Source: Parliament of Victoria </w:t>
      </w:r>
      <w:r>
        <w:fldChar w:fldCharType="begin"/>
      </w:r>
      <w:r>
        <w:instrText xml:space="preserve"> XE "</w:instrText>
      </w:r>
      <w:r w:rsidRPr="00BE41B3">
        <w:instrText>Parliament:Parliamentary Budget Office</w:instrText>
      </w:r>
      <w:r>
        <w:instrText xml:space="preserve">" </w:instrText>
      </w:r>
      <w:r>
        <w:fldChar w:fldCharType="end"/>
      </w:r>
    </w:p>
    <w:p w:rsidR="00E25CC6" w:rsidRDefault="00E25CC6" w:rsidP="00367DDD">
      <w:pPr>
        <w:rPr>
          <w:rFonts w:eastAsiaTheme="minorHAnsi"/>
        </w:rPr>
      </w:pPr>
    </w:p>
    <w:p w:rsidR="00E25CC6" w:rsidRDefault="00E25CC6" w:rsidP="005A3869">
      <w:pPr>
        <w:pStyle w:val="Notes"/>
        <w:rPr>
          <w:rFonts w:eastAsiaTheme="minorHAnsi"/>
        </w:rPr>
      </w:pPr>
    </w:p>
    <w:p w:rsidR="00E25CC6" w:rsidRDefault="00E25CC6">
      <w:pPr>
        <w:spacing w:after="0"/>
        <w:rPr>
          <w:rFonts w:eastAsiaTheme="minorHAnsi"/>
        </w:rPr>
      </w:pPr>
      <w:r>
        <w:rPr>
          <w:rFonts w:eastAsiaTheme="minorHAnsi"/>
        </w:rPr>
        <w:br w:type="page"/>
      </w:r>
    </w:p>
    <w:p w:rsidR="00E25CC6" w:rsidRDefault="00E25CC6" w:rsidP="003B7B24">
      <w:pPr>
        <w:pStyle w:val="OGHeading1"/>
        <w:rPr>
          <w:rFonts w:eastAsiaTheme="minorHAnsi"/>
        </w:rPr>
      </w:pPr>
      <w:r w:rsidRPr="00677349">
        <w:rPr>
          <w:rFonts w:eastAsiaTheme="minorHAnsi"/>
        </w:rPr>
        <w:t>Victorian Auditor</w:t>
      </w:r>
      <w:r>
        <w:rPr>
          <w:rFonts w:eastAsiaTheme="minorHAnsi"/>
        </w:rPr>
        <w:noBreakHyphen/>
      </w:r>
      <w:r w:rsidRPr="00677349">
        <w:rPr>
          <w:rFonts w:eastAsiaTheme="minorHAnsi"/>
        </w:rPr>
        <w:t>General</w:t>
      </w:r>
      <w:r>
        <w:rPr>
          <w:rFonts w:eastAsiaTheme="minorHAnsi"/>
        </w:rPr>
        <w:t>’</w:t>
      </w:r>
      <w:r w:rsidRPr="00677349">
        <w:rPr>
          <w:rFonts w:eastAsiaTheme="minorHAnsi"/>
        </w:rPr>
        <w:t>s Office</w:t>
      </w:r>
    </w:p>
    <w:p w:rsidR="00E25CC6" w:rsidRPr="00B34F0D" w:rsidRDefault="00E25CC6" w:rsidP="00677349">
      <w:pPr>
        <w:pStyle w:val="OGText"/>
        <w:rPr>
          <w:rFonts w:eastAsiaTheme="minorHAnsi"/>
        </w:rPr>
      </w:pPr>
      <w:bookmarkStart w:id="108" w:name="VicAtt_Gen_Office"/>
      <w:r w:rsidRPr="00677349">
        <w:rPr>
          <w:rFonts w:eastAsiaTheme="minorHAnsi"/>
        </w:rPr>
        <w:t>The purpose of the Victorian Auditor</w:t>
      </w:r>
      <w:r>
        <w:rPr>
          <w:rFonts w:eastAsiaTheme="minorHAnsi"/>
        </w:rPr>
        <w:noBreakHyphen/>
      </w:r>
      <w:r w:rsidRPr="00677349">
        <w:rPr>
          <w:rFonts w:eastAsiaTheme="minorHAnsi"/>
        </w:rPr>
        <w:t>General</w:t>
      </w:r>
      <w:r>
        <w:rPr>
          <w:rFonts w:eastAsiaTheme="minorHAnsi"/>
        </w:rPr>
        <w:t>’</w:t>
      </w:r>
      <w:r w:rsidRPr="00677349">
        <w:rPr>
          <w:rFonts w:eastAsiaTheme="minorHAnsi"/>
        </w:rPr>
        <w:t xml:space="preserve">s Office is to provide assurance to Parliament on the accountability and performance of the Victorian public sector. Under the </w:t>
      </w:r>
      <w:r w:rsidRPr="00677349">
        <w:rPr>
          <w:rFonts w:eastAsiaTheme="minorHAnsi"/>
          <w:i/>
        </w:rPr>
        <w:t>Audit Act 1994</w:t>
      </w:r>
      <w:r w:rsidRPr="00677349">
        <w:rPr>
          <w:rFonts w:eastAsiaTheme="minorHAnsi"/>
        </w:rPr>
        <w:t>, the Auditor</w:t>
      </w:r>
      <w:r>
        <w:rPr>
          <w:rFonts w:eastAsiaTheme="minorHAnsi"/>
        </w:rPr>
        <w:noBreakHyphen/>
      </w:r>
      <w:r w:rsidRPr="00677349">
        <w:rPr>
          <w:rFonts w:eastAsiaTheme="minorHAnsi"/>
        </w:rPr>
        <w:t>General audits financial statements prepared by Victorian public sector agencies and issues audit reports. In addition, the Auditor</w:t>
      </w:r>
      <w:r>
        <w:rPr>
          <w:rFonts w:eastAsiaTheme="minorHAnsi"/>
        </w:rPr>
        <w:noBreakHyphen/>
      </w:r>
      <w:r w:rsidRPr="00677349">
        <w:rPr>
          <w:rFonts w:eastAsiaTheme="minorHAnsi"/>
        </w:rPr>
        <w:t>General carries out performance audits to determine whether authorities, operations or activities are operating effectively, economically and efficiently in compliance with all relevant Acts.</w:t>
      </w:r>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B34F0D" w:rsidTr="00A853D0">
        <w:trPr>
          <w:cantSplit/>
          <w:tblHeader/>
        </w:trPr>
        <w:tc>
          <w:tcPr>
            <w:tcW w:w="3146" w:type="dxa"/>
            <w:tcBorders>
              <w:top w:val="nil"/>
              <w:left w:val="nil"/>
              <w:right w:val="nil"/>
            </w:tcBorders>
            <w:shd w:val="solid" w:color="000000" w:fill="auto"/>
            <w:vAlign w:val="bottom"/>
          </w:tcPr>
          <w:p w:rsidR="00E25CC6" w:rsidRPr="00B34F0D" w:rsidRDefault="00E25CC6" w:rsidP="00B34F0D">
            <w:pPr>
              <w:autoSpaceDE w:val="0"/>
              <w:autoSpaceDN w:val="0"/>
              <w:adjustRightInd w:val="0"/>
              <w:spacing w:after="0"/>
              <w:rPr>
                <w:rFonts w:ascii="Calibri" w:eastAsiaTheme="minorEastAsia" w:hAnsi="Calibri" w:cs="Calibri"/>
                <w:i/>
                <w:iCs/>
                <w:color w:val="FFFFFF"/>
                <w:sz w:val="19"/>
                <w:szCs w:val="22"/>
                <w:lang w:eastAsia="en-AU"/>
              </w:rPr>
            </w:pPr>
            <w:r w:rsidRPr="00B34F0D">
              <w:rPr>
                <w:rFonts w:ascii="Calibri" w:eastAsiaTheme="minorEastAsia" w:hAnsi="Calibri" w:cs="Calibri"/>
                <w:b/>
                <w:bCs/>
                <w:color w:val="FFFFFF"/>
                <w:sz w:val="19"/>
                <w:szCs w:val="22"/>
                <w:lang w:eastAsia="en-AU"/>
              </w:rPr>
              <w:t>Major outputs/deliverables</w:t>
            </w:r>
          </w:p>
          <w:p w:rsidR="00E25CC6" w:rsidRPr="00B34F0D" w:rsidRDefault="00E25CC6" w:rsidP="00B34F0D">
            <w:pPr>
              <w:autoSpaceDE w:val="0"/>
              <w:autoSpaceDN w:val="0"/>
              <w:adjustRightInd w:val="0"/>
              <w:spacing w:after="0"/>
              <w:rPr>
                <w:rFonts w:ascii="Calibri" w:eastAsiaTheme="minorEastAsia" w:hAnsi="Calibri" w:cs="Calibri"/>
                <w:i/>
                <w:iCs/>
                <w:color w:val="FFFFFF"/>
                <w:sz w:val="19"/>
                <w:szCs w:val="22"/>
                <w:lang w:eastAsia="en-AU"/>
              </w:rPr>
            </w:pPr>
            <w:r w:rsidRPr="00B34F0D">
              <w:rPr>
                <w:rFonts w:ascii="Calibri" w:eastAsiaTheme="minorEastAsia" w:hAnsi="Calibri" w:cs="Calibri"/>
                <w:i/>
                <w:iCs/>
                <w:color w:val="FFFFFF"/>
                <w:sz w:val="19"/>
                <w:szCs w:val="22"/>
                <w:lang w:eastAsia="en-AU"/>
              </w:rPr>
              <w:t>Performance measures</w:t>
            </w:r>
          </w:p>
        </w:tc>
        <w:tc>
          <w:tcPr>
            <w:tcW w:w="907" w:type="dxa"/>
            <w:tcBorders>
              <w:top w:val="nil"/>
              <w:left w:val="nil"/>
              <w:right w:val="nil"/>
            </w:tcBorders>
            <w:shd w:val="solid" w:color="000000" w:fill="auto"/>
            <w:vAlign w:val="bottom"/>
          </w:tcPr>
          <w:p w:rsidR="00E25CC6" w:rsidRPr="00B34F0D" w:rsidRDefault="00E25CC6" w:rsidP="00B34F0D">
            <w:pPr>
              <w:autoSpaceDE w:val="0"/>
              <w:autoSpaceDN w:val="0"/>
              <w:adjustRightInd w:val="0"/>
              <w:spacing w:after="0"/>
              <w:jc w:val="center"/>
              <w:rPr>
                <w:rFonts w:ascii="Calibri" w:eastAsiaTheme="minorEastAsia" w:hAnsi="Calibri" w:cs="Calibri"/>
                <w:i/>
                <w:iCs/>
                <w:color w:val="FFFFFF"/>
                <w:sz w:val="19"/>
                <w:szCs w:val="22"/>
                <w:lang w:eastAsia="en-AU"/>
              </w:rPr>
            </w:pPr>
            <w:r w:rsidRPr="00B34F0D">
              <w:rPr>
                <w:rFonts w:ascii="Calibri" w:eastAsiaTheme="minorEastAsia" w:hAnsi="Calibri" w:cs="Calibri"/>
                <w:i/>
                <w:iCs/>
                <w:color w:val="FFFFFF"/>
                <w:sz w:val="19"/>
                <w:szCs w:val="22"/>
                <w:lang w:eastAsia="en-AU"/>
              </w:rPr>
              <w:t>Unit of measure</w:t>
            </w:r>
          </w:p>
        </w:tc>
        <w:tc>
          <w:tcPr>
            <w:tcW w:w="907" w:type="dxa"/>
            <w:tcBorders>
              <w:top w:val="nil"/>
              <w:left w:val="nil"/>
              <w:right w:val="nil"/>
            </w:tcBorders>
            <w:shd w:val="solid" w:color="000000" w:fill="auto"/>
            <w:vAlign w:val="bottom"/>
          </w:tcPr>
          <w:p w:rsidR="00E25CC6" w:rsidRPr="00B34F0D" w:rsidRDefault="00E25CC6" w:rsidP="00B34F0D">
            <w:pPr>
              <w:autoSpaceDE w:val="0"/>
              <w:autoSpaceDN w:val="0"/>
              <w:adjustRightInd w:val="0"/>
              <w:spacing w:after="0"/>
              <w:jc w:val="right"/>
              <w:rPr>
                <w:rFonts w:ascii="Calibri" w:eastAsiaTheme="minorEastAsia" w:hAnsi="Calibri" w:cs="Calibri"/>
                <w:i/>
                <w:iCs/>
                <w:color w:val="FFFFFF"/>
                <w:sz w:val="19"/>
                <w:szCs w:val="22"/>
                <w:lang w:eastAsia="en-AU"/>
              </w:rPr>
            </w:pPr>
            <w:r w:rsidRPr="00B34F0D">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B34F0D">
              <w:rPr>
                <w:rFonts w:ascii="Calibri" w:eastAsiaTheme="minorEastAsia" w:hAnsi="Calibri" w:cs="Calibri"/>
                <w:i/>
                <w:iCs/>
                <w:color w:val="FFFFFF"/>
                <w:sz w:val="19"/>
                <w:szCs w:val="22"/>
                <w:lang w:eastAsia="en-AU"/>
              </w:rPr>
              <w:t>17 target</w:t>
            </w:r>
          </w:p>
        </w:tc>
        <w:tc>
          <w:tcPr>
            <w:tcW w:w="992" w:type="dxa"/>
            <w:tcBorders>
              <w:top w:val="nil"/>
              <w:left w:val="nil"/>
              <w:right w:val="nil"/>
            </w:tcBorders>
            <w:shd w:val="solid" w:color="000000" w:fill="auto"/>
            <w:vAlign w:val="bottom"/>
          </w:tcPr>
          <w:p w:rsidR="00E25CC6" w:rsidRPr="00B34F0D" w:rsidRDefault="00E25CC6" w:rsidP="00B34F0D">
            <w:pPr>
              <w:autoSpaceDE w:val="0"/>
              <w:autoSpaceDN w:val="0"/>
              <w:adjustRightInd w:val="0"/>
              <w:spacing w:after="0"/>
              <w:jc w:val="right"/>
              <w:rPr>
                <w:rFonts w:ascii="Calibri" w:eastAsiaTheme="minorEastAsia" w:hAnsi="Calibri" w:cs="Calibri"/>
                <w:i/>
                <w:iCs/>
                <w:color w:val="FFFFFF"/>
                <w:sz w:val="19"/>
                <w:szCs w:val="22"/>
                <w:lang w:eastAsia="en-AU"/>
              </w:rPr>
            </w:pPr>
            <w:r w:rsidRPr="00B34F0D">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B34F0D">
              <w:rPr>
                <w:rFonts w:ascii="Calibri" w:eastAsiaTheme="minorEastAsia" w:hAnsi="Calibri" w:cs="Calibri"/>
                <w:i/>
                <w:iCs/>
                <w:color w:val="FFFFFF"/>
                <w:sz w:val="19"/>
                <w:szCs w:val="22"/>
                <w:lang w:eastAsia="en-AU"/>
              </w:rPr>
              <w:t>16 expected outcome</w:t>
            </w:r>
          </w:p>
        </w:tc>
        <w:tc>
          <w:tcPr>
            <w:tcW w:w="907" w:type="dxa"/>
            <w:tcBorders>
              <w:top w:val="nil"/>
              <w:left w:val="nil"/>
              <w:right w:val="nil"/>
            </w:tcBorders>
            <w:shd w:val="solid" w:color="000000" w:fill="auto"/>
            <w:vAlign w:val="bottom"/>
          </w:tcPr>
          <w:p w:rsidR="00E25CC6" w:rsidRPr="00B34F0D" w:rsidRDefault="00E25CC6" w:rsidP="00B34F0D">
            <w:pPr>
              <w:autoSpaceDE w:val="0"/>
              <w:autoSpaceDN w:val="0"/>
              <w:adjustRightInd w:val="0"/>
              <w:spacing w:after="0"/>
              <w:jc w:val="right"/>
              <w:rPr>
                <w:rFonts w:ascii="Calibri" w:eastAsiaTheme="minorEastAsia" w:hAnsi="Calibri" w:cs="Calibri"/>
                <w:i/>
                <w:iCs/>
                <w:color w:val="FFFFFF"/>
                <w:sz w:val="19"/>
                <w:szCs w:val="22"/>
                <w:lang w:eastAsia="en-AU"/>
              </w:rPr>
            </w:pPr>
            <w:r w:rsidRPr="00B34F0D">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B34F0D">
              <w:rPr>
                <w:rFonts w:ascii="Calibri" w:eastAsiaTheme="minorEastAsia" w:hAnsi="Calibri" w:cs="Calibri"/>
                <w:i/>
                <w:iCs/>
                <w:color w:val="FFFFFF"/>
                <w:sz w:val="19"/>
                <w:szCs w:val="22"/>
                <w:lang w:eastAsia="en-AU"/>
              </w:rPr>
              <w:t>16 target</w:t>
            </w:r>
          </w:p>
        </w:tc>
        <w:tc>
          <w:tcPr>
            <w:tcW w:w="908" w:type="dxa"/>
            <w:tcBorders>
              <w:top w:val="nil"/>
              <w:left w:val="nil"/>
              <w:right w:val="nil"/>
            </w:tcBorders>
            <w:shd w:val="solid" w:color="000000" w:fill="auto"/>
            <w:vAlign w:val="bottom"/>
          </w:tcPr>
          <w:p w:rsidR="00E25CC6" w:rsidRPr="00B34F0D" w:rsidRDefault="00E25CC6" w:rsidP="00B34F0D">
            <w:pPr>
              <w:autoSpaceDE w:val="0"/>
              <w:autoSpaceDN w:val="0"/>
              <w:adjustRightInd w:val="0"/>
              <w:spacing w:after="0"/>
              <w:jc w:val="right"/>
              <w:rPr>
                <w:rFonts w:ascii="Calibri" w:eastAsiaTheme="minorEastAsia" w:hAnsi="Calibri" w:cs="Calibri"/>
                <w:i/>
                <w:iCs/>
                <w:color w:val="FFFFFF"/>
                <w:sz w:val="19"/>
                <w:szCs w:val="22"/>
                <w:lang w:eastAsia="en-AU"/>
              </w:rPr>
            </w:pPr>
            <w:r w:rsidRPr="00B34F0D">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B34F0D">
              <w:rPr>
                <w:rFonts w:ascii="Calibri" w:eastAsiaTheme="minorEastAsia" w:hAnsi="Calibri" w:cs="Calibri"/>
                <w:i/>
                <w:iCs/>
                <w:color w:val="FFFFFF"/>
                <w:sz w:val="19"/>
                <w:szCs w:val="22"/>
                <w:lang w:eastAsia="en-AU"/>
              </w:rPr>
              <w:t>15 actual</w:t>
            </w:r>
          </w:p>
        </w:tc>
      </w:tr>
      <w:tr w:rsidR="00E25CC6" w:rsidRPr="00B34F0D" w:rsidTr="00A853D0">
        <w:trPr>
          <w:cantSplit/>
        </w:trPr>
        <w:tc>
          <w:tcPr>
            <w:tcW w:w="7767" w:type="dxa"/>
            <w:gridSpan w:val="6"/>
            <w:tcBorders>
              <w:left w:val="nil"/>
              <w:bottom w:val="single" w:sz="6" w:space="0" w:color="auto"/>
              <w:right w:val="nil"/>
            </w:tcBorders>
          </w:tcPr>
          <w:p w:rsidR="00E25CC6" w:rsidRPr="00B34F0D" w:rsidRDefault="00E25CC6" w:rsidP="00B34F0D">
            <w:pPr>
              <w:pStyle w:val="OGHeading2"/>
              <w:rPr>
                <w:rFonts w:eastAsiaTheme="minorEastAsia"/>
                <w:lang w:eastAsia="en-AU"/>
              </w:rPr>
            </w:pPr>
            <w:r w:rsidRPr="00B34F0D">
              <w:rPr>
                <w:rFonts w:eastAsiaTheme="minorEastAsia"/>
                <w:lang w:eastAsia="en-AU"/>
              </w:rPr>
              <w:t>Audit</w:t>
            </w:r>
            <w:r>
              <w:rPr>
                <w:rFonts w:eastAsiaTheme="minorEastAsia"/>
                <w:lang w:eastAsia="en-AU"/>
              </w:rPr>
              <w:t xml:space="preserve"> reports on Financial Statements</w:t>
            </w:r>
          </w:p>
        </w:tc>
      </w:tr>
      <w:tr w:rsidR="00E25CC6" w:rsidRPr="00B34F0D" w:rsidTr="00A853D0">
        <w:trPr>
          <w:cantSplit/>
        </w:trPr>
        <w:tc>
          <w:tcPr>
            <w:tcW w:w="3146" w:type="dxa"/>
            <w:tcBorders>
              <w:top w:val="single" w:sz="6" w:space="0" w:color="auto"/>
              <w:left w:val="nil"/>
              <w:right w:val="nil"/>
            </w:tcBorders>
          </w:tcPr>
          <w:p w:rsidR="00E25CC6" w:rsidRPr="00B34F0D" w:rsidRDefault="00E25CC6" w:rsidP="00B34F0D">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B34F0D">
              <w:rPr>
                <w:rFonts w:ascii="Calibri" w:eastAsiaTheme="minorEastAsia" w:hAnsi="Calibri" w:cs="Calibri"/>
                <w:i/>
                <w:iCs/>
                <w:color w:val="000000"/>
                <w:sz w:val="19"/>
                <w:szCs w:val="22"/>
                <w:lang w:eastAsia="en-AU"/>
              </w:rPr>
              <w:t>Quantity</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r>
      <w:tr w:rsidR="00E25CC6" w:rsidRPr="00B34F0D" w:rsidTr="00A853D0">
        <w:trPr>
          <w:cantSplit/>
        </w:trPr>
        <w:tc>
          <w:tcPr>
            <w:tcW w:w="3146" w:type="dxa"/>
            <w:tcBorders>
              <w:top w:val="nil"/>
              <w:left w:val="nil"/>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Audit opinions issued on non</w:t>
            </w:r>
            <w:r>
              <w:rPr>
                <w:rFonts w:eastAsiaTheme="minorEastAsia"/>
                <w:sz w:val="19"/>
                <w:szCs w:val="19"/>
                <w:lang w:eastAsia="en-AU"/>
              </w:rPr>
              <w:noBreakHyphen/>
            </w:r>
            <w:r w:rsidRPr="00B34F0D">
              <w:rPr>
                <w:rFonts w:eastAsiaTheme="minorEastAsia"/>
                <w:sz w:val="19"/>
                <w:szCs w:val="19"/>
                <w:lang w:eastAsia="en-AU"/>
              </w:rPr>
              <w:t>financial performance indicators</w:t>
            </w:r>
          </w:p>
        </w:tc>
        <w:tc>
          <w:tcPr>
            <w:tcW w:w="907" w:type="dxa"/>
            <w:tcBorders>
              <w:top w:val="nil"/>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number</w:t>
            </w:r>
          </w:p>
        </w:tc>
        <w:tc>
          <w:tcPr>
            <w:tcW w:w="907" w:type="dxa"/>
            <w:tcBorders>
              <w:top w:val="nil"/>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110</w:t>
            </w:r>
          </w:p>
        </w:tc>
        <w:tc>
          <w:tcPr>
            <w:tcW w:w="992"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110</w:t>
            </w:r>
          </w:p>
        </w:tc>
        <w:tc>
          <w:tcPr>
            <w:tcW w:w="907"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110</w:t>
            </w:r>
          </w:p>
        </w:tc>
        <w:tc>
          <w:tcPr>
            <w:tcW w:w="908"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108</w:t>
            </w:r>
          </w:p>
        </w:tc>
      </w:tr>
      <w:tr w:rsidR="00E25CC6" w:rsidRPr="00B34F0D" w:rsidTr="00A853D0">
        <w:trPr>
          <w:cantSplit/>
        </w:trPr>
        <w:tc>
          <w:tcPr>
            <w:tcW w:w="3146" w:type="dxa"/>
            <w:tcBorders>
              <w:left w:val="nil"/>
              <w:bottom w:val="single" w:sz="6" w:space="0" w:color="auto"/>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Audit opinions issued on the financial statements of agencies</w:t>
            </w:r>
          </w:p>
        </w:tc>
        <w:tc>
          <w:tcPr>
            <w:tcW w:w="907" w:type="dxa"/>
            <w:tcBorders>
              <w:left w:val="nil"/>
              <w:bottom w:val="single" w:sz="6" w:space="0" w:color="auto"/>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number</w:t>
            </w:r>
          </w:p>
        </w:tc>
        <w:tc>
          <w:tcPr>
            <w:tcW w:w="907" w:type="dxa"/>
            <w:tcBorders>
              <w:left w:val="nil"/>
              <w:bottom w:val="single" w:sz="6" w:space="0" w:color="auto"/>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547</w:t>
            </w:r>
          </w:p>
        </w:tc>
        <w:tc>
          <w:tcPr>
            <w:tcW w:w="992" w:type="dxa"/>
            <w:tcBorders>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547</w:t>
            </w:r>
          </w:p>
        </w:tc>
        <w:tc>
          <w:tcPr>
            <w:tcW w:w="907" w:type="dxa"/>
            <w:tcBorders>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547</w:t>
            </w:r>
          </w:p>
        </w:tc>
        <w:tc>
          <w:tcPr>
            <w:tcW w:w="908" w:type="dxa"/>
            <w:tcBorders>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547</w:t>
            </w:r>
          </w:p>
        </w:tc>
      </w:tr>
      <w:tr w:rsidR="00E25CC6" w:rsidRPr="00B34F0D" w:rsidTr="00A853D0">
        <w:trPr>
          <w:cantSplit/>
        </w:trPr>
        <w:tc>
          <w:tcPr>
            <w:tcW w:w="3146" w:type="dxa"/>
            <w:tcBorders>
              <w:top w:val="single" w:sz="6" w:space="0" w:color="auto"/>
              <w:left w:val="nil"/>
              <w:right w:val="nil"/>
            </w:tcBorders>
          </w:tcPr>
          <w:p w:rsidR="00E25CC6" w:rsidRPr="00B34F0D" w:rsidRDefault="00E25CC6" w:rsidP="00B34F0D">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B34F0D">
              <w:rPr>
                <w:rFonts w:ascii="Calibri" w:eastAsiaTheme="minorEastAsia" w:hAnsi="Calibri" w:cs="Calibri"/>
                <w:i/>
                <w:iCs/>
                <w:color w:val="000000"/>
                <w:sz w:val="19"/>
                <w:szCs w:val="19"/>
                <w:lang w:eastAsia="en-AU"/>
              </w:rPr>
              <w:t>Quality</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92"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8"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r>
      <w:tr w:rsidR="00E25CC6" w:rsidRPr="00B34F0D" w:rsidTr="00A853D0">
        <w:trPr>
          <w:cantSplit/>
        </w:trPr>
        <w:tc>
          <w:tcPr>
            <w:tcW w:w="3146" w:type="dxa"/>
            <w:tcBorders>
              <w:top w:val="nil"/>
              <w:left w:val="nil"/>
              <w:bottom w:val="single" w:sz="6" w:space="0" w:color="auto"/>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External/peer reviews finding no material departures from professional and regulatory standards</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per cent</w:t>
            </w:r>
          </w:p>
        </w:tc>
        <w:tc>
          <w:tcPr>
            <w:tcW w:w="907" w:type="dxa"/>
            <w:tcBorders>
              <w:top w:val="nil"/>
              <w:left w:val="nil"/>
              <w:bottom w:val="single" w:sz="6" w:space="0" w:color="auto"/>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100</w:t>
            </w:r>
          </w:p>
        </w:tc>
        <w:tc>
          <w:tcPr>
            <w:tcW w:w="992"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100</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100</w:t>
            </w:r>
          </w:p>
        </w:tc>
        <w:tc>
          <w:tcPr>
            <w:tcW w:w="908"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86</w:t>
            </w:r>
          </w:p>
        </w:tc>
      </w:tr>
      <w:tr w:rsidR="00E25CC6" w:rsidRPr="00B34F0D" w:rsidTr="00A853D0">
        <w:trPr>
          <w:cantSplit/>
        </w:trPr>
        <w:tc>
          <w:tcPr>
            <w:tcW w:w="3146" w:type="dxa"/>
            <w:tcBorders>
              <w:top w:val="single" w:sz="6" w:space="0" w:color="auto"/>
              <w:left w:val="nil"/>
              <w:right w:val="nil"/>
            </w:tcBorders>
          </w:tcPr>
          <w:p w:rsidR="00E25CC6" w:rsidRPr="00B34F0D" w:rsidRDefault="00E25CC6" w:rsidP="00B34F0D">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B34F0D">
              <w:rPr>
                <w:rFonts w:ascii="Calibri" w:eastAsiaTheme="minorEastAsia" w:hAnsi="Calibri" w:cs="Calibri"/>
                <w:i/>
                <w:iCs/>
                <w:color w:val="000000"/>
                <w:sz w:val="19"/>
                <w:szCs w:val="19"/>
                <w:lang w:eastAsia="en-AU"/>
              </w:rPr>
              <w:t>Timeliness</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92"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8"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r>
      <w:tr w:rsidR="00E25CC6" w:rsidRPr="00B34F0D" w:rsidTr="00A853D0">
        <w:trPr>
          <w:cantSplit/>
        </w:trPr>
        <w:tc>
          <w:tcPr>
            <w:tcW w:w="3146" w:type="dxa"/>
            <w:tcBorders>
              <w:top w:val="nil"/>
              <w:left w:val="nil"/>
              <w:bottom w:val="single" w:sz="6" w:space="0" w:color="auto"/>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Audit opinions issued within statutory deadlines</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per cent</w:t>
            </w:r>
          </w:p>
        </w:tc>
        <w:tc>
          <w:tcPr>
            <w:tcW w:w="907" w:type="dxa"/>
            <w:tcBorders>
              <w:top w:val="nil"/>
              <w:left w:val="nil"/>
              <w:bottom w:val="single" w:sz="6" w:space="0" w:color="auto"/>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98</w:t>
            </w:r>
          </w:p>
        </w:tc>
        <w:tc>
          <w:tcPr>
            <w:tcW w:w="992"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98</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98</w:t>
            </w:r>
          </w:p>
        </w:tc>
        <w:tc>
          <w:tcPr>
            <w:tcW w:w="908"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99</w:t>
            </w:r>
          </w:p>
        </w:tc>
      </w:tr>
      <w:tr w:rsidR="00E25CC6" w:rsidRPr="00B34F0D" w:rsidTr="00A853D0">
        <w:trPr>
          <w:cantSplit/>
        </w:trPr>
        <w:tc>
          <w:tcPr>
            <w:tcW w:w="3146" w:type="dxa"/>
            <w:tcBorders>
              <w:top w:val="single" w:sz="6" w:space="0" w:color="auto"/>
              <w:left w:val="nil"/>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Management letters issued to agencies within established timeframes</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per cent</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90</w:t>
            </w:r>
          </w:p>
        </w:tc>
        <w:tc>
          <w:tcPr>
            <w:tcW w:w="992"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90</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90</w:t>
            </w:r>
          </w:p>
        </w:tc>
        <w:tc>
          <w:tcPr>
            <w:tcW w:w="908"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91</w:t>
            </w:r>
          </w:p>
        </w:tc>
      </w:tr>
      <w:tr w:rsidR="00E25CC6" w:rsidRPr="00B34F0D" w:rsidTr="00A853D0">
        <w:trPr>
          <w:cantSplit/>
        </w:trPr>
        <w:tc>
          <w:tcPr>
            <w:tcW w:w="7767" w:type="dxa"/>
            <w:gridSpan w:val="6"/>
            <w:tcBorders>
              <w:top w:val="nil"/>
              <w:left w:val="nil"/>
              <w:bottom w:val="single" w:sz="6" w:space="0" w:color="auto"/>
              <w:right w:val="nil"/>
            </w:tcBorders>
          </w:tcPr>
          <w:p w:rsidR="00E25CC6" w:rsidRPr="00B34F0D" w:rsidRDefault="00E25CC6" w:rsidP="00B34F0D">
            <w:pPr>
              <w:pStyle w:val="OGNotes"/>
              <w:rPr>
                <w:rFonts w:eastAsiaTheme="minorEastAsia"/>
              </w:rPr>
            </w:pPr>
            <w:r w:rsidRPr="00B34F0D">
              <w:rPr>
                <w:rFonts w:eastAsiaTheme="minorEastAsia"/>
              </w:rPr>
              <w:t>Management letters are issued to audited agencies on matters arising from the audits, including observations about the quality of internal controls in place, accounting issues and compliance with applicable laws and standards.</w:t>
            </w:r>
          </w:p>
        </w:tc>
      </w:tr>
      <w:tr w:rsidR="00E25CC6" w:rsidRPr="00B34F0D" w:rsidTr="00A853D0">
        <w:trPr>
          <w:cantSplit/>
        </w:trPr>
        <w:tc>
          <w:tcPr>
            <w:tcW w:w="3146" w:type="dxa"/>
            <w:tcBorders>
              <w:top w:val="single" w:sz="6" w:space="0" w:color="auto"/>
              <w:left w:val="nil"/>
              <w:bottom w:val="nil"/>
              <w:right w:val="nil"/>
            </w:tcBorders>
          </w:tcPr>
          <w:p w:rsidR="00E25CC6" w:rsidRPr="00B34F0D" w:rsidRDefault="00E25CC6" w:rsidP="00B34F0D">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B34F0D">
              <w:rPr>
                <w:rFonts w:ascii="Calibri" w:eastAsiaTheme="minorEastAsia" w:hAnsi="Calibri" w:cs="Calibri"/>
                <w:i/>
                <w:iCs/>
                <w:color w:val="000000"/>
                <w:sz w:val="19"/>
                <w:szCs w:val="19"/>
                <w:lang w:eastAsia="en-AU"/>
              </w:rPr>
              <w:t>Cost</w:t>
            </w:r>
          </w:p>
        </w:tc>
        <w:tc>
          <w:tcPr>
            <w:tcW w:w="907" w:type="dxa"/>
            <w:tcBorders>
              <w:top w:val="single" w:sz="6" w:space="0" w:color="auto"/>
              <w:left w:val="nil"/>
              <w:bottom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92" w:type="dxa"/>
            <w:tcBorders>
              <w:top w:val="single" w:sz="6" w:space="0" w:color="auto"/>
              <w:left w:val="nil"/>
              <w:bottom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bottom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8" w:type="dxa"/>
            <w:tcBorders>
              <w:top w:val="single" w:sz="6" w:space="0" w:color="auto"/>
              <w:left w:val="nil"/>
              <w:bottom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r>
      <w:tr w:rsidR="00E25CC6" w:rsidRPr="00B34F0D" w:rsidTr="00F74E24">
        <w:trPr>
          <w:cantSplit/>
        </w:trPr>
        <w:tc>
          <w:tcPr>
            <w:tcW w:w="3146" w:type="dxa"/>
            <w:tcBorders>
              <w:top w:val="nil"/>
              <w:left w:val="nil"/>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Total output cost</w:t>
            </w:r>
          </w:p>
        </w:tc>
        <w:tc>
          <w:tcPr>
            <w:tcW w:w="907" w:type="dxa"/>
            <w:tcBorders>
              <w:top w:val="nil"/>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million</w:t>
            </w:r>
          </w:p>
        </w:tc>
        <w:tc>
          <w:tcPr>
            <w:tcW w:w="907" w:type="dxa"/>
            <w:tcBorders>
              <w:top w:val="nil"/>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25.7</w:t>
            </w:r>
          </w:p>
        </w:tc>
        <w:tc>
          <w:tcPr>
            <w:tcW w:w="992"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24.7</w:t>
            </w:r>
          </w:p>
        </w:tc>
        <w:tc>
          <w:tcPr>
            <w:tcW w:w="907"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24.1</w:t>
            </w:r>
          </w:p>
        </w:tc>
        <w:tc>
          <w:tcPr>
            <w:tcW w:w="908"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22.9</w:t>
            </w:r>
          </w:p>
        </w:tc>
      </w:tr>
      <w:tr w:rsidR="00E25CC6" w:rsidRPr="00B34F0D" w:rsidTr="00F74E24">
        <w:trPr>
          <w:cantSplit/>
        </w:trPr>
        <w:tc>
          <w:tcPr>
            <w:tcW w:w="7767" w:type="dxa"/>
            <w:gridSpan w:val="6"/>
            <w:tcBorders>
              <w:top w:val="nil"/>
              <w:left w:val="nil"/>
              <w:bottom w:val="single" w:sz="6" w:space="0" w:color="auto"/>
              <w:right w:val="nil"/>
            </w:tcBorders>
          </w:tcPr>
          <w:p w:rsidR="00E25CC6" w:rsidRPr="00B34F0D" w:rsidRDefault="00E25CC6" w:rsidP="00B34F0D">
            <w:pPr>
              <w:pStyle w:val="OGNotes"/>
              <w:rPr>
                <w:rFonts w:eastAsiaTheme="minorEastAsia"/>
              </w:rPr>
            </w:pPr>
            <w:r w:rsidRPr="00B34F0D">
              <w:rPr>
                <w:rFonts w:eastAsiaTheme="minorEastAsia"/>
              </w:rPr>
              <w:t>The higher 2016</w:t>
            </w:r>
            <w:r>
              <w:rPr>
                <w:rFonts w:eastAsiaTheme="minorEastAsia"/>
              </w:rPr>
              <w:noBreakHyphen/>
            </w:r>
            <w:r w:rsidRPr="00B34F0D">
              <w:rPr>
                <w:rFonts w:eastAsiaTheme="minorEastAsia"/>
              </w:rPr>
              <w:t xml:space="preserve">17 </w:t>
            </w:r>
            <w:r>
              <w:rPr>
                <w:rFonts w:eastAsiaTheme="minorEastAsia"/>
              </w:rPr>
              <w:t>target</w:t>
            </w:r>
            <w:r w:rsidRPr="00B34F0D">
              <w:rPr>
                <w:rFonts w:eastAsiaTheme="minorEastAsia"/>
              </w:rPr>
              <w:t xml:space="preserve"> reflects indexation and increased employee costs.</w:t>
            </w:r>
          </w:p>
        </w:tc>
      </w:tr>
      <w:tr w:rsidR="00E25CC6" w:rsidRPr="00B34F0D" w:rsidTr="00F74E24">
        <w:trPr>
          <w:cantSplit/>
        </w:trPr>
        <w:tc>
          <w:tcPr>
            <w:tcW w:w="7767" w:type="dxa"/>
            <w:gridSpan w:val="6"/>
            <w:tcBorders>
              <w:top w:val="single" w:sz="6" w:space="0" w:color="auto"/>
              <w:left w:val="nil"/>
              <w:bottom w:val="single" w:sz="6" w:space="0" w:color="auto"/>
              <w:right w:val="nil"/>
            </w:tcBorders>
          </w:tcPr>
          <w:p w:rsidR="00E25CC6" w:rsidRPr="00B34F0D" w:rsidRDefault="00E25CC6" w:rsidP="00B34F0D">
            <w:pPr>
              <w:pStyle w:val="OGHeading2"/>
              <w:rPr>
                <w:rFonts w:eastAsiaTheme="minorEastAsia"/>
                <w:lang w:eastAsia="en-AU"/>
              </w:rPr>
            </w:pPr>
            <w:r w:rsidRPr="00B34F0D">
              <w:rPr>
                <w:rFonts w:eastAsiaTheme="minorEastAsia"/>
                <w:lang w:eastAsia="en-AU"/>
              </w:rPr>
              <w:t>Parliamentary Reports and Services</w:t>
            </w:r>
          </w:p>
        </w:tc>
      </w:tr>
      <w:tr w:rsidR="00E25CC6" w:rsidRPr="00B34F0D" w:rsidTr="00A853D0">
        <w:trPr>
          <w:cantSplit/>
        </w:trPr>
        <w:tc>
          <w:tcPr>
            <w:tcW w:w="3146" w:type="dxa"/>
            <w:tcBorders>
              <w:top w:val="single" w:sz="6" w:space="0" w:color="auto"/>
              <w:left w:val="nil"/>
              <w:right w:val="nil"/>
            </w:tcBorders>
          </w:tcPr>
          <w:p w:rsidR="00E25CC6" w:rsidRPr="00B34F0D" w:rsidRDefault="00E25CC6" w:rsidP="00B34F0D">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B34F0D">
              <w:rPr>
                <w:rFonts w:ascii="Calibri" w:eastAsiaTheme="minorEastAsia" w:hAnsi="Calibri" w:cs="Calibri"/>
                <w:i/>
                <w:iCs/>
                <w:color w:val="000000"/>
                <w:sz w:val="19"/>
                <w:szCs w:val="19"/>
                <w:lang w:eastAsia="en-AU"/>
              </w:rPr>
              <w:t>Quantity</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92"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8" w:type="dxa"/>
            <w:tcBorders>
              <w:top w:val="single" w:sz="6" w:space="0" w:color="auto"/>
              <w:left w:val="nil"/>
              <w:right w:val="nil"/>
            </w:tcBorders>
          </w:tcPr>
          <w:p w:rsidR="00E25CC6" w:rsidRPr="00B34F0D" w:rsidRDefault="00E25CC6" w:rsidP="00B34F0D">
            <w:pPr>
              <w:autoSpaceDE w:val="0"/>
              <w:autoSpaceDN w:val="0"/>
              <w:adjustRightInd w:val="0"/>
              <w:spacing w:after="0"/>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r>
      <w:tr w:rsidR="00E25CC6" w:rsidRPr="00B34F0D" w:rsidTr="00A853D0">
        <w:trPr>
          <w:cantSplit/>
        </w:trPr>
        <w:tc>
          <w:tcPr>
            <w:tcW w:w="3146" w:type="dxa"/>
            <w:tcBorders>
              <w:top w:val="nil"/>
              <w:left w:val="nil"/>
              <w:bottom w:val="single" w:sz="6" w:space="0" w:color="auto"/>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Auditor</w:t>
            </w:r>
            <w:r>
              <w:rPr>
                <w:rFonts w:eastAsiaTheme="minorEastAsia"/>
                <w:sz w:val="19"/>
                <w:szCs w:val="19"/>
                <w:lang w:eastAsia="en-AU"/>
              </w:rPr>
              <w:noBreakHyphen/>
            </w:r>
            <w:r w:rsidRPr="00B34F0D">
              <w:rPr>
                <w:rFonts w:eastAsiaTheme="minorEastAsia"/>
                <w:sz w:val="19"/>
                <w:szCs w:val="19"/>
                <w:lang w:eastAsia="en-AU"/>
              </w:rPr>
              <w:t>General</w:t>
            </w:r>
            <w:r>
              <w:rPr>
                <w:rFonts w:eastAsiaTheme="minorEastAsia"/>
                <w:sz w:val="19"/>
                <w:szCs w:val="19"/>
                <w:lang w:eastAsia="en-AU"/>
              </w:rPr>
              <w:t>’</w:t>
            </w:r>
            <w:r w:rsidRPr="00B34F0D">
              <w:rPr>
                <w:rFonts w:eastAsiaTheme="minorEastAsia"/>
                <w:sz w:val="19"/>
                <w:szCs w:val="19"/>
                <w:lang w:eastAsia="en-AU"/>
              </w:rPr>
              <w:t>s Reports</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number</w:t>
            </w:r>
          </w:p>
        </w:tc>
        <w:tc>
          <w:tcPr>
            <w:tcW w:w="907" w:type="dxa"/>
            <w:tcBorders>
              <w:top w:val="nil"/>
              <w:left w:val="nil"/>
              <w:bottom w:val="single" w:sz="6" w:space="0" w:color="auto"/>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36</w:t>
            </w:r>
          </w:p>
        </w:tc>
        <w:tc>
          <w:tcPr>
            <w:tcW w:w="992"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36</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36</w:t>
            </w:r>
          </w:p>
        </w:tc>
        <w:tc>
          <w:tcPr>
            <w:tcW w:w="908"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36</w:t>
            </w:r>
          </w:p>
        </w:tc>
      </w:tr>
      <w:tr w:rsidR="00E25CC6" w:rsidRPr="00B34F0D" w:rsidTr="007F1BDD">
        <w:trPr>
          <w:cantSplit/>
        </w:trPr>
        <w:tc>
          <w:tcPr>
            <w:tcW w:w="3146" w:type="dxa"/>
            <w:tcBorders>
              <w:top w:val="single" w:sz="6" w:space="0" w:color="auto"/>
              <w:left w:val="nil"/>
              <w:right w:val="nil"/>
            </w:tcBorders>
          </w:tcPr>
          <w:p w:rsidR="00E25CC6" w:rsidRPr="00B34F0D" w:rsidRDefault="00E25CC6" w:rsidP="00B34F0D">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B34F0D">
              <w:rPr>
                <w:rFonts w:ascii="Calibri" w:eastAsiaTheme="minorEastAsia" w:hAnsi="Calibri" w:cs="Calibri"/>
                <w:i/>
                <w:iCs/>
                <w:color w:val="000000"/>
                <w:sz w:val="19"/>
                <w:szCs w:val="19"/>
                <w:lang w:eastAsia="en-AU"/>
              </w:rPr>
              <w:t>Quality</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92"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8"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r>
      <w:tr w:rsidR="00E25CC6" w:rsidRPr="00B34F0D" w:rsidTr="007F1BDD">
        <w:trPr>
          <w:cantSplit/>
        </w:trPr>
        <w:tc>
          <w:tcPr>
            <w:tcW w:w="3146" w:type="dxa"/>
            <w:tcBorders>
              <w:top w:val="nil"/>
              <w:left w:val="nil"/>
              <w:bottom w:val="single" w:sz="6" w:space="0" w:color="auto"/>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Average score of audit reports by external</w:t>
            </w:r>
            <w:r>
              <w:rPr>
                <w:rFonts w:eastAsiaTheme="minorEastAsia"/>
                <w:sz w:val="19"/>
                <w:szCs w:val="19"/>
                <w:lang w:eastAsia="en-AU"/>
              </w:rPr>
              <w:t xml:space="preserve"> </w:t>
            </w:r>
            <w:r w:rsidRPr="00B34F0D">
              <w:rPr>
                <w:rFonts w:eastAsiaTheme="minorEastAsia"/>
                <w:sz w:val="19"/>
                <w:szCs w:val="19"/>
                <w:lang w:eastAsia="en-AU"/>
              </w:rPr>
              <w:t>peer assessors</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per cent</w:t>
            </w:r>
          </w:p>
        </w:tc>
        <w:tc>
          <w:tcPr>
            <w:tcW w:w="907" w:type="dxa"/>
            <w:tcBorders>
              <w:top w:val="nil"/>
              <w:left w:val="nil"/>
              <w:bottom w:val="single" w:sz="6" w:space="0" w:color="auto"/>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80</w:t>
            </w:r>
          </w:p>
        </w:tc>
        <w:tc>
          <w:tcPr>
            <w:tcW w:w="992"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80</w:t>
            </w:r>
          </w:p>
        </w:tc>
        <w:tc>
          <w:tcPr>
            <w:tcW w:w="907"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80</w:t>
            </w:r>
          </w:p>
        </w:tc>
        <w:tc>
          <w:tcPr>
            <w:tcW w:w="908" w:type="dxa"/>
            <w:tcBorders>
              <w:top w:val="nil"/>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86</w:t>
            </w:r>
          </w:p>
        </w:tc>
      </w:tr>
      <w:tr w:rsidR="00E25CC6" w:rsidRPr="00B34F0D" w:rsidTr="007F1BDD">
        <w:trPr>
          <w:cantSplit/>
        </w:trPr>
        <w:tc>
          <w:tcPr>
            <w:tcW w:w="3146" w:type="dxa"/>
            <w:tcBorders>
              <w:top w:val="single" w:sz="6" w:space="0" w:color="auto"/>
              <w:left w:val="nil"/>
              <w:bottom w:val="single" w:sz="6" w:space="0" w:color="auto"/>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Overall level of external satisfaction with audit reports and services</w:t>
            </w:r>
            <w:r>
              <w:rPr>
                <w:rFonts w:eastAsiaTheme="minorEastAsia"/>
                <w:sz w:val="19"/>
                <w:szCs w:val="19"/>
                <w:lang w:eastAsia="en-AU"/>
              </w:rPr>
              <w:t xml:space="preserve"> – </w:t>
            </w:r>
            <w:r w:rsidRPr="00B34F0D">
              <w:rPr>
                <w:rFonts w:eastAsiaTheme="minorEastAsia"/>
                <w:sz w:val="19"/>
                <w:szCs w:val="19"/>
                <w:lang w:eastAsia="en-AU"/>
              </w:rPr>
              <w:t>Parliamentarians</w:t>
            </w:r>
          </w:p>
        </w:tc>
        <w:tc>
          <w:tcPr>
            <w:tcW w:w="907" w:type="dxa"/>
            <w:tcBorders>
              <w:top w:val="single" w:sz="6" w:space="0" w:color="auto"/>
              <w:left w:val="nil"/>
              <w:bottom w:val="single" w:sz="6" w:space="0" w:color="auto"/>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per cent</w:t>
            </w:r>
          </w:p>
        </w:tc>
        <w:tc>
          <w:tcPr>
            <w:tcW w:w="907" w:type="dxa"/>
            <w:tcBorders>
              <w:top w:val="single" w:sz="6" w:space="0" w:color="auto"/>
              <w:left w:val="nil"/>
              <w:bottom w:val="single" w:sz="6" w:space="0" w:color="auto"/>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85</w:t>
            </w:r>
          </w:p>
        </w:tc>
        <w:tc>
          <w:tcPr>
            <w:tcW w:w="992" w:type="dxa"/>
            <w:tcBorders>
              <w:top w:val="single" w:sz="6" w:space="0" w:color="auto"/>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85</w:t>
            </w:r>
          </w:p>
        </w:tc>
        <w:tc>
          <w:tcPr>
            <w:tcW w:w="907" w:type="dxa"/>
            <w:tcBorders>
              <w:top w:val="single" w:sz="6" w:space="0" w:color="auto"/>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85</w:t>
            </w:r>
          </w:p>
        </w:tc>
        <w:tc>
          <w:tcPr>
            <w:tcW w:w="908" w:type="dxa"/>
            <w:tcBorders>
              <w:top w:val="single" w:sz="6" w:space="0" w:color="auto"/>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81</w:t>
            </w:r>
          </w:p>
        </w:tc>
      </w:tr>
      <w:tr w:rsidR="00E25CC6" w:rsidRPr="00B34F0D" w:rsidTr="00A853D0">
        <w:trPr>
          <w:cantSplit/>
        </w:trPr>
        <w:tc>
          <w:tcPr>
            <w:tcW w:w="3146" w:type="dxa"/>
            <w:tcBorders>
              <w:top w:val="single" w:sz="6" w:space="0" w:color="auto"/>
              <w:left w:val="nil"/>
              <w:right w:val="nil"/>
            </w:tcBorders>
          </w:tcPr>
          <w:p w:rsidR="00E25CC6" w:rsidRPr="00B34F0D" w:rsidRDefault="00E25CC6" w:rsidP="009367A3">
            <w:pPr>
              <w:keepNext/>
              <w:autoSpaceDE w:val="0"/>
              <w:autoSpaceDN w:val="0"/>
              <w:adjustRightInd w:val="0"/>
              <w:spacing w:after="0"/>
              <w:ind w:left="230" w:hanging="230"/>
              <w:rPr>
                <w:rFonts w:ascii="Calibri" w:eastAsiaTheme="minorEastAsia" w:hAnsi="Calibri" w:cs="Calibri"/>
                <w:i/>
                <w:iCs/>
                <w:color w:val="000000"/>
                <w:sz w:val="19"/>
                <w:szCs w:val="22"/>
                <w:lang w:eastAsia="en-AU"/>
              </w:rPr>
            </w:pPr>
            <w:r w:rsidRPr="00B34F0D">
              <w:rPr>
                <w:rFonts w:ascii="Calibri" w:eastAsiaTheme="minorEastAsia" w:hAnsi="Calibri" w:cs="Calibri"/>
                <w:i/>
                <w:iCs/>
                <w:color w:val="000000"/>
                <w:sz w:val="19"/>
                <w:szCs w:val="22"/>
                <w:lang w:eastAsia="en-AU"/>
              </w:rPr>
              <w:t>Timeliness</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92"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07"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c>
          <w:tcPr>
            <w:tcW w:w="908" w:type="dxa"/>
            <w:tcBorders>
              <w:top w:val="single" w:sz="6" w:space="0" w:color="auto"/>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22"/>
                <w:lang w:eastAsia="en-AU"/>
              </w:rPr>
            </w:pPr>
            <w:r w:rsidRPr="00B34F0D">
              <w:rPr>
                <w:rFonts w:ascii="Calibri" w:eastAsiaTheme="minorEastAsia" w:hAnsi="Calibri" w:cs="Calibri"/>
                <w:color w:val="000000"/>
                <w:sz w:val="19"/>
                <w:szCs w:val="22"/>
                <w:lang w:eastAsia="en-AU"/>
              </w:rPr>
              <w:t xml:space="preserve"> </w:t>
            </w:r>
          </w:p>
        </w:tc>
      </w:tr>
      <w:tr w:rsidR="00E25CC6" w:rsidRPr="00B34F0D" w:rsidTr="00A853D0">
        <w:trPr>
          <w:cantSplit/>
        </w:trPr>
        <w:tc>
          <w:tcPr>
            <w:tcW w:w="3146" w:type="dxa"/>
            <w:tcBorders>
              <w:top w:val="nil"/>
              <w:left w:val="nil"/>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Inquiries from Members of Parliament and the public responded to within 28 days</w:t>
            </w:r>
          </w:p>
        </w:tc>
        <w:tc>
          <w:tcPr>
            <w:tcW w:w="907" w:type="dxa"/>
            <w:tcBorders>
              <w:top w:val="nil"/>
              <w:left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per cent</w:t>
            </w:r>
          </w:p>
        </w:tc>
        <w:tc>
          <w:tcPr>
            <w:tcW w:w="907" w:type="dxa"/>
            <w:tcBorders>
              <w:top w:val="nil"/>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95</w:t>
            </w:r>
          </w:p>
        </w:tc>
        <w:tc>
          <w:tcPr>
            <w:tcW w:w="992"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95</w:t>
            </w:r>
          </w:p>
        </w:tc>
        <w:tc>
          <w:tcPr>
            <w:tcW w:w="907"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95</w:t>
            </w:r>
          </w:p>
        </w:tc>
        <w:tc>
          <w:tcPr>
            <w:tcW w:w="908" w:type="dxa"/>
            <w:tcBorders>
              <w:top w:val="nil"/>
              <w:left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98</w:t>
            </w:r>
          </w:p>
        </w:tc>
      </w:tr>
      <w:tr w:rsidR="00E25CC6" w:rsidRPr="00B34F0D" w:rsidTr="00A853D0">
        <w:trPr>
          <w:cantSplit/>
        </w:trPr>
        <w:tc>
          <w:tcPr>
            <w:tcW w:w="3146" w:type="dxa"/>
            <w:tcBorders>
              <w:left w:val="nil"/>
              <w:bottom w:val="single" w:sz="6" w:space="0" w:color="auto"/>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Reports completed on time</w:t>
            </w:r>
          </w:p>
        </w:tc>
        <w:tc>
          <w:tcPr>
            <w:tcW w:w="907" w:type="dxa"/>
            <w:tcBorders>
              <w:left w:val="nil"/>
              <w:bottom w:val="single" w:sz="6" w:space="0" w:color="auto"/>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per cent</w:t>
            </w:r>
          </w:p>
        </w:tc>
        <w:tc>
          <w:tcPr>
            <w:tcW w:w="907" w:type="dxa"/>
            <w:tcBorders>
              <w:left w:val="nil"/>
              <w:bottom w:val="single" w:sz="6" w:space="0" w:color="auto"/>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90</w:t>
            </w:r>
          </w:p>
        </w:tc>
        <w:tc>
          <w:tcPr>
            <w:tcW w:w="992" w:type="dxa"/>
            <w:tcBorders>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90</w:t>
            </w:r>
          </w:p>
        </w:tc>
        <w:tc>
          <w:tcPr>
            <w:tcW w:w="907" w:type="dxa"/>
            <w:tcBorders>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90</w:t>
            </w:r>
          </w:p>
        </w:tc>
        <w:tc>
          <w:tcPr>
            <w:tcW w:w="908" w:type="dxa"/>
            <w:tcBorders>
              <w:left w:val="nil"/>
              <w:bottom w:val="single" w:sz="6" w:space="0" w:color="auto"/>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97</w:t>
            </w:r>
          </w:p>
        </w:tc>
      </w:tr>
      <w:tr w:rsidR="00E25CC6" w:rsidRPr="00B34F0D" w:rsidTr="00A853D0">
        <w:trPr>
          <w:cantSplit/>
        </w:trPr>
        <w:tc>
          <w:tcPr>
            <w:tcW w:w="3146" w:type="dxa"/>
            <w:tcBorders>
              <w:top w:val="single" w:sz="6" w:space="0" w:color="auto"/>
              <w:left w:val="nil"/>
              <w:bottom w:val="nil"/>
              <w:right w:val="nil"/>
            </w:tcBorders>
          </w:tcPr>
          <w:p w:rsidR="00E25CC6" w:rsidRPr="00B34F0D" w:rsidRDefault="00E25CC6" w:rsidP="00B34F0D">
            <w:pPr>
              <w:autoSpaceDE w:val="0"/>
              <w:autoSpaceDN w:val="0"/>
              <w:adjustRightInd w:val="0"/>
              <w:spacing w:after="0"/>
              <w:ind w:left="227" w:hanging="227"/>
              <w:rPr>
                <w:rFonts w:ascii="Calibri" w:eastAsiaTheme="minorEastAsia" w:hAnsi="Calibri" w:cs="Calibri"/>
                <w:i/>
                <w:iCs/>
                <w:color w:val="000000"/>
                <w:sz w:val="19"/>
                <w:szCs w:val="19"/>
                <w:lang w:eastAsia="en-AU"/>
              </w:rPr>
            </w:pPr>
            <w:r w:rsidRPr="00B34F0D">
              <w:rPr>
                <w:rFonts w:ascii="Calibri" w:eastAsiaTheme="minorEastAsia" w:hAnsi="Calibri" w:cs="Calibri"/>
                <w:i/>
                <w:iCs/>
                <w:color w:val="000000"/>
                <w:sz w:val="19"/>
                <w:szCs w:val="19"/>
                <w:lang w:eastAsia="en-AU"/>
              </w:rPr>
              <w:t>Cost</w:t>
            </w:r>
          </w:p>
        </w:tc>
        <w:tc>
          <w:tcPr>
            <w:tcW w:w="907" w:type="dxa"/>
            <w:tcBorders>
              <w:top w:val="single" w:sz="6" w:space="0" w:color="auto"/>
              <w:left w:val="nil"/>
              <w:bottom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92" w:type="dxa"/>
            <w:tcBorders>
              <w:top w:val="single" w:sz="6" w:space="0" w:color="auto"/>
              <w:left w:val="nil"/>
              <w:bottom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7" w:type="dxa"/>
            <w:tcBorders>
              <w:top w:val="single" w:sz="6" w:space="0" w:color="auto"/>
              <w:left w:val="nil"/>
              <w:bottom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c>
          <w:tcPr>
            <w:tcW w:w="908" w:type="dxa"/>
            <w:tcBorders>
              <w:top w:val="single" w:sz="6" w:space="0" w:color="auto"/>
              <w:left w:val="nil"/>
              <w:bottom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xml:space="preserve"> </w:t>
            </w:r>
          </w:p>
        </w:tc>
      </w:tr>
      <w:tr w:rsidR="00E25CC6" w:rsidRPr="00B34F0D" w:rsidTr="00B34F0D">
        <w:trPr>
          <w:cantSplit/>
        </w:trPr>
        <w:tc>
          <w:tcPr>
            <w:tcW w:w="3146" w:type="dxa"/>
            <w:tcBorders>
              <w:top w:val="nil"/>
              <w:left w:val="nil"/>
              <w:bottom w:val="nil"/>
              <w:right w:val="nil"/>
            </w:tcBorders>
          </w:tcPr>
          <w:p w:rsidR="00E25CC6" w:rsidRPr="00B34F0D" w:rsidRDefault="00E25CC6" w:rsidP="00B34F0D">
            <w:pPr>
              <w:pStyle w:val="OGTabText"/>
              <w:rPr>
                <w:rFonts w:eastAsiaTheme="minorEastAsia"/>
                <w:sz w:val="19"/>
                <w:szCs w:val="19"/>
                <w:lang w:eastAsia="en-AU"/>
              </w:rPr>
            </w:pPr>
            <w:r w:rsidRPr="00B34F0D">
              <w:rPr>
                <w:rFonts w:eastAsiaTheme="minorEastAsia"/>
                <w:sz w:val="19"/>
                <w:szCs w:val="19"/>
                <w:lang w:eastAsia="en-AU"/>
              </w:rPr>
              <w:t>Total output cost</w:t>
            </w:r>
          </w:p>
        </w:tc>
        <w:tc>
          <w:tcPr>
            <w:tcW w:w="907" w:type="dxa"/>
            <w:tcBorders>
              <w:top w:val="nil"/>
              <w:left w:val="nil"/>
              <w:bottom w:val="nil"/>
              <w:right w:val="nil"/>
            </w:tcBorders>
          </w:tcPr>
          <w:p w:rsidR="00E25CC6" w:rsidRPr="00B34F0D" w:rsidRDefault="00E25CC6" w:rsidP="00B34F0D">
            <w:pPr>
              <w:autoSpaceDE w:val="0"/>
              <w:autoSpaceDN w:val="0"/>
              <w:adjustRightInd w:val="0"/>
              <w:spacing w:after="0"/>
              <w:jc w:val="center"/>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 million</w:t>
            </w:r>
          </w:p>
        </w:tc>
        <w:tc>
          <w:tcPr>
            <w:tcW w:w="907" w:type="dxa"/>
            <w:tcBorders>
              <w:top w:val="nil"/>
              <w:left w:val="nil"/>
              <w:bottom w:val="nil"/>
              <w:right w:val="nil"/>
            </w:tcBorders>
            <w:shd w:val="clear" w:color="auto" w:fill="DCDCDC"/>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16.9</w:t>
            </w:r>
          </w:p>
        </w:tc>
        <w:tc>
          <w:tcPr>
            <w:tcW w:w="992" w:type="dxa"/>
            <w:tcBorders>
              <w:top w:val="nil"/>
              <w:left w:val="nil"/>
              <w:bottom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15.9</w:t>
            </w:r>
          </w:p>
        </w:tc>
        <w:tc>
          <w:tcPr>
            <w:tcW w:w="907" w:type="dxa"/>
            <w:tcBorders>
              <w:top w:val="nil"/>
              <w:left w:val="nil"/>
              <w:bottom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16.7</w:t>
            </w:r>
          </w:p>
        </w:tc>
        <w:tc>
          <w:tcPr>
            <w:tcW w:w="908" w:type="dxa"/>
            <w:tcBorders>
              <w:top w:val="nil"/>
              <w:left w:val="nil"/>
              <w:bottom w:val="nil"/>
              <w:right w:val="nil"/>
            </w:tcBorders>
          </w:tcPr>
          <w:p w:rsidR="00E25CC6" w:rsidRPr="00B34F0D" w:rsidRDefault="00E25CC6" w:rsidP="00B34F0D">
            <w:pPr>
              <w:autoSpaceDE w:val="0"/>
              <w:autoSpaceDN w:val="0"/>
              <w:adjustRightInd w:val="0"/>
              <w:spacing w:after="0"/>
              <w:jc w:val="right"/>
              <w:rPr>
                <w:rFonts w:ascii="Calibri" w:eastAsiaTheme="minorEastAsia" w:hAnsi="Calibri" w:cs="Calibri"/>
                <w:color w:val="000000"/>
                <w:sz w:val="19"/>
                <w:szCs w:val="19"/>
                <w:lang w:eastAsia="en-AU"/>
              </w:rPr>
            </w:pPr>
            <w:r w:rsidRPr="00B34F0D">
              <w:rPr>
                <w:rFonts w:ascii="Calibri" w:eastAsiaTheme="minorEastAsia" w:hAnsi="Calibri" w:cs="Calibri"/>
                <w:color w:val="000000"/>
                <w:sz w:val="19"/>
                <w:szCs w:val="19"/>
                <w:lang w:eastAsia="en-AU"/>
              </w:rPr>
              <w:t>16.1</w:t>
            </w:r>
          </w:p>
        </w:tc>
      </w:tr>
      <w:tr w:rsidR="00E25CC6" w:rsidRPr="00B34F0D" w:rsidTr="00B34F0D">
        <w:trPr>
          <w:cantSplit/>
        </w:trPr>
        <w:tc>
          <w:tcPr>
            <w:tcW w:w="7767" w:type="dxa"/>
            <w:gridSpan w:val="6"/>
            <w:tcBorders>
              <w:top w:val="nil"/>
              <w:left w:val="nil"/>
              <w:bottom w:val="single" w:sz="12" w:space="0" w:color="auto"/>
              <w:right w:val="nil"/>
            </w:tcBorders>
          </w:tcPr>
          <w:p w:rsidR="00E25CC6" w:rsidRPr="00B34F0D" w:rsidRDefault="00E25CC6" w:rsidP="00B34F0D">
            <w:pPr>
              <w:pStyle w:val="OGNotes"/>
              <w:rPr>
                <w:rFonts w:eastAsiaTheme="minorEastAsia"/>
              </w:rPr>
            </w:pPr>
            <w:r w:rsidRPr="00B34F0D">
              <w:rPr>
                <w:rFonts w:eastAsiaTheme="minorEastAsia"/>
              </w:rPr>
              <w:t>The higher 2016</w:t>
            </w:r>
            <w:r>
              <w:rPr>
                <w:rFonts w:eastAsiaTheme="minorEastAsia"/>
              </w:rPr>
              <w:noBreakHyphen/>
            </w:r>
            <w:r w:rsidRPr="00B34F0D">
              <w:rPr>
                <w:rFonts w:eastAsiaTheme="minorEastAsia"/>
              </w:rPr>
              <w:t xml:space="preserve">17 </w:t>
            </w:r>
            <w:r>
              <w:rPr>
                <w:rFonts w:eastAsiaTheme="minorEastAsia"/>
              </w:rPr>
              <w:t>target</w:t>
            </w:r>
            <w:r w:rsidRPr="00B34F0D">
              <w:rPr>
                <w:rFonts w:eastAsiaTheme="minorEastAsia"/>
              </w:rPr>
              <w:t xml:space="preserve"> reflects indexation.</w:t>
            </w:r>
          </w:p>
        </w:tc>
      </w:tr>
    </w:tbl>
    <w:p w:rsidR="00E25CC6" w:rsidRPr="00C81E54" w:rsidRDefault="00E25CC6" w:rsidP="00C81E54">
      <w:pPr>
        <w:pStyle w:val="Source"/>
        <w:rPr>
          <w:rFonts w:eastAsiaTheme="minorHAnsi"/>
        </w:rPr>
      </w:pPr>
      <w:r w:rsidRPr="00C81E54">
        <w:rPr>
          <w:rFonts w:eastAsiaTheme="minorHAnsi"/>
        </w:rPr>
        <w:t>Source: Victorian Auditor</w:t>
      </w:r>
      <w:r>
        <w:rPr>
          <w:rFonts w:eastAsiaTheme="minorHAnsi"/>
        </w:rPr>
        <w:noBreakHyphen/>
      </w:r>
      <w:r w:rsidRPr="00C81E54">
        <w:rPr>
          <w:rFonts w:eastAsiaTheme="minorHAnsi"/>
        </w:rPr>
        <w:t>General</w:t>
      </w:r>
      <w:r>
        <w:rPr>
          <w:rFonts w:eastAsiaTheme="minorHAnsi"/>
        </w:rPr>
        <w:t>’</w:t>
      </w:r>
      <w:r w:rsidRPr="00C81E54">
        <w:rPr>
          <w:rFonts w:eastAsiaTheme="minorHAnsi"/>
        </w:rPr>
        <w:t>s Office</w:t>
      </w:r>
      <w:bookmarkEnd w:id="108"/>
      <w:r>
        <w:rPr>
          <w:rFonts w:eastAsiaTheme="minorHAnsi"/>
        </w:rPr>
        <w:t xml:space="preserve"> </w:t>
      </w:r>
      <w:r>
        <w:rPr>
          <w:rFonts w:eastAsiaTheme="minorHAnsi"/>
        </w:rPr>
        <w:fldChar w:fldCharType="begin"/>
      </w:r>
      <w:r>
        <w:instrText xml:space="preserve"> XE "</w:instrText>
      </w:r>
      <w:r w:rsidRPr="0085596A">
        <w:instrText>Victorian Auditor</w:instrText>
      </w:r>
      <w:r w:rsidRPr="0085596A">
        <w:noBreakHyphen/>
        <w:instrText>General's Office</w:instrText>
      </w:r>
      <w:r>
        <w:instrText xml:space="preserve">" \r "VicAtt_Gen_Office" </w:instrText>
      </w:r>
      <w:r>
        <w:rPr>
          <w:rFonts w:eastAsiaTheme="minorHAnsi"/>
        </w:rPr>
        <w:fldChar w:fldCharType="end"/>
      </w:r>
    </w:p>
    <w:p w:rsidR="00E25CC6" w:rsidRDefault="00E25CC6" w:rsidP="003B7B24">
      <w:pPr>
        <w:rPr>
          <w:rFonts w:eastAsiaTheme="minorHAnsi"/>
        </w:rPr>
      </w:pPr>
    </w:p>
    <w:p w:rsidR="00E25CC6" w:rsidRDefault="00E25CC6" w:rsidP="00243370">
      <w:pPr>
        <w:rPr>
          <w:rFonts w:eastAsiaTheme="minorHAnsi"/>
        </w:rPr>
        <w:sectPr w:rsidR="00E25CC6" w:rsidSect="00007537">
          <w:footerReference w:type="even" r:id="rId43"/>
          <w:footerReference w:type="default" r:id="rId44"/>
          <w:pgSz w:w="9979" w:h="14181" w:code="138"/>
          <w:pgMar w:top="1140" w:right="1140" w:bottom="1140" w:left="1140" w:header="720" w:footer="431" w:gutter="0"/>
          <w:cols w:space="708"/>
          <w:docGrid w:linePitch="360"/>
        </w:sectPr>
      </w:pPr>
    </w:p>
    <w:p w:rsidR="00E25CC6" w:rsidRPr="00DD165F" w:rsidRDefault="00E25CC6" w:rsidP="00DD165F">
      <w:pPr>
        <w:pStyle w:val="Heading1"/>
      </w:pPr>
      <w:bookmarkStart w:id="109" w:name="_Toc449109446"/>
      <w:r>
        <w:t>Courts</w:t>
      </w:r>
      <w:bookmarkEnd w:id="109"/>
    </w:p>
    <w:p w:rsidR="00E25CC6" w:rsidRDefault="00E25CC6" w:rsidP="008B65BC">
      <w:pPr>
        <w:pStyle w:val="Heading2"/>
        <w:rPr>
          <w:rFonts w:eastAsiaTheme="minorHAnsi"/>
        </w:rPr>
      </w:pPr>
      <w:r>
        <w:rPr>
          <w:rFonts w:eastAsiaTheme="minorHAnsi"/>
        </w:rPr>
        <w:t>Departmental mission statement</w:t>
      </w:r>
    </w:p>
    <w:p w:rsidR="00E25CC6" w:rsidRDefault="00E25CC6" w:rsidP="008B65BC">
      <w:pPr>
        <w:rPr>
          <w:rFonts w:eastAsiaTheme="minorHAnsi"/>
        </w:rPr>
      </w:pPr>
      <w:r w:rsidRPr="00850009">
        <w:rPr>
          <w:rFonts w:eastAsiaTheme="minorHAnsi"/>
        </w:rPr>
        <w:t>Victoria</w:t>
      </w:r>
      <w:r>
        <w:rPr>
          <w:rFonts w:eastAsiaTheme="minorHAnsi"/>
        </w:rPr>
        <w:t>’</w:t>
      </w:r>
      <w:r w:rsidRPr="00850009">
        <w:rPr>
          <w:rFonts w:eastAsiaTheme="minorHAnsi"/>
        </w:rPr>
        <w:t>s courts and tribunals safeguard and maintain the rule of law through the fair, timely and efficient dispensing of justice.</w:t>
      </w:r>
    </w:p>
    <w:p w:rsidR="00E25CC6" w:rsidRDefault="00E25CC6" w:rsidP="008B65BC">
      <w:pPr>
        <w:pStyle w:val="Heading2"/>
        <w:rPr>
          <w:rFonts w:eastAsiaTheme="minorHAnsi"/>
        </w:rPr>
      </w:pPr>
      <w:r>
        <w:rPr>
          <w:rFonts w:eastAsiaTheme="minorHAnsi"/>
        </w:rPr>
        <w:t>Departmental objectives, indicators and outputs</w:t>
      </w:r>
    </w:p>
    <w:p w:rsidR="00E25CC6" w:rsidRDefault="00E25CC6" w:rsidP="008B65BC">
      <w:pPr>
        <w:rPr>
          <w:rFonts w:eastAsiaTheme="minorHAnsi"/>
        </w:rPr>
      </w:pPr>
      <w:r w:rsidRPr="00850009">
        <w:rPr>
          <w:rFonts w:eastAsiaTheme="minorHAnsi"/>
        </w:rPr>
        <w:t>The objectives, indicators and linked outputs for Victoria</w:t>
      </w:r>
      <w:r>
        <w:rPr>
          <w:rFonts w:eastAsiaTheme="minorHAnsi"/>
        </w:rPr>
        <w:t>’</w:t>
      </w:r>
      <w:r w:rsidRPr="00850009">
        <w:rPr>
          <w:rFonts w:eastAsiaTheme="minorHAnsi"/>
        </w:rPr>
        <w:t>s courts and tribunals are listed below.</w:t>
      </w:r>
    </w:p>
    <w:tbl>
      <w:tblPr>
        <w:tblW w:w="5000" w:type="pct"/>
        <w:tblBorders>
          <w:bottom w:val="single" w:sz="12" w:space="0" w:color="auto"/>
          <w:insideH w:val="single" w:sz="6" w:space="0" w:color="auto"/>
        </w:tblBorders>
        <w:tblCellMar>
          <w:left w:w="43" w:type="dxa"/>
          <w:right w:w="43" w:type="dxa"/>
        </w:tblCellMar>
        <w:tblLook w:val="04A0" w:firstRow="1" w:lastRow="0" w:firstColumn="1" w:lastColumn="0" w:noHBand="0" w:noVBand="1"/>
      </w:tblPr>
      <w:tblGrid>
        <w:gridCol w:w="2065"/>
        <w:gridCol w:w="3363"/>
        <w:gridCol w:w="2357"/>
      </w:tblGrid>
      <w:tr w:rsidR="00E25CC6" w:rsidTr="004C6900">
        <w:trPr>
          <w:cantSplit/>
          <w:trHeight w:val="240"/>
          <w:tblHeader/>
        </w:trPr>
        <w:tc>
          <w:tcPr>
            <w:tcW w:w="1326" w:type="pct"/>
            <w:tcBorders>
              <w:bottom w:val="single" w:sz="6" w:space="0" w:color="auto"/>
            </w:tcBorders>
            <w:shd w:val="clear" w:color="auto" w:fill="000000"/>
          </w:tcPr>
          <w:p w:rsidR="00E25CC6" w:rsidRPr="00975E17" w:rsidRDefault="00E25CC6" w:rsidP="0021030D">
            <w:pPr>
              <w:pStyle w:val="Tabletextheading"/>
              <w:jc w:val="left"/>
            </w:pPr>
            <w:r>
              <w:t>Courts</w:t>
            </w:r>
            <w:r w:rsidRPr="00975E17">
              <w:t xml:space="preserve"> objectives</w:t>
            </w:r>
          </w:p>
        </w:tc>
        <w:tc>
          <w:tcPr>
            <w:tcW w:w="2160" w:type="pct"/>
            <w:tcBorders>
              <w:bottom w:val="single" w:sz="6" w:space="0" w:color="auto"/>
            </w:tcBorders>
            <w:shd w:val="clear" w:color="auto" w:fill="000000"/>
          </w:tcPr>
          <w:p w:rsidR="00E25CC6" w:rsidRPr="00975E17" w:rsidRDefault="00E25CC6" w:rsidP="0021030D">
            <w:pPr>
              <w:pStyle w:val="Tabletextheading"/>
              <w:jc w:val="left"/>
            </w:pPr>
            <w:r w:rsidRPr="00975E17">
              <w:t>Indicators</w:t>
            </w:r>
          </w:p>
        </w:tc>
        <w:tc>
          <w:tcPr>
            <w:tcW w:w="1514" w:type="pct"/>
            <w:tcBorders>
              <w:bottom w:val="single" w:sz="6" w:space="0" w:color="auto"/>
            </w:tcBorders>
            <w:shd w:val="clear" w:color="auto" w:fill="000000" w:themeFill="text1"/>
          </w:tcPr>
          <w:p w:rsidR="00E25CC6" w:rsidRPr="00DD1288" w:rsidRDefault="00E25CC6" w:rsidP="002D0EA6">
            <w:pPr>
              <w:pStyle w:val="Tabletextheading"/>
              <w:jc w:val="left"/>
            </w:pPr>
            <w:r w:rsidRPr="00254167">
              <w:rPr>
                <w:color w:val="FFFFFF" w:themeColor="background1"/>
              </w:rPr>
              <w:t>Output</w:t>
            </w:r>
            <w:r>
              <w:rPr>
                <w:color w:val="FFFFFF" w:themeColor="background1"/>
              </w:rPr>
              <w:t>s</w:t>
            </w:r>
          </w:p>
        </w:tc>
      </w:tr>
      <w:tr w:rsidR="00E25CC6" w:rsidTr="004C6900">
        <w:trPr>
          <w:cantSplit/>
          <w:trHeight w:val="1139"/>
        </w:trPr>
        <w:tc>
          <w:tcPr>
            <w:tcW w:w="1326" w:type="pct"/>
            <w:tcBorders>
              <w:top w:val="single" w:sz="6" w:space="0" w:color="auto"/>
              <w:bottom w:val="single" w:sz="12" w:space="0" w:color="auto"/>
            </w:tcBorders>
            <w:shd w:val="clear" w:color="auto" w:fill="auto"/>
          </w:tcPr>
          <w:p w:rsidR="00E25CC6" w:rsidRPr="000B58D1" w:rsidRDefault="00E25CC6" w:rsidP="0021030D">
            <w:pPr>
              <w:pStyle w:val="Tabletextcentred"/>
              <w:jc w:val="left"/>
            </w:pPr>
            <w:r w:rsidRPr="0058391E">
              <w:rPr>
                <w:b/>
              </w:rPr>
              <w:t>The fair, timely and efficient dispensing of justice</w:t>
            </w:r>
          </w:p>
        </w:tc>
        <w:tc>
          <w:tcPr>
            <w:tcW w:w="2160" w:type="pct"/>
            <w:tcBorders>
              <w:top w:val="single" w:sz="6" w:space="0" w:color="auto"/>
              <w:bottom w:val="single" w:sz="12" w:space="0" w:color="auto"/>
            </w:tcBorders>
            <w:shd w:val="clear" w:color="auto" w:fill="auto"/>
          </w:tcPr>
          <w:p w:rsidR="00E25CC6" w:rsidRDefault="00E25CC6" w:rsidP="0021030D">
            <w:pPr>
              <w:pStyle w:val="Tabletextcentred"/>
              <w:jc w:val="left"/>
            </w:pPr>
            <w:r w:rsidRPr="0058391E">
              <w:t>Clearance of criminal caseload (finalisations/lodgements)</w:t>
            </w:r>
            <w:r>
              <w:t xml:space="preserve"> </w:t>
            </w:r>
          </w:p>
          <w:p w:rsidR="00E25CC6" w:rsidRPr="000B58D1" w:rsidRDefault="00E25CC6" w:rsidP="0021030D">
            <w:pPr>
              <w:pStyle w:val="Tabletextcentred"/>
              <w:jc w:val="left"/>
            </w:pPr>
            <w:r w:rsidRPr="0058391E">
              <w:t>Clearance of civil caseload (finalisations/lodgements)</w:t>
            </w:r>
          </w:p>
        </w:tc>
        <w:tc>
          <w:tcPr>
            <w:tcW w:w="1514" w:type="pct"/>
            <w:tcBorders>
              <w:top w:val="single" w:sz="6" w:space="0" w:color="auto"/>
              <w:bottom w:val="single" w:sz="12" w:space="0" w:color="auto"/>
            </w:tcBorders>
            <w:shd w:val="clear" w:color="auto" w:fill="auto"/>
          </w:tcPr>
          <w:p w:rsidR="00E25CC6" w:rsidRPr="00DE0333" w:rsidRDefault="00E25CC6" w:rsidP="0021030D">
            <w:pPr>
              <w:pStyle w:val="Tabletextcentred"/>
              <w:jc w:val="left"/>
            </w:pPr>
            <w:r>
              <w:t>Courts</w:t>
            </w:r>
          </w:p>
        </w:tc>
      </w:tr>
    </w:tbl>
    <w:p w:rsidR="00E25CC6" w:rsidRDefault="00E25CC6" w:rsidP="00850009">
      <w:pPr>
        <w:pStyle w:val="Source"/>
        <w:rPr>
          <w:rFonts w:eastAsiaTheme="minorHAnsi"/>
        </w:rPr>
      </w:pPr>
      <w:r>
        <w:rPr>
          <w:rFonts w:eastAsiaTheme="minorHAnsi"/>
        </w:rPr>
        <w:t>Source: Court Services Victoria</w:t>
      </w:r>
    </w:p>
    <w:p w:rsidR="00E25CC6" w:rsidRPr="00367B52" w:rsidRDefault="00E25CC6" w:rsidP="00FC4382">
      <w:r w:rsidRPr="00367B52">
        <w:t>Victoria</w:t>
      </w:r>
      <w:r>
        <w:t>’</w:t>
      </w:r>
      <w:r w:rsidRPr="00367B52">
        <w:t>s courts and tribunals aim to:</w:t>
      </w:r>
    </w:p>
    <w:p w:rsidR="00E25CC6" w:rsidRPr="00367B52" w:rsidRDefault="00E25CC6" w:rsidP="00FC4382">
      <w:pPr>
        <w:pStyle w:val="BulletText"/>
      </w:pPr>
      <w:r w:rsidRPr="00367B52">
        <w:t>provide equal access to justice;</w:t>
      </w:r>
    </w:p>
    <w:p w:rsidR="00E25CC6" w:rsidRPr="00367B52" w:rsidRDefault="00E25CC6" w:rsidP="00FC4382">
      <w:pPr>
        <w:pStyle w:val="BulletText"/>
      </w:pPr>
      <w:r w:rsidRPr="00367B52">
        <w:t>ensure fairness, impartiality and independence in decision</w:t>
      </w:r>
      <w:r w:rsidRPr="00367B52">
        <w:noBreakHyphen/>
        <w:t>making;</w:t>
      </w:r>
    </w:p>
    <w:p w:rsidR="00E25CC6" w:rsidRPr="00367B52" w:rsidRDefault="00E25CC6" w:rsidP="00FC4382">
      <w:pPr>
        <w:pStyle w:val="BulletText"/>
      </w:pPr>
      <w:r w:rsidRPr="00367B52">
        <w:t>follow processes that are transparent, timely and certain;</w:t>
      </w:r>
    </w:p>
    <w:p w:rsidR="00E25CC6" w:rsidRPr="00367B52" w:rsidRDefault="00E25CC6" w:rsidP="00FC4382">
      <w:pPr>
        <w:pStyle w:val="BulletText"/>
      </w:pPr>
      <w:r w:rsidRPr="00367B52">
        <w:t>strive for leadership and best practice in court administration; and</w:t>
      </w:r>
    </w:p>
    <w:p w:rsidR="00E25CC6" w:rsidRPr="00367B52" w:rsidRDefault="00E25CC6" w:rsidP="00FC4382">
      <w:pPr>
        <w:pStyle w:val="BulletText"/>
      </w:pPr>
      <w:r w:rsidRPr="00367B52">
        <w:t>strengthen links with the community.</w:t>
      </w:r>
    </w:p>
    <w:p w:rsidR="00E25CC6" w:rsidRDefault="00E25CC6" w:rsidP="008B65BC">
      <w:pPr>
        <w:pStyle w:val="Heading2"/>
        <w:rPr>
          <w:rFonts w:eastAsiaTheme="minorHAnsi"/>
        </w:rPr>
      </w:pPr>
      <w:r>
        <w:rPr>
          <w:rFonts w:eastAsiaTheme="minorHAnsi"/>
        </w:rPr>
        <w:t>Changes to the output structure</w:t>
      </w:r>
    </w:p>
    <w:p w:rsidR="00E25CC6" w:rsidRDefault="00E25CC6" w:rsidP="008B65BC">
      <w:pPr>
        <w:rPr>
          <w:rFonts w:eastAsiaTheme="minorHAnsi"/>
        </w:rPr>
      </w:pPr>
      <w:r w:rsidRPr="00850009">
        <w:rPr>
          <w:rFonts w:eastAsiaTheme="minorHAnsi"/>
        </w:rPr>
        <w:t>There are no changes to Victoria</w:t>
      </w:r>
      <w:r>
        <w:rPr>
          <w:rFonts w:eastAsiaTheme="minorHAnsi"/>
        </w:rPr>
        <w:t>’</w:t>
      </w:r>
      <w:r w:rsidRPr="00850009">
        <w:rPr>
          <w:rFonts w:eastAsiaTheme="minorHAnsi"/>
        </w:rPr>
        <w:t>s courts and tribunals</w:t>
      </w:r>
      <w:r>
        <w:rPr>
          <w:rFonts w:eastAsiaTheme="minorHAnsi"/>
        </w:rPr>
        <w:t>’</w:t>
      </w:r>
      <w:r w:rsidRPr="00850009">
        <w:rPr>
          <w:rFonts w:eastAsiaTheme="minorHAnsi"/>
        </w:rPr>
        <w:t xml:space="preserve"> output structure for 2016</w:t>
      </w:r>
      <w:r>
        <w:rPr>
          <w:rFonts w:eastAsiaTheme="minorHAnsi"/>
        </w:rPr>
        <w:noBreakHyphen/>
      </w:r>
      <w:r w:rsidRPr="00850009">
        <w:rPr>
          <w:rFonts w:eastAsiaTheme="minorHAnsi"/>
        </w:rPr>
        <w:t>17.</w:t>
      </w:r>
    </w:p>
    <w:p w:rsidR="00E25CC6" w:rsidRDefault="00E25CC6" w:rsidP="00850009">
      <w:pPr>
        <w:rPr>
          <w:rFonts w:eastAsiaTheme="minorHAnsi"/>
        </w:rPr>
      </w:pPr>
      <w:r w:rsidRPr="00850009">
        <w:rPr>
          <w:rFonts w:eastAsiaTheme="minorHAnsi"/>
        </w:rPr>
        <w:t>The following table summarises the total output cost for Victoria</w:t>
      </w:r>
      <w:r>
        <w:rPr>
          <w:rFonts w:eastAsiaTheme="minorHAnsi"/>
        </w:rPr>
        <w:t>’</w:t>
      </w:r>
      <w:r w:rsidRPr="00850009">
        <w:rPr>
          <w:rFonts w:eastAsiaTheme="minorHAnsi"/>
        </w:rPr>
        <w:t>s courts and tribunals.</w:t>
      </w:r>
    </w:p>
    <w:p w:rsidR="00E25CC6" w:rsidRDefault="00E25CC6" w:rsidP="00096489">
      <w:pPr>
        <w:pStyle w:val="Source"/>
        <w:rPr>
          <w:rFonts w:eastAsiaTheme="minorHAnsi"/>
        </w:rPr>
      </w:pPr>
    </w:p>
    <w:p w:rsidR="00E25CC6" w:rsidRDefault="00E25CC6" w:rsidP="008B65BC">
      <w:pPr>
        <w:pStyle w:val="Tableheading"/>
        <w:rPr>
          <w:rFonts w:eastAsiaTheme="minorHAnsi"/>
        </w:rPr>
      </w:pPr>
      <w:r>
        <w:rPr>
          <w:rFonts w:eastAsiaTheme="minorHAnsi"/>
        </w:rPr>
        <w:t>Table 2.26:</w:t>
      </w:r>
      <w:r>
        <w:rPr>
          <w:rFonts w:eastAsiaTheme="minorHAnsi"/>
        </w:rPr>
        <w:tab/>
        <w:t>Output summary</w:t>
      </w:r>
    </w:p>
    <w:tbl>
      <w:tblPr>
        <w:tblW w:w="7765" w:type="dxa"/>
        <w:tblInd w:w="43" w:type="dxa"/>
        <w:tblLayout w:type="fixed"/>
        <w:tblCellMar>
          <w:left w:w="43" w:type="dxa"/>
          <w:right w:w="43" w:type="dxa"/>
        </w:tblCellMar>
        <w:tblLook w:val="0000" w:firstRow="0" w:lastRow="0" w:firstColumn="0" w:lastColumn="0" w:noHBand="0" w:noVBand="0"/>
      </w:tblPr>
      <w:tblGrid>
        <w:gridCol w:w="4365"/>
        <w:gridCol w:w="850"/>
        <w:gridCol w:w="850"/>
        <w:gridCol w:w="850"/>
        <w:gridCol w:w="850"/>
      </w:tblGrid>
      <w:tr w:rsidR="00E25CC6" w:rsidRPr="00850009" w:rsidTr="0021030D">
        <w:trPr>
          <w:cantSplit/>
          <w:tblHeader/>
        </w:trPr>
        <w:tc>
          <w:tcPr>
            <w:tcW w:w="4365" w:type="dxa"/>
            <w:tcBorders>
              <w:bottom w:val="nil"/>
              <w:right w:val="nil"/>
            </w:tcBorders>
            <w:shd w:val="clear" w:color="auto" w:fill="000000"/>
            <w:vAlign w:val="bottom"/>
          </w:tcPr>
          <w:p w:rsidR="00E25CC6" w:rsidRPr="00850009" w:rsidRDefault="00E25CC6" w:rsidP="0021030D">
            <w:pPr>
              <w:pStyle w:val="Tabletext"/>
              <w:rPr>
                <w:color w:val="FFFFFF"/>
                <w:lang w:eastAsia="en-AU"/>
              </w:rPr>
            </w:pPr>
            <w:r>
              <w:rPr>
                <w:color w:val="FFFFFF"/>
                <w:lang w:eastAsia="en-AU"/>
              </w:rPr>
              <w:t xml:space="preserve"> </w:t>
            </w:r>
          </w:p>
        </w:tc>
        <w:tc>
          <w:tcPr>
            <w:tcW w:w="850" w:type="dxa"/>
            <w:tcBorders>
              <w:left w:val="nil"/>
              <w:bottom w:val="nil"/>
              <w:right w:val="nil"/>
            </w:tcBorders>
            <w:shd w:val="clear" w:color="auto" w:fill="000000"/>
            <w:vAlign w:val="bottom"/>
          </w:tcPr>
          <w:p w:rsidR="00E25CC6" w:rsidRPr="00850009" w:rsidRDefault="00E25CC6" w:rsidP="0021030D">
            <w:pPr>
              <w:pStyle w:val="Tabletextheading"/>
              <w:rPr>
                <w:color w:val="FFFFFF"/>
                <w:sz w:val="19"/>
                <w:lang w:eastAsia="en-AU"/>
              </w:rPr>
            </w:pPr>
            <w:r w:rsidRPr="00850009">
              <w:rPr>
                <w:color w:val="FFFFFF"/>
                <w:sz w:val="19"/>
                <w:lang w:eastAsia="en-AU"/>
              </w:rPr>
              <w:t>2015</w:t>
            </w:r>
            <w:r>
              <w:rPr>
                <w:color w:val="FFFFFF"/>
                <w:sz w:val="19"/>
                <w:lang w:eastAsia="en-AU"/>
              </w:rPr>
              <w:noBreakHyphen/>
            </w:r>
            <w:r w:rsidRPr="00850009">
              <w:rPr>
                <w:color w:val="FFFFFF"/>
                <w:sz w:val="19"/>
                <w:lang w:eastAsia="en-AU"/>
              </w:rPr>
              <w:t>16</w:t>
            </w:r>
          </w:p>
        </w:tc>
        <w:tc>
          <w:tcPr>
            <w:tcW w:w="850" w:type="dxa"/>
            <w:tcBorders>
              <w:left w:val="nil"/>
              <w:bottom w:val="nil"/>
              <w:right w:val="nil"/>
            </w:tcBorders>
            <w:shd w:val="clear" w:color="auto" w:fill="000000"/>
            <w:vAlign w:val="bottom"/>
          </w:tcPr>
          <w:p w:rsidR="00E25CC6" w:rsidRPr="00850009" w:rsidRDefault="00E25CC6" w:rsidP="0021030D">
            <w:pPr>
              <w:pStyle w:val="Tabletextheading"/>
              <w:rPr>
                <w:color w:val="FFFFFF"/>
                <w:sz w:val="19"/>
                <w:lang w:eastAsia="en-AU"/>
              </w:rPr>
            </w:pPr>
            <w:r w:rsidRPr="00850009">
              <w:rPr>
                <w:color w:val="FFFFFF"/>
                <w:sz w:val="19"/>
                <w:lang w:eastAsia="en-AU"/>
              </w:rPr>
              <w:t>2015</w:t>
            </w:r>
            <w:r>
              <w:rPr>
                <w:color w:val="FFFFFF"/>
                <w:sz w:val="19"/>
                <w:lang w:eastAsia="en-AU"/>
              </w:rPr>
              <w:noBreakHyphen/>
            </w:r>
            <w:r w:rsidRPr="00850009">
              <w:rPr>
                <w:color w:val="FFFFFF"/>
                <w:sz w:val="19"/>
                <w:lang w:eastAsia="en-AU"/>
              </w:rPr>
              <w:t>16</w:t>
            </w:r>
          </w:p>
        </w:tc>
        <w:tc>
          <w:tcPr>
            <w:tcW w:w="850" w:type="dxa"/>
            <w:tcBorders>
              <w:left w:val="nil"/>
              <w:bottom w:val="nil"/>
              <w:right w:val="nil"/>
            </w:tcBorders>
            <w:shd w:val="clear" w:color="auto" w:fill="000000"/>
            <w:vAlign w:val="bottom"/>
          </w:tcPr>
          <w:p w:rsidR="00E25CC6" w:rsidRPr="00850009" w:rsidRDefault="00E25CC6" w:rsidP="0021030D">
            <w:pPr>
              <w:pStyle w:val="Tabletextheading"/>
              <w:rPr>
                <w:color w:val="FFFFFF"/>
                <w:sz w:val="19"/>
                <w:lang w:eastAsia="en-AU"/>
              </w:rPr>
            </w:pPr>
            <w:r w:rsidRPr="00850009">
              <w:rPr>
                <w:color w:val="FFFFFF"/>
                <w:sz w:val="19"/>
                <w:lang w:eastAsia="en-AU"/>
              </w:rPr>
              <w:t>2016</w:t>
            </w:r>
            <w:r>
              <w:rPr>
                <w:color w:val="FFFFFF"/>
                <w:sz w:val="19"/>
                <w:lang w:eastAsia="en-AU"/>
              </w:rPr>
              <w:noBreakHyphen/>
            </w:r>
            <w:r w:rsidRPr="00850009">
              <w:rPr>
                <w:color w:val="FFFFFF"/>
                <w:sz w:val="19"/>
                <w:lang w:eastAsia="en-AU"/>
              </w:rPr>
              <w:t>17</w:t>
            </w:r>
          </w:p>
        </w:tc>
        <w:tc>
          <w:tcPr>
            <w:tcW w:w="850" w:type="dxa"/>
            <w:tcBorders>
              <w:left w:val="nil"/>
              <w:bottom w:val="nil"/>
            </w:tcBorders>
            <w:shd w:val="clear" w:color="auto" w:fill="000000"/>
            <w:vAlign w:val="bottom"/>
          </w:tcPr>
          <w:p w:rsidR="00E25CC6" w:rsidRPr="00850009" w:rsidRDefault="00E25CC6" w:rsidP="0021030D">
            <w:pPr>
              <w:pStyle w:val="Tabletextheading"/>
              <w:rPr>
                <w:color w:val="FFFFFF"/>
                <w:sz w:val="19"/>
                <w:vertAlign w:val="superscript"/>
                <w:lang w:eastAsia="en-AU"/>
              </w:rPr>
            </w:pPr>
            <w:r w:rsidRPr="00850009">
              <w:rPr>
                <w:color w:val="FFFFFF"/>
                <w:sz w:val="19"/>
                <w:lang w:eastAsia="en-AU"/>
              </w:rPr>
              <w:t>Variation</w:t>
            </w:r>
          </w:p>
        </w:tc>
      </w:tr>
      <w:tr w:rsidR="00E25CC6" w:rsidRPr="00850009" w:rsidTr="0021030D">
        <w:trPr>
          <w:cantSplit/>
          <w:tblHeader/>
        </w:trPr>
        <w:tc>
          <w:tcPr>
            <w:tcW w:w="4365" w:type="dxa"/>
            <w:tcBorders>
              <w:top w:val="nil"/>
              <w:bottom w:val="single" w:sz="6" w:space="0" w:color="auto"/>
              <w:right w:val="nil"/>
            </w:tcBorders>
            <w:shd w:val="clear" w:color="auto" w:fill="000000"/>
            <w:vAlign w:val="bottom"/>
          </w:tcPr>
          <w:p w:rsidR="00E25CC6" w:rsidRPr="00850009" w:rsidRDefault="00E25CC6" w:rsidP="0021030D">
            <w:pPr>
              <w:pStyle w:val="Tabletext"/>
              <w:rPr>
                <w:color w:val="FFFFFF"/>
                <w:lang w:eastAsia="en-AU"/>
              </w:rPr>
            </w:pPr>
            <w:r>
              <w:rPr>
                <w:color w:val="FFFFFF"/>
                <w:lang w:eastAsia="en-AU"/>
              </w:rPr>
              <w:t xml:space="preserve"> </w:t>
            </w:r>
          </w:p>
        </w:tc>
        <w:tc>
          <w:tcPr>
            <w:tcW w:w="850" w:type="dxa"/>
            <w:tcBorders>
              <w:top w:val="nil"/>
              <w:left w:val="nil"/>
              <w:bottom w:val="single" w:sz="6" w:space="0" w:color="auto"/>
              <w:right w:val="nil"/>
            </w:tcBorders>
            <w:shd w:val="clear" w:color="auto" w:fill="000000"/>
            <w:vAlign w:val="bottom"/>
          </w:tcPr>
          <w:p w:rsidR="00E25CC6" w:rsidRPr="00850009" w:rsidRDefault="00E25CC6" w:rsidP="0021030D">
            <w:pPr>
              <w:pStyle w:val="Tabletextheading"/>
              <w:rPr>
                <w:color w:val="FFFFFF"/>
                <w:sz w:val="19"/>
                <w:lang w:eastAsia="en-AU"/>
              </w:rPr>
            </w:pPr>
            <w:r w:rsidRPr="00850009">
              <w:rPr>
                <w:color w:val="FFFFFF"/>
                <w:sz w:val="19"/>
                <w:lang w:eastAsia="en-AU"/>
              </w:rPr>
              <w:t>budget</w:t>
            </w:r>
          </w:p>
        </w:tc>
        <w:tc>
          <w:tcPr>
            <w:tcW w:w="850" w:type="dxa"/>
            <w:tcBorders>
              <w:top w:val="nil"/>
              <w:left w:val="nil"/>
              <w:bottom w:val="single" w:sz="6" w:space="0" w:color="auto"/>
              <w:right w:val="nil"/>
            </w:tcBorders>
            <w:shd w:val="clear" w:color="auto" w:fill="000000"/>
            <w:vAlign w:val="bottom"/>
          </w:tcPr>
          <w:p w:rsidR="00E25CC6" w:rsidRPr="00850009" w:rsidRDefault="00E25CC6" w:rsidP="0021030D">
            <w:pPr>
              <w:pStyle w:val="Tabletextheading"/>
              <w:rPr>
                <w:color w:val="FFFFFF"/>
                <w:sz w:val="19"/>
                <w:lang w:eastAsia="en-AU"/>
              </w:rPr>
            </w:pPr>
            <w:r w:rsidRPr="00850009">
              <w:rPr>
                <w:color w:val="FFFFFF"/>
                <w:sz w:val="19"/>
                <w:lang w:eastAsia="en-AU"/>
              </w:rPr>
              <w:t>revised</w:t>
            </w:r>
          </w:p>
        </w:tc>
        <w:tc>
          <w:tcPr>
            <w:tcW w:w="850" w:type="dxa"/>
            <w:tcBorders>
              <w:top w:val="nil"/>
              <w:left w:val="nil"/>
              <w:bottom w:val="single" w:sz="6" w:space="0" w:color="auto"/>
              <w:right w:val="nil"/>
            </w:tcBorders>
            <w:shd w:val="clear" w:color="auto" w:fill="000000"/>
            <w:vAlign w:val="bottom"/>
          </w:tcPr>
          <w:p w:rsidR="00E25CC6" w:rsidRPr="00850009" w:rsidRDefault="00E25CC6" w:rsidP="0021030D">
            <w:pPr>
              <w:pStyle w:val="Tabletextheading"/>
              <w:rPr>
                <w:color w:val="FFFFFF"/>
                <w:sz w:val="19"/>
                <w:lang w:eastAsia="en-AU"/>
              </w:rPr>
            </w:pPr>
            <w:r w:rsidRPr="00850009">
              <w:rPr>
                <w:color w:val="FFFFFF"/>
                <w:sz w:val="19"/>
                <w:lang w:eastAsia="en-AU"/>
              </w:rPr>
              <w:t>budget</w:t>
            </w:r>
          </w:p>
        </w:tc>
        <w:tc>
          <w:tcPr>
            <w:tcW w:w="850" w:type="dxa"/>
            <w:tcBorders>
              <w:top w:val="nil"/>
              <w:left w:val="nil"/>
              <w:bottom w:val="single" w:sz="6" w:space="0" w:color="auto"/>
            </w:tcBorders>
            <w:shd w:val="clear" w:color="auto" w:fill="000000"/>
            <w:vAlign w:val="bottom"/>
          </w:tcPr>
          <w:p w:rsidR="00E25CC6" w:rsidRPr="00850009" w:rsidRDefault="00E25CC6" w:rsidP="0021030D">
            <w:pPr>
              <w:pStyle w:val="Tabletextheading"/>
              <w:rPr>
                <w:color w:val="FFFFFF"/>
                <w:sz w:val="19"/>
                <w:lang w:eastAsia="en-AU"/>
              </w:rPr>
            </w:pPr>
            <w:r w:rsidRPr="00850009">
              <w:rPr>
                <w:color w:val="FFFFFF"/>
                <w:sz w:val="19"/>
                <w:lang w:eastAsia="en-AU"/>
              </w:rPr>
              <w:t>%</w:t>
            </w:r>
          </w:p>
        </w:tc>
      </w:tr>
      <w:tr w:rsidR="00E25CC6" w:rsidRPr="00850009" w:rsidTr="0021030D">
        <w:trPr>
          <w:cantSplit/>
        </w:trPr>
        <w:tc>
          <w:tcPr>
            <w:tcW w:w="4365" w:type="dxa"/>
            <w:tcBorders>
              <w:top w:val="single" w:sz="6" w:space="0" w:color="auto"/>
              <w:left w:val="nil"/>
              <w:bottom w:val="single" w:sz="6" w:space="0" w:color="auto"/>
              <w:right w:val="nil"/>
            </w:tcBorders>
            <w:shd w:val="clear" w:color="auto" w:fill="FFFFFF"/>
          </w:tcPr>
          <w:p w:rsidR="00E25CC6" w:rsidRPr="00850009" w:rsidRDefault="00E25CC6" w:rsidP="0021030D">
            <w:pPr>
              <w:pStyle w:val="Tabletext"/>
              <w:ind w:left="227" w:hanging="227"/>
            </w:pPr>
            <w:r w:rsidRPr="00850009">
              <w:t xml:space="preserve">Courts </w:t>
            </w:r>
          </w:p>
        </w:tc>
        <w:tc>
          <w:tcPr>
            <w:tcW w:w="850" w:type="dxa"/>
            <w:tcBorders>
              <w:top w:val="single" w:sz="6" w:space="0" w:color="auto"/>
              <w:left w:val="nil"/>
              <w:bottom w:val="single" w:sz="6" w:space="0" w:color="auto"/>
              <w:right w:val="nil"/>
            </w:tcBorders>
            <w:shd w:val="clear" w:color="auto" w:fill="FFFFFF"/>
          </w:tcPr>
          <w:p w:rsidR="00E25CC6" w:rsidRPr="00850009" w:rsidRDefault="00E25CC6" w:rsidP="0021030D">
            <w:pPr>
              <w:pStyle w:val="TableofFigures"/>
              <w:rPr>
                <w:sz w:val="19"/>
              </w:rPr>
            </w:pPr>
            <w:r w:rsidRPr="00850009">
              <w:rPr>
                <w:sz w:val="19"/>
              </w:rPr>
              <w:t>466.1</w:t>
            </w:r>
          </w:p>
        </w:tc>
        <w:tc>
          <w:tcPr>
            <w:tcW w:w="850" w:type="dxa"/>
            <w:tcBorders>
              <w:top w:val="single" w:sz="6" w:space="0" w:color="auto"/>
              <w:left w:val="nil"/>
              <w:bottom w:val="single" w:sz="6" w:space="0" w:color="auto"/>
              <w:right w:val="nil"/>
            </w:tcBorders>
            <w:shd w:val="clear" w:color="auto" w:fill="FFFFFF"/>
          </w:tcPr>
          <w:p w:rsidR="00E25CC6" w:rsidRPr="00850009" w:rsidRDefault="00E25CC6" w:rsidP="0021030D">
            <w:pPr>
              <w:pStyle w:val="TableofFigures"/>
              <w:rPr>
                <w:sz w:val="19"/>
              </w:rPr>
            </w:pPr>
            <w:r w:rsidRPr="00850009">
              <w:rPr>
                <w:sz w:val="19"/>
              </w:rPr>
              <w:t>480.4</w:t>
            </w:r>
          </w:p>
        </w:tc>
        <w:tc>
          <w:tcPr>
            <w:tcW w:w="850" w:type="dxa"/>
            <w:tcBorders>
              <w:top w:val="single" w:sz="6" w:space="0" w:color="auto"/>
              <w:left w:val="nil"/>
              <w:bottom w:val="single" w:sz="6" w:space="0" w:color="auto"/>
              <w:right w:val="nil"/>
            </w:tcBorders>
            <w:shd w:val="clear" w:color="auto" w:fill="FFFFFF"/>
          </w:tcPr>
          <w:p w:rsidR="00E25CC6" w:rsidRPr="00367B52" w:rsidRDefault="00E25CC6" w:rsidP="0021030D">
            <w:pPr>
              <w:pStyle w:val="TableofFigures"/>
              <w:rPr>
                <w:sz w:val="19"/>
              </w:rPr>
            </w:pPr>
            <w:r w:rsidRPr="00367B52">
              <w:rPr>
                <w:sz w:val="19"/>
              </w:rPr>
              <w:t>487.0</w:t>
            </w:r>
          </w:p>
        </w:tc>
        <w:tc>
          <w:tcPr>
            <w:tcW w:w="850" w:type="dxa"/>
            <w:tcBorders>
              <w:top w:val="single" w:sz="6" w:space="0" w:color="auto"/>
              <w:left w:val="nil"/>
              <w:bottom w:val="single" w:sz="6" w:space="0" w:color="auto"/>
              <w:right w:val="nil"/>
            </w:tcBorders>
            <w:shd w:val="clear" w:color="auto" w:fill="FFFFFF"/>
          </w:tcPr>
          <w:p w:rsidR="00E25CC6" w:rsidRPr="00367B52" w:rsidRDefault="00E25CC6" w:rsidP="00133827">
            <w:pPr>
              <w:pStyle w:val="TableofFigures"/>
              <w:rPr>
                <w:strike/>
                <w:sz w:val="19"/>
              </w:rPr>
            </w:pPr>
            <w:r w:rsidRPr="00367B52">
              <w:rPr>
                <w:sz w:val="19"/>
              </w:rPr>
              <w:t>4.5</w:t>
            </w:r>
          </w:p>
        </w:tc>
      </w:tr>
      <w:tr w:rsidR="00E25CC6" w:rsidRPr="00850009" w:rsidTr="0021030D">
        <w:trPr>
          <w:cantSplit/>
        </w:trPr>
        <w:tc>
          <w:tcPr>
            <w:tcW w:w="4365" w:type="dxa"/>
            <w:tcBorders>
              <w:top w:val="single" w:sz="6" w:space="0" w:color="auto"/>
              <w:left w:val="nil"/>
              <w:bottom w:val="single" w:sz="12" w:space="0" w:color="auto"/>
              <w:right w:val="nil"/>
            </w:tcBorders>
            <w:shd w:val="clear" w:color="auto" w:fill="FFFFFF"/>
          </w:tcPr>
          <w:p w:rsidR="00E25CC6" w:rsidRPr="00850009" w:rsidRDefault="00E25CC6" w:rsidP="0021030D">
            <w:pPr>
              <w:pStyle w:val="Tabletext"/>
              <w:ind w:left="227" w:hanging="227"/>
              <w:rPr>
                <w:b/>
                <w:bCs/>
                <w:color w:val="000000"/>
                <w:lang w:eastAsia="en-AU"/>
              </w:rPr>
            </w:pPr>
            <w:r w:rsidRPr="00850009">
              <w:rPr>
                <w:b/>
                <w:bCs/>
                <w:color w:val="000000"/>
                <w:lang w:eastAsia="en-AU"/>
              </w:rPr>
              <w:t>Total</w:t>
            </w:r>
          </w:p>
        </w:tc>
        <w:tc>
          <w:tcPr>
            <w:tcW w:w="850" w:type="dxa"/>
            <w:tcBorders>
              <w:top w:val="single" w:sz="6" w:space="0" w:color="auto"/>
              <w:left w:val="nil"/>
              <w:bottom w:val="single" w:sz="12" w:space="0" w:color="auto"/>
              <w:right w:val="nil"/>
            </w:tcBorders>
            <w:shd w:val="clear" w:color="auto" w:fill="FFFFFF"/>
          </w:tcPr>
          <w:p w:rsidR="00E25CC6" w:rsidRPr="00850009" w:rsidRDefault="00E25CC6" w:rsidP="0021030D">
            <w:pPr>
              <w:pStyle w:val="TableofFigures"/>
              <w:rPr>
                <w:b/>
                <w:bCs/>
                <w:color w:val="000000"/>
                <w:sz w:val="19"/>
                <w:szCs w:val="22"/>
                <w:lang w:eastAsia="en-AU"/>
              </w:rPr>
            </w:pPr>
            <w:r w:rsidRPr="00850009">
              <w:rPr>
                <w:b/>
                <w:sz w:val="19"/>
              </w:rPr>
              <w:t>466.1</w:t>
            </w:r>
          </w:p>
        </w:tc>
        <w:tc>
          <w:tcPr>
            <w:tcW w:w="850" w:type="dxa"/>
            <w:tcBorders>
              <w:top w:val="single" w:sz="6" w:space="0" w:color="auto"/>
              <w:left w:val="nil"/>
              <w:bottom w:val="single" w:sz="12" w:space="0" w:color="auto"/>
              <w:right w:val="nil"/>
            </w:tcBorders>
            <w:shd w:val="clear" w:color="auto" w:fill="FFFFFF"/>
          </w:tcPr>
          <w:p w:rsidR="00E25CC6" w:rsidRPr="00850009" w:rsidRDefault="00E25CC6" w:rsidP="0021030D">
            <w:pPr>
              <w:pStyle w:val="TableofFigures"/>
              <w:rPr>
                <w:b/>
                <w:bCs/>
                <w:sz w:val="19"/>
                <w:szCs w:val="22"/>
                <w:lang w:eastAsia="en-AU"/>
              </w:rPr>
            </w:pPr>
            <w:r w:rsidRPr="00850009">
              <w:rPr>
                <w:b/>
                <w:bCs/>
                <w:sz w:val="19"/>
                <w:szCs w:val="22"/>
                <w:lang w:eastAsia="en-AU"/>
              </w:rPr>
              <w:t>480.4</w:t>
            </w:r>
          </w:p>
        </w:tc>
        <w:tc>
          <w:tcPr>
            <w:tcW w:w="850" w:type="dxa"/>
            <w:tcBorders>
              <w:top w:val="single" w:sz="6" w:space="0" w:color="auto"/>
              <w:left w:val="nil"/>
              <w:bottom w:val="single" w:sz="12" w:space="0" w:color="auto"/>
              <w:right w:val="nil"/>
            </w:tcBorders>
            <w:shd w:val="clear" w:color="auto" w:fill="FFFFFF"/>
          </w:tcPr>
          <w:p w:rsidR="00E25CC6" w:rsidRPr="00367B52" w:rsidRDefault="00E25CC6" w:rsidP="0021030D">
            <w:pPr>
              <w:pStyle w:val="TableofFigures"/>
              <w:rPr>
                <w:b/>
                <w:bCs/>
                <w:sz w:val="19"/>
                <w:szCs w:val="22"/>
                <w:lang w:eastAsia="en-AU"/>
              </w:rPr>
            </w:pPr>
            <w:r w:rsidRPr="00367B52">
              <w:rPr>
                <w:b/>
                <w:bCs/>
                <w:sz w:val="19"/>
                <w:szCs w:val="22"/>
                <w:lang w:eastAsia="en-AU"/>
              </w:rPr>
              <w:t>487.0</w:t>
            </w:r>
          </w:p>
        </w:tc>
        <w:tc>
          <w:tcPr>
            <w:tcW w:w="850" w:type="dxa"/>
            <w:tcBorders>
              <w:top w:val="single" w:sz="6" w:space="0" w:color="auto"/>
              <w:left w:val="nil"/>
              <w:bottom w:val="single" w:sz="12" w:space="0" w:color="auto"/>
              <w:right w:val="nil"/>
            </w:tcBorders>
            <w:shd w:val="clear" w:color="auto" w:fill="FFFFFF"/>
          </w:tcPr>
          <w:p w:rsidR="00E25CC6" w:rsidRPr="00367B52" w:rsidRDefault="00E25CC6" w:rsidP="00133827">
            <w:pPr>
              <w:pStyle w:val="TableofFigures"/>
              <w:rPr>
                <w:b/>
                <w:bCs/>
                <w:strike/>
                <w:sz w:val="19"/>
                <w:szCs w:val="22"/>
                <w:lang w:eastAsia="en-AU"/>
              </w:rPr>
            </w:pPr>
            <w:r w:rsidRPr="00367B52">
              <w:rPr>
                <w:b/>
                <w:bCs/>
                <w:sz w:val="19"/>
                <w:szCs w:val="22"/>
                <w:lang w:eastAsia="en-AU"/>
              </w:rPr>
              <w:t>4.5</w:t>
            </w:r>
          </w:p>
        </w:tc>
      </w:tr>
    </w:tbl>
    <w:p w:rsidR="00E25CC6" w:rsidRPr="00D909A2" w:rsidRDefault="00E25CC6" w:rsidP="00850009">
      <w:pPr>
        <w:pStyle w:val="Source"/>
        <w:rPr>
          <w:rFonts w:eastAsiaTheme="minorHAnsi"/>
          <w:i w:val="0"/>
        </w:rPr>
      </w:pPr>
      <w:r>
        <w:rPr>
          <w:rFonts w:eastAsiaTheme="minorHAnsi"/>
        </w:rPr>
        <w:t xml:space="preserve">Sources: Court Services Victoria and Department of Treasury and Finance  </w:t>
      </w:r>
      <w:r>
        <w:rPr>
          <w:rFonts w:eastAsiaTheme="minorHAnsi"/>
        </w:rPr>
        <w:fldChar w:fldCharType="begin"/>
      </w:r>
      <w:r>
        <w:instrText xml:space="preserve"> XE "</w:instrText>
      </w:r>
      <w:r w:rsidRPr="00504381">
        <w:instrText>Courts:Output summary</w:instrText>
      </w:r>
      <w:r>
        <w:instrText xml:space="preserve">" </w:instrText>
      </w:r>
      <w:r>
        <w:rPr>
          <w:rFonts w:eastAsiaTheme="minorHAnsi"/>
        </w:rPr>
        <w:fldChar w:fldCharType="end"/>
      </w:r>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8B65BC">
      <w:pPr>
        <w:pStyle w:val="Heading2"/>
        <w:rPr>
          <w:rFonts w:eastAsiaTheme="minorHAnsi"/>
        </w:rPr>
      </w:pPr>
      <w:r>
        <w:rPr>
          <w:rFonts w:eastAsiaTheme="minorHAnsi"/>
        </w:rPr>
        <w:t>Amounts available</w:t>
      </w:r>
    </w:p>
    <w:p w:rsidR="00E25CC6" w:rsidRDefault="00E25CC6" w:rsidP="008B65BC">
      <w:pPr>
        <w:rPr>
          <w:rFonts w:eastAsiaTheme="minorHAnsi"/>
        </w:rPr>
      </w:pPr>
      <w:r>
        <w:rPr>
          <w:rFonts w:eastAsiaTheme="minorHAnsi"/>
        </w:rPr>
        <w:t>The following tables detail the amounts available to the Department from Parliamentary authority and income generated through transactions.</w:t>
      </w:r>
    </w:p>
    <w:p w:rsidR="00E25CC6" w:rsidRDefault="00E25CC6" w:rsidP="008B65BC">
      <w:pPr>
        <w:rPr>
          <w:rFonts w:eastAsiaTheme="minorHAnsi"/>
        </w:rPr>
      </w:pPr>
      <w:r>
        <w:rPr>
          <w:rFonts w:eastAsiaTheme="minorHAnsi"/>
        </w:rPr>
        <w:t>Table 2.27 outlines the Department’s income from transactions and 2.28 summarises the sources of Parliamentary authority available to the Department to fund the provision of outputs, additions to the net asset base and payments made on behalf of the State.</w:t>
      </w:r>
    </w:p>
    <w:p w:rsidR="00E25CC6" w:rsidRDefault="00E25CC6" w:rsidP="00A00FF4">
      <w:pPr>
        <w:pStyle w:val="Source"/>
        <w:rPr>
          <w:rFonts w:eastAsiaTheme="minorHAnsi"/>
        </w:rPr>
      </w:pPr>
    </w:p>
    <w:p w:rsidR="00E25CC6" w:rsidRDefault="00E25CC6" w:rsidP="008B65BC">
      <w:pPr>
        <w:pStyle w:val="Tableheading"/>
        <w:rPr>
          <w:rFonts w:eastAsiaTheme="minorHAnsi"/>
        </w:rPr>
      </w:pPr>
      <w:r>
        <w:rPr>
          <w:rFonts w:eastAsiaTheme="minorHAnsi"/>
        </w:rPr>
        <w:t>Table 2.27:</w:t>
      </w:r>
      <w:r>
        <w:rPr>
          <w:rFonts w:eastAsiaTheme="minorHAnsi"/>
        </w:rPr>
        <w:tab/>
        <w:t>Income from transactions</w:t>
      </w:r>
    </w:p>
    <w:p w:rsidR="00E25CC6" w:rsidRPr="00DD122C" w:rsidRDefault="00E25CC6" w:rsidP="00DD122C">
      <w:pPr>
        <w:pStyle w:val="million"/>
        <w:rPr>
          <w:rFonts w:ascii="Garamond" w:eastAsiaTheme="minorHAnsi" w:hAnsi="Garamond"/>
          <w:b/>
          <w:bCs/>
          <w:sz w:val="22"/>
          <w:lang w:val="en-US"/>
        </w:rPr>
      </w:pPr>
      <w:r>
        <w:rPr>
          <w:rFonts w:eastAsiaTheme="minorHAnsi"/>
        </w:rPr>
        <w:t>($ million)</w:t>
      </w:r>
    </w:p>
    <w:tbl>
      <w:tblPr>
        <w:tblW w:w="7765" w:type="dxa"/>
        <w:tblInd w:w="45" w:type="dxa"/>
        <w:tblLayout w:type="fixed"/>
        <w:tblCellMar>
          <w:left w:w="45" w:type="dxa"/>
          <w:right w:w="45" w:type="dxa"/>
        </w:tblCellMar>
        <w:tblLook w:val="0000" w:firstRow="0" w:lastRow="0" w:firstColumn="0" w:lastColumn="0" w:noHBand="0" w:noVBand="0"/>
      </w:tblPr>
      <w:tblGrid>
        <w:gridCol w:w="4365"/>
        <w:gridCol w:w="850"/>
        <w:gridCol w:w="850"/>
        <w:gridCol w:w="850"/>
        <w:gridCol w:w="850"/>
      </w:tblGrid>
      <w:tr w:rsidR="00E25CC6" w:rsidRPr="00DD122C" w:rsidTr="00DD122C">
        <w:tc>
          <w:tcPr>
            <w:tcW w:w="4365" w:type="dxa"/>
            <w:tcBorders>
              <w:top w:val="nil"/>
              <w:left w:val="nil"/>
              <w:bottom w:val="nil"/>
              <w:right w:val="nil"/>
            </w:tcBorders>
            <w:shd w:val="solid" w:color="000000" w:fill="auto"/>
          </w:tcPr>
          <w:p w:rsidR="00E25CC6" w:rsidRPr="00DD122C" w:rsidRDefault="00E25CC6" w:rsidP="00DD122C">
            <w:pPr>
              <w:autoSpaceDE w:val="0"/>
              <w:autoSpaceDN w:val="0"/>
              <w:adjustRightInd w:val="0"/>
              <w:spacing w:after="0"/>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 xml:space="preserve"> </w:t>
            </w:r>
          </w:p>
        </w:tc>
        <w:tc>
          <w:tcPr>
            <w:tcW w:w="850" w:type="dxa"/>
            <w:tcBorders>
              <w:top w:val="nil"/>
              <w:left w:val="nil"/>
              <w:bottom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2014-15</w:t>
            </w:r>
          </w:p>
        </w:tc>
        <w:tc>
          <w:tcPr>
            <w:tcW w:w="850" w:type="dxa"/>
            <w:tcBorders>
              <w:top w:val="nil"/>
              <w:left w:val="nil"/>
              <w:bottom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2015-16</w:t>
            </w:r>
          </w:p>
        </w:tc>
        <w:tc>
          <w:tcPr>
            <w:tcW w:w="850" w:type="dxa"/>
            <w:tcBorders>
              <w:top w:val="nil"/>
              <w:left w:val="nil"/>
              <w:bottom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2016-17</w:t>
            </w:r>
          </w:p>
        </w:tc>
      </w:tr>
      <w:tr w:rsidR="00E25CC6" w:rsidRPr="00DD122C" w:rsidTr="00DD122C">
        <w:tc>
          <w:tcPr>
            <w:tcW w:w="4365" w:type="dxa"/>
            <w:tcBorders>
              <w:top w:val="nil"/>
              <w:left w:val="nil"/>
              <w:right w:val="nil"/>
            </w:tcBorders>
            <w:shd w:val="solid" w:color="000000" w:fill="auto"/>
          </w:tcPr>
          <w:p w:rsidR="00E25CC6" w:rsidRPr="00DD122C" w:rsidRDefault="00E25CC6" w:rsidP="00DD122C">
            <w:pPr>
              <w:autoSpaceDE w:val="0"/>
              <w:autoSpaceDN w:val="0"/>
              <w:adjustRightInd w:val="0"/>
              <w:spacing w:after="0"/>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 xml:space="preserve"> </w:t>
            </w:r>
          </w:p>
        </w:tc>
        <w:tc>
          <w:tcPr>
            <w:tcW w:w="850" w:type="dxa"/>
            <w:tcBorders>
              <w:top w:val="nil"/>
              <w:left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actual</w:t>
            </w:r>
          </w:p>
        </w:tc>
        <w:tc>
          <w:tcPr>
            <w:tcW w:w="850" w:type="dxa"/>
            <w:tcBorders>
              <w:top w:val="nil"/>
              <w:left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budget</w:t>
            </w:r>
          </w:p>
        </w:tc>
        <w:tc>
          <w:tcPr>
            <w:tcW w:w="850" w:type="dxa"/>
            <w:tcBorders>
              <w:top w:val="nil"/>
              <w:left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revised</w:t>
            </w:r>
          </w:p>
        </w:tc>
        <w:tc>
          <w:tcPr>
            <w:tcW w:w="850" w:type="dxa"/>
            <w:tcBorders>
              <w:top w:val="nil"/>
              <w:left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color w:val="FFFFFF"/>
                <w:sz w:val="19"/>
                <w:szCs w:val="19"/>
                <w:lang w:eastAsia="en-AU"/>
              </w:rPr>
            </w:pPr>
            <w:r w:rsidRPr="00DD122C">
              <w:rPr>
                <w:rFonts w:ascii="Calibri" w:eastAsiaTheme="minorEastAsia" w:hAnsi="Calibri" w:cs="Calibri"/>
                <w:i/>
                <w:iCs/>
                <w:color w:val="FFFFFF"/>
                <w:sz w:val="19"/>
                <w:szCs w:val="19"/>
                <w:lang w:eastAsia="en-AU"/>
              </w:rPr>
              <w:t>budget</w:t>
            </w:r>
          </w:p>
        </w:tc>
      </w:tr>
      <w:tr w:rsidR="00E25CC6" w:rsidRPr="00DD122C" w:rsidTr="00DD122C">
        <w:tc>
          <w:tcPr>
            <w:tcW w:w="4365" w:type="dxa"/>
            <w:tcBorders>
              <w:top w:val="nil"/>
              <w:left w:val="nil"/>
              <w:right w:val="nil"/>
            </w:tcBorders>
            <w:shd w:val="clear" w:color="auto"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Output appropriations</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297.2</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311.8</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322.2</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325.1</w:t>
            </w:r>
          </w:p>
        </w:tc>
      </w:tr>
      <w:tr w:rsidR="00E25CC6" w:rsidRPr="00DD122C" w:rsidTr="00DD122C">
        <w:tc>
          <w:tcPr>
            <w:tcW w:w="4365" w:type="dxa"/>
            <w:tcBorders>
              <w:top w:val="nil"/>
              <w:left w:val="nil"/>
              <w:right w:val="nil"/>
            </w:tcBorders>
            <w:shd w:val="clear" w:color="auto"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Special appropriations</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115.2</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137.7</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134.9</w:t>
            </w:r>
          </w:p>
        </w:tc>
        <w:tc>
          <w:tcPr>
            <w:tcW w:w="850" w:type="dxa"/>
            <w:tcBorders>
              <w:top w:val="nil"/>
              <w:left w:val="nil"/>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145.2</w:t>
            </w:r>
          </w:p>
        </w:tc>
      </w:tr>
      <w:tr w:rsidR="00E25CC6" w:rsidRPr="00DD122C" w:rsidTr="00DD122C">
        <w:tc>
          <w:tcPr>
            <w:tcW w:w="4365" w:type="dxa"/>
            <w:tcBorders>
              <w:top w:val="nil"/>
              <w:left w:val="nil"/>
              <w:bottom w:val="single" w:sz="6" w:space="0" w:color="auto"/>
              <w:right w:val="nil"/>
            </w:tcBorders>
            <w:shd w:val="clear" w:color="auto"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Grants</w:t>
            </w:r>
          </w:p>
        </w:tc>
        <w:tc>
          <w:tcPr>
            <w:tcW w:w="850" w:type="dxa"/>
            <w:tcBorders>
              <w:top w:val="nil"/>
              <w:left w:val="nil"/>
              <w:bottom w:val="single" w:sz="6"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35.5</w:t>
            </w:r>
          </w:p>
        </w:tc>
        <w:tc>
          <w:tcPr>
            <w:tcW w:w="850" w:type="dxa"/>
            <w:tcBorders>
              <w:top w:val="nil"/>
              <w:left w:val="nil"/>
              <w:bottom w:val="single" w:sz="6"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16.6</w:t>
            </w:r>
          </w:p>
        </w:tc>
        <w:tc>
          <w:tcPr>
            <w:tcW w:w="850" w:type="dxa"/>
            <w:tcBorders>
              <w:top w:val="nil"/>
              <w:left w:val="nil"/>
              <w:bottom w:val="single" w:sz="6"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16.6</w:t>
            </w:r>
          </w:p>
        </w:tc>
        <w:tc>
          <w:tcPr>
            <w:tcW w:w="850" w:type="dxa"/>
            <w:tcBorders>
              <w:top w:val="nil"/>
              <w:left w:val="nil"/>
              <w:bottom w:val="single" w:sz="6"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color w:val="000000"/>
                <w:sz w:val="19"/>
                <w:szCs w:val="19"/>
                <w:lang w:eastAsia="en-AU"/>
              </w:rPr>
            </w:pPr>
            <w:r w:rsidRPr="00DD122C">
              <w:rPr>
                <w:rFonts w:ascii="Calibri" w:eastAsiaTheme="minorEastAsia" w:hAnsi="Calibri" w:cs="Calibri"/>
                <w:color w:val="000000"/>
                <w:sz w:val="19"/>
                <w:szCs w:val="19"/>
                <w:lang w:eastAsia="en-AU"/>
              </w:rPr>
              <w:t xml:space="preserve"> 16.6</w:t>
            </w:r>
          </w:p>
        </w:tc>
      </w:tr>
      <w:tr w:rsidR="00E25CC6" w:rsidRPr="00DD122C" w:rsidTr="00DD122C">
        <w:tc>
          <w:tcPr>
            <w:tcW w:w="4365" w:type="dxa"/>
            <w:tcBorders>
              <w:top w:val="single" w:sz="6" w:space="0" w:color="auto"/>
              <w:left w:val="nil"/>
              <w:bottom w:val="single" w:sz="12" w:space="0" w:color="auto"/>
              <w:right w:val="nil"/>
            </w:tcBorders>
            <w:shd w:val="clear" w:color="auto"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DD122C">
              <w:rPr>
                <w:rFonts w:ascii="Calibri" w:eastAsiaTheme="minorEastAsia" w:hAnsi="Calibri" w:cs="Calibri"/>
                <w:b/>
                <w:bCs/>
                <w:color w:val="000000"/>
                <w:sz w:val="19"/>
                <w:szCs w:val="19"/>
                <w:lang w:eastAsia="en-AU"/>
              </w:rPr>
              <w:t>Total income from transactions</w:t>
            </w:r>
          </w:p>
        </w:tc>
        <w:tc>
          <w:tcPr>
            <w:tcW w:w="850" w:type="dxa"/>
            <w:tcBorders>
              <w:top w:val="single" w:sz="6" w:space="0" w:color="auto"/>
              <w:left w:val="nil"/>
              <w:bottom w:val="single" w:sz="12"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b/>
                <w:bCs/>
                <w:color w:val="000000"/>
                <w:sz w:val="19"/>
                <w:szCs w:val="19"/>
                <w:lang w:eastAsia="en-AU"/>
              </w:rPr>
            </w:pPr>
            <w:r w:rsidRPr="00DD122C">
              <w:rPr>
                <w:rFonts w:ascii="Calibri" w:eastAsiaTheme="minorEastAsia" w:hAnsi="Calibri" w:cs="Calibri"/>
                <w:b/>
                <w:bCs/>
                <w:color w:val="000000"/>
                <w:sz w:val="19"/>
                <w:szCs w:val="19"/>
                <w:lang w:eastAsia="en-AU"/>
              </w:rPr>
              <w:t xml:space="preserve"> 449.6</w:t>
            </w:r>
          </w:p>
        </w:tc>
        <w:tc>
          <w:tcPr>
            <w:tcW w:w="850" w:type="dxa"/>
            <w:tcBorders>
              <w:top w:val="single" w:sz="6" w:space="0" w:color="auto"/>
              <w:left w:val="nil"/>
              <w:bottom w:val="single" w:sz="12"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b/>
                <w:bCs/>
                <w:color w:val="000000"/>
                <w:sz w:val="19"/>
                <w:szCs w:val="19"/>
                <w:lang w:eastAsia="en-AU"/>
              </w:rPr>
            </w:pPr>
            <w:r w:rsidRPr="00DD122C">
              <w:rPr>
                <w:rFonts w:ascii="Calibri" w:eastAsiaTheme="minorEastAsia" w:hAnsi="Calibri" w:cs="Calibri"/>
                <w:b/>
                <w:bCs/>
                <w:color w:val="000000"/>
                <w:sz w:val="19"/>
                <w:szCs w:val="19"/>
                <w:lang w:eastAsia="en-AU"/>
              </w:rPr>
              <w:t xml:space="preserve"> 466.1</w:t>
            </w:r>
          </w:p>
        </w:tc>
        <w:tc>
          <w:tcPr>
            <w:tcW w:w="850" w:type="dxa"/>
            <w:tcBorders>
              <w:top w:val="single" w:sz="6" w:space="0" w:color="auto"/>
              <w:left w:val="nil"/>
              <w:bottom w:val="single" w:sz="12"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b/>
                <w:bCs/>
                <w:color w:val="000000"/>
                <w:sz w:val="19"/>
                <w:szCs w:val="19"/>
                <w:lang w:eastAsia="en-AU"/>
              </w:rPr>
            </w:pPr>
            <w:r w:rsidRPr="00DD122C">
              <w:rPr>
                <w:rFonts w:ascii="Calibri" w:eastAsiaTheme="minorEastAsia" w:hAnsi="Calibri" w:cs="Calibri"/>
                <w:b/>
                <w:bCs/>
                <w:color w:val="000000"/>
                <w:sz w:val="19"/>
                <w:szCs w:val="19"/>
                <w:lang w:eastAsia="en-AU"/>
              </w:rPr>
              <w:t xml:space="preserve"> 473.7</w:t>
            </w:r>
          </w:p>
        </w:tc>
        <w:tc>
          <w:tcPr>
            <w:tcW w:w="850" w:type="dxa"/>
            <w:tcBorders>
              <w:top w:val="single" w:sz="6" w:space="0" w:color="auto"/>
              <w:left w:val="nil"/>
              <w:bottom w:val="single" w:sz="12" w:space="0" w:color="auto"/>
              <w:right w:val="nil"/>
            </w:tcBorders>
            <w:shd w:val="clear" w:color="auto" w:fill="FFFFFF"/>
          </w:tcPr>
          <w:p w:rsidR="00E25CC6" w:rsidRPr="00DD122C" w:rsidRDefault="00E25CC6" w:rsidP="00DD122C">
            <w:pPr>
              <w:autoSpaceDE w:val="0"/>
              <w:autoSpaceDN w:val="0"/>
              <w:adjustRightInd w:val="0"/>
              <w:spacing w:after="0"/>
              <w:jc w:val="right"/>
              <w:rPr>
                <w:rFonts w:ascii="Calibri" w:eastAsiaTheme="minorEastAsia" w:hAnsi="Calibri" w:cs="Calibri"/>
                <w:b/>
                <w:bCs/>
                <w:color w:val="000000"/>
                <w:sz w:val="19"/>
                <w:szCs w:val="19"/>
                <w:lang w:eastAsia="en-AU"/>
              </w:rPr>
            </w:pPr>
            <w:r w:rsidRPr="00DD122C">
              <w:rPr>
                <w:rFonts w:ascii="Calibri" w:eastAsiaTheme="minorEastAsia" w:hAnsi="Calibri" w:cs="Calibri"/>
                <w:b/>
                <w:bCs/>
                <w:color w:val="000000"/>
                <w:sz w:val="19"/>
                <w:szCs w:val="19"/>
                <w:lang w:eastAsia="en-AU"/>
              </w:rPr>
              <w:t xml:space="preserve"> 487.0</w:t>
            </w:r>
          </w:p>
        </w:tc>
      </w:tr>
    </w:tbl>
    <w:p w:rsidR="00E25CC6" w:rsidRPr="00D909A2" w:rsidRDefault="00E25CC6" w:rsidP="00B6787C">
      <w:pPr>
        <w:pStyle w:val="Source"/>
        <w:rPr>
          <w:rFonts w:eastAsiaTheme="minorHAnsi"/>
          <w:i w:val="0"/>
        </w:rPr>
      </w:pPr>
      <w:r>
        <w:rPr>
          <w:rFonts w:eastAsiaTheme="minorHAnsi"/>
        </w:rPr>
        <w:t xml:space="preserve">Sources: Court Services Victoria and Department of Treasury and Finance </w:t>
      </w:r>
      <w:r>
        <w:rPr>
          <w:rFonts w:eastAsiaTheme="minorHAnsi"/>
        </w:rPr>
        <w:fldChar w:fldCharType="begin"/>
      </w:r>
      <w:r>
        <w:instrText xml:space="preserve"> XE "</w:instrText>
      </w:r>
      <w:r w:rsidRPr="006566B9">
        <w:instrText>Courts:Income from transactions</w:instrText>
      </w:r>
      <w:r>
        <w:instrText xml:space="preserve">" </w:instrText>
      </w:r>
      <w:r>
        <w:rPr>
          <w:rFonts w:eastAsiaTheme="minorHAnsi"/>
        </w:rPr>
        <w:fldChar w:fldCharType="end"/>
      </w:r>
    </w:p>
    <w:p w:rsidR="00E25CC6" w:rsidRDefault="00E25CC6" w:rsidP="008B65BC">
      <w:pPr>
        <w:rPr>
          <w:rFonts w:eastAsiaTheme="minorHAnsi"/>
        </w:rPr>
      </w:pPr>
    </w:p>
    <w:p w:rsidR="00E25CC6" w:rsidRDefault="00E25CC6" w:rsidP="008B65BC">
      <w:pPr>
        <w:pStyle w:val="Tableheading"/>
        <w:rPr>
          <w:rFonts w:eastAsiaTheme="minorHAnsi"/>
        </w:rPr>
      </w:pPr>
      <w:r>
        <w:rPr>
          <w:rFonts w:eastAsiaTheme="minorHAnsi"/>
        </w:rPr>
        <w:t>Table 2.28:</w:t>
      </w:r>
      <w:r>
        <w:rPr>
          <w:rFonts w:eastAsiaTheme="minorHAnsi"/>
        </w:rPr>
        <w:tab/>
        <w:t>Parliamentary authority for resources</w:t>
      </w:r>
    </w:p>
    <w:p w:rsidR="00E25CC6" w:rsidRPr="00DD122C" w:rsidRDefault="00E25CC6" w:rsidP="00DD122C">
      <w:pPr>
        <w:pStyle w:val="million"/>
        <w:rPr>
          <w:rFonts w:eastAsiaTheme="minorHAnsi"/>
          <w:b/>
          <w:sz w:val="22"/>
        </w:rPr>
      </w:pPr>
      <w:r>
        <w:rPr>
          <w:rFonts w:eastAsiaTheme="minorHAnsi"/>
        </w:rPr>
        <w:t>($ million)</w:t>
      </w:r>
    </w:p>
    <w:tbl>
      <w:tblPr>
        <w:tblW w:w="7766" w:type="dxa"/>
        <w:tblInd w:w="45" w:type="dxa"/>
        <w:tblLayout w:type="fixed"/>
        <w:tblCellMar>
          <w:left w:w="45" w:type="dxa"/>
          <w:right w:w="45" w:type="dxa"/>
        </w:tblCellMar>
        <w:tblLook w:val="0000" w:firstRow="0" w:lastRow="0" w:firstColumn="0" w:lastColumn="0" w:noHBand="0" w:noVBand="0"/>
      </w:tblPr>
      <w:tblGrid>
        <w:gridCol w:w="5216"/>
        <w:gridCol w:w="850"/>
        <w:gridCol w:w="850"/>
        <w:gridCol w:w="850"/>
      </w:tblGrid>
      <w:tr w:rsidR="00E25CC6" w:rsidRPr="00DD122C" w:rsidTr="00DD122C">
        <w:tc>
          <w:tcPr>
            <w:tcW w:w="5216" w:type="dxa"/>
            <w:tcBorders>
              <w:left w:val="nil"/>
              <w:bottom w:val="nil"/>
              <w:right w:val="nil"/>
            </w:tcBorders>
            <w:shd w:val="solid" w:color="000000" w:fill="auto"/>
          </w:tcPr>
          <w:p w:rsidR="00E25CC6" w:rsidRPr="00DD122C" w:rsidRDefault="00E25CC6" w:rsidP="00DD122C">
            <w:pPr>
              <w:autoSpaceDE w:val="0"/>
              <w:autoSpaceDN w:val="0"/>
              <w:adjustRightInd w:val="0"/>
              <w:spacing w:after="0"/>
              <w:rPr>
                <w:rFonts w:ascii="Calibri" w:eastAsiaTheme="minorEastAsia" w:hAnsi="Calibri" w:cs="Calibri"/>
                <w:sz w:val="19"/>
                <w:lang w:eastAsia="en-AU"/>
              </w:rPr>
            </w:pPr>
            <w:r w:rsidRPr="00DD122C">
              <w:rPr>
                <w:rFonts w:ascii="Calibri" w:eastAsiaTheme="minorEastAsia" w:hAnsi="Calibri" w:cs="Calibri"/>
                <w:sz w:val="19"/>
                <w:lang w:eastAsia="en-AU"/>
              </w:rPr>
              <w:t xml:space="preserve"> </w:t>
            </w:r>
          </w:p>
        </w:tc>
        <w:tc>
          <w:tcPr>
            <w:tcW w:w="850" w:type="dxa"/>
            <w:tcBorders>
              <w:left w:val="nil"/>
              <w:bottom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sz w:val="19"/>
                <w:lang w:eastAsia="en-AU"/>
              </w:rPr>
            </w:pPr>
            <w:r w:rsidRPr="00DD122C">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sz w:val="19"/>
                <w:lang w:eastAsia="en-AU"/>
              </w:rPr>
            </w:pPr>
            <w:r w:rsidRPr="00DD122C">
              <w:rPr>
                <w:rFonts w:ascii="Calibri" w:eastAsiaTheme="minorEastAsia" w:hAnsi="Calibri" w:cs="Calibri"/>
                <w:i/>
                <w:iCs/>
                <w:sz w:val="19"/>
                <w:lang w:eastAsia="en-AU"/>
              </w:rPr>
              <w:t>2015-16</w:t>
            </w:r>
          </w:p>
        </w:tc>
        <w:tc>
          <w:tcPr>
            <w:tcW w:w="850" w:type="dxa"/>
            <w:tcBorders>
              <w:left w:val="nil"/>
              <w:bottom w:val="nil"/>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sz w:val="19"/>
                <w:lang w:eastAsia="en-AU"/>
              </w:rPr>
            </w:pPr>
            <w:r w:rsidRPr="00DD122C">
              <w:rPr>
                <w:rFonts w:ascii="Calibri" w:eastAsiaTheme="minorEastAsia" w:hAnsi="Calibri" w:cs="Calibri"/>
                <w:i/>
                <w:iCs/>
                <w:sz w:val="19"/>
                <w:lang w:eastAsia="en-AU"/>
              </w:rPr>
              <w:t>2016-17</w:t>
            </w:r>
          </w:p>
        </w:tc>
      </w:tr>
      <w:tr w:rsidR="00E25CC6" w:rsidRPr="00DD122C" w:rsidTr="00DD122C">
        <w:tc>
          <w:tcPr>
            <w:tcW w:w="5216" w:type="dxa"/>
            <w:tcBorders>
              <w:top w:val="nil"/>
              <w:left w:val="nil"/>
              <w:bottom w:val="single" w:sz="6" w:space="0" w:color="auto"/>
              <w:right w:val="nil"/>
            </w:tcBorders>
            <w:shd w:val="solid" w:color="000000" w:fill="auto"/>
          </w:tcPr>
          <w:p w:rsidR="00E25CC6" w:rsidRPr="00DD122C" w:rsidRDefault="00E25CC6" w:rsidP="00DD122C">
            <w:pPr>
              <w:autoSpaceDE w:val="0"/>
              <w:autoSpaceDN w:val="0"/>
              <w:adjustRightInd w:val="0"/>
              <w:spacing w:after="0"/>
              <w:rPr>
                <w:rFonts w:ascii="Calibri" w:eastAsiaTheme="minorEastAsia" w:hAnsi="Calibri" w:cs="Calibri"/>
                <w:sz w:val="19"/>
                <w:lang w:eastAsia="en-AU"/>
              </w:rPr>
            </w:pPr>
            <w:r w:rsidRPr="00DD122C">
              <w:rPr>
                <w:rFonts w:ascii="Calibri" w:eastAsiaTheme="minorEastAsia" w:hAnsi="Calibri" w:cs="Calibri"/>
                <w:sz w:val="19"/>
                <w:lang w:eastAsia="en-AU"/>
              </w:rPr>
              <w:t xml:space="preserve"> </w:t>
            </w:r>
          </w:p>
        </w:tc>
        <w:tc>
          <w:tcPr>
            <w:tcW w:w="850" w:type="dxa"/>
            <w:tcBorders>
              <w:top w:val="nil"/>
              <w:left w:val="nil"/>
              <w:bottom w:val="single" w:sz="6" w:space="0" w:color="auto"/>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sz w:val="19"/>
                <w:lang w:eastAsia="en-AU"/>
              </w:rPr>
            </w:pPr>
            <w:r w:rsidRPr="00DD122C">
              <w:rPr>
                <w:rFonts w:ascii="Calibri" w:eastAsiaTheme="minorEastAsia" w:hAnsi="Calibri" w:cs="Calibri"/>
                <w:i/>
                <w:iCs/>
                <w:sz w:val="19"/>
                <w:lang w:eastAsia="en-AU"/>
              </w:rPr>
              <w:t>budget</w:t>
            </w:r>
          </w:p>
        </w:tc>
        <w:tc>
          <w:tcPr>
            <w:tcW w:w="850" w:type="dxa"/>
            <w:tcBorders>
              <w:top w:val="nil"/>
              <w:left w:val="nil"/>
              <w:bottom w:val="single" w:sz="6" w:space="0" w:color="auto"/>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sz w:val="19"/>
                <w:lang w:eastAsia="en-AU"/>
              </w:rPr>
            </w:pPr>
            <w:r w:rsidRPr="00DD122C">
              <w:rPr>
                <w:rFonts w:ascii="Calibri" w:eastAsiaTheme="minorEastAsia" w:hAnsi="Calibri" w:cs="Calibri"/>
                <w:i/>
                <w:iCs/>
                <w:sz w:val="19"/>
                <w:lang w:eastAsia="en-AU"/>
              </w:rPr>
              <w:t>revised</w:t>
            </w:r>
          </w:p>
        </w:tc>
        <w:tc>
          <w:tcPr>
            <w:tcW w:w="850" w:type="dxa"/>
            <w:tcBorders>
              <w:top w:val="nil"/>
              <w:left w:val="nil"/>
              <w:bottom w:val="single" w:sz="6" w:space="0" w:color="auto"/>
              <w:right w:val="nil"/>
            </w:tcBorders>
            <w:shd w:val="solid" w:color="000000" w:fill="auto"/>
          </w:tcPr>
          <w:p w:rsidR="00E25CC6" w:rsidRPr="00DD122C" w:rsidRDefault="00E25CC6" w:rsidP="00DD122C">
            <w:pPr>
              <w:autoSpaceDE w:val="0"/>
              <w:autoSpaceDN w:val="0"/>
              <w:adjustRightInd w:val="0"/>
              <w:spacing w:after="0"/>
              <w:jc w:val="right"/>
              <w:rPr>
                <w:rFonts w:ascii="Calibri" w:eastAsiaTheme="minorEastAsia" w:hAnsi="Calibri" w:cs="Calibri"/>
                <w:i/>
                <w:iCs/>
                <w:sz w:val="19"/>
                <w:lang w:eastAsia="en-AU"/>
              </w:rPr>
            </w:pPr>
            <w:r w:rsidRPr="00DD122C">
              <w:rPr>
                <w:rFonts w:ascii="Calibri" w:eastAsiaTheme="minorEastAsia" w:hAnsi="Calibri" w:cs="Calibri"/>
                <w:i/>
                <w:iCs/>
                <w:sz w:val="19"/>
                <w:lang w:eastAsia="en-AU"/>
              </w:rPr>
              <w:t>budget</w:t>
            </w:r>
          </w:p>
        </w:tc>
      </w:tr>
      <w:tr w:rsidR="00E25CC6" w:rsidRPr="00DD122C" w:rsidTr="00DD122C">
        <w:tc>
          <w:tcPr>
            <w:tcW w:w="5216"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b/>
                <w:bCs/>
                <w:sz w:val="19"/>
                <w:lang w:eastAsia="en-AU"/>
              </w:rPr>
            </w:pPr>
            <w:r w:rsidRPr="00DD122C">
              <w:rPr>
                <w:rFonts w:ascii="Calibri" w:eastAsiaTheme="minorEastAsia" w:hAnsi="Calibri" w:cs="Calibri"/>
                <w:b/>
                <w:bCs/>
                <w:sz w:val="19"/>
                <w:lang w:eastAsia="en-AU"/>
              </w:rPr>
              <w:t>Annual appropriations</w:t>
            </w:r>
          </w:p>
        </w:tc>
        <w:tc>
          <w:tcPr>
            <w:tcW w:w="850"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295.3</w:t>
            </w:r>
          </w:p>
        </w:tc>
        <w:tc>
          <w:tcPr>
            <w:tcW w:w="850"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274.6</w:t>
            </w:r>
          </w:p>
        </w:tc>
        <w:tc>
          <w:tcPr>
            <w:tcW w:w="850"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303.0</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247.7</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248.1</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259.7</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47.6</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26.5</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43.3</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 xml:space="preserve"> Payments made on behalf of the State</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Receipts credited to appropriations</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64.1</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69.3</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65.4</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b/>
                <w:bCs/>
                <w:sz w:val="19"/>
                <w:lang w:eastAsia="en-AU"/>
              </w:rPr>
            </w:pPr>
            <w:r w:rsidRPr="00DD122C">
              <w:rPr>
                <w:rFonts w:ascii="Calibri" w:eastAsiaTheme="minorEastAsia" w:hAnsi="Calibri" w:cs="Calibri"/>
                <w:b/>
                <w:bCs/>
                <w:sz w:val="19"/>
                <w:lang w:eastAsia="en-AU"/>
              </w:rPr>
              <w:t>Unapplied previous years appropriation</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4.8</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 xml:space="preserve"> Provision of outputs</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4.8</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 xml:space="preserve"> Additions to the net asset base</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r>
      <w:tr w:rsidR="00E25CC6" w:rsidRPr="00DD122C" w:rsidTr="00DD122C">
        <w:tc>
          <w:tcPr>
            <w:tcW w:w="5216"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Accumulated surplus – previously applied appropriation</w:t>
            </w:r>
          </w:p>
        </w:tc>
        <w:tc>
          <w:tcPr>
            <w:tcW w:w="850"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c>
          <w:tcPr>
            <w:tcW w:w="850"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19"/>
                <w:lang w:eastAsia="en-AU"/>
              </w:rPr>
            </w:pPr>
            <w:r w:rsidRPr="00DD122C">
              <w:rPr>
                <w:rFonts w:ascii="Calibri" w:eastAsiaTheme="minorEastAsia" w:hAnsi="Calibri" w:cs="Calibri"/>
                <w:sz w:val="19"/>
                <w:lang w:eastAsia="en-AU"/>
              </w:rPr>
              <w:t>..</w:t>
            </w:r>
          </w:p>
        </w:tc>
      </w:tr>
      <w:tr w:rsidR="00E25CC6" w:rsidRPr="00DD122C" w:rsidTr="00DD122C">
        <w:tc>
          <w:tcPr>
            <w:tcW w:w="5216"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b/>
                <w:bCs/>
                <w:sz w:val="19"/>
                <w:lang w:eastAsia="en-AU"/>
              </w:rPr>
            </w:pPr>
            <w:r w:rsidRPr="00DD122C">
              <w:rPr>
                <w:rFonts w:ascii="Calibri" w:eastAsiaTheme="minorEastAsia" w:hAnsi="Calibri" w:cs="Calibri"/>
                <w:b/>
                <w:bCs/>
                <w:sz w:val="19"/>
                <w:lang w:eastAsia="en-AU"/>
              </w:rPr>
              <w:t>Gross annual appropriation</w:t>
            </w:r>
          </w:p>
        </w:tc>
        <w:tc>
          <w:tcPr>
            <w:tcW w:w="850"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359.4</w:t>
            </w:r>
          </w:p>
        </w:tc>
        <w:tc>
          <w:tcPr>
            <w:tcW w:w="850"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348.7</w:t>
            </w:r>
          </w:p>
        </w:tc>
        <w:tc>
          <w:tcPr>
            <w:tcW w:w="850" w:type="dxa"/>
            <w:tcBorders>
              <w:top w:val="single" w:sz="6" w:space="0" w:color="auto"/>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368.4</w:t>
            </w:r>
          </w:p>
        </w:tc>
      </w:tr>
      <w:tr w:rsidR="00E25CC6" w:rsidRPr="00DD122C" w:rsidTr="00DD122C">
        <w:tc>
          <w:tcPr>
            <w:tcW w:w="5216" w:type="dxa"/>
            <w:tcBorders>
              <w:top w:val="nil"/>
              <w:left w:val="nil"/>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Special appropriations</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199.3</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196.5</w:t>
            </w:r>
          </w:p>
        </w:tc>
        <w:tc>
          <w:tcPr>
            <w:tcW w:w="850" w:type="dxa"/>
            <w:tcBorders>
              <w:top w:val="nil"/>
              <w:left w:val="nil"/>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208.4</w:t>
            </w:r>
          </w:p>
        </w:tc>
      </w:tr>
      <w:tr w:rsidR="00E25CC6" w:rsidRPr="00DD122C" w:rsidTr="00DD122C">
        <w:tc>
          <w:tcPr>
            <w:tcW w:w="5216"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sz w:val="19"/>
                <w:lang w:eastAsia="en-AU"/>
              </w:rPr>
            </w:pPr>
            <w:r w:rsidRPr="00DD122C">
              <w:rPr>
                <w:rFonts w:ascii="Calibri" w:eastAsiaTheme="minorEastAsia" w:hAnsi="Calibri" w:cs="Calibri"/>
                <w:sz w:val="19"/>
                <w:lang w:eastAsia="en-AU"/>
              </w:rPr>
              <w:t>Trust funds</w:t>
            </w:r>
          </w:p>
        </w:tc>
        <w:tc>
          <w:tcPr>
            <w:tcW w:w="850"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16.6</w:t>
            </w:r>
          </w:p>
        </w:tc>
        <w:tc>
          <w:tcPr>
            <w:tcW w:w="850"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16.6</w:t>
            </w:r>
          </w:p>
        </w:tc>
        <w:tc>
          <w:tcPr>
            <w:tcW w:w="850" w:type="dxa"/>
            <w:tcBorders>
              <w:top w:val="nil"/>
              <w:left w:val="nil"/>
              <w:bottom w:val="single" w:sz="6"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sz w:val="20"/>
                <w:lang w:eastAsia="en-AU"/>
              </w:rPr>
            </w:pPr>
            <w:r w:rsidRPr="00DD122C">
              <w:rPr>
                <w:rFonts w:ascii="Calibri" w:eastAsiaTheme="minorEastAsia" w:hAnsi="Calibri" w:cs="Calibri"/>
                <w:sz w:val="19"/>
                <w:lang w:eastAsia="en-AU"/>
              </w:rPr>
              <w:t xml:space="preserve"> 16.6</w:t>
            </w:r>
          </w:p>
        </w:tc>
      </w:tr>
      <w:tr w:rsidR="00E25CC6" w:rsidRPr="00DD122C" w:rsidTr="00DD122C">
        <w:tc>
          <w:tcPr>
            <w:tcW w:w="5216" w:type="dxa"/>
            <w:tcBorders>
              <w:top w:val="single" w:sz="6" w:space="0" w:color="auto"/>
              <w:left w:val="nil"/>
              <w:bottom w:val="single" w:sz="12" w:space="0" w:color="auto"/>
              <w:right w:val="nil"/>
            </w:tcBorders>
            <w:shd w:val="solid" w:color="FFFFFF" w:fill="FFFFFF"/>
          </w:tcPr>
          <w:p w:rsidR="00E25CC6" w:rsidRPr="00DD122C" w:rsidRDefault="00E25CC6" w:rsidP="00DD122C">
            <w:pPr>
              <w:autoSpaceDE w:val="0"/>
              <w:autoSpaceDN w:val="0"/>
              <w:adjustRightInd w:val="0"/>
              <w:spacing w:after="0"/>
              <w:ind w:left="227" w:hanging="227"/>
              <w:rPr>
                <w:rFonts w:ascii="Calibri" w:eastAsiaTheme="minorEastAsia" w:hAnsi="Calibri" w:cs="Calibri"/>
                <w:b/>
                <w:bCs/>
                <w:sz w:val="19"/>
                <w:lang w:eastAsia="en-AU"/>
              </w:rPr>
            </w:pPr>
            <w:r w:rsidRPr="00DD122C">
              <w:rPr>
                <w:rFonts w:ascii="Calibri" w:eastAsiaTheme="minorEastAsia" w:hAnsi="Calibri" w:cs="Calibri"/>
                <w:b/>
                <w:bCs/>
                <w:sz w:val="19"/>
                <w:lang w:eastAsia="en-AU"/>
              </w:rPr>
              <w:t>Total parliamentary authority</w:t>
            </w:r>
          </w:p>
        </w:tc>
        <w:tc>
          <w:tcPr>
            <w:tcW w:w="850" w:type="dxa"/>
            <w:tcBorders>
              <w:top w:val="single" w:sz="6" w:space="0" w:color="auto"/>
              <w:left w:val="nil"/>
              <w:bottom w:val="single" w:sz="12"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575.3</w:t>
            </w:r>
          </w:p>
        </w:tc>
        <w:tc>
          <w:tcPr>
            <w:tcW w:w="850" w:type="dxa"/>
            <w:tcBorders>
              <w:top w:val="single" w:sz="6" w:space="0" w:color="auto"/>
              <w:left w:val="nil"/>
              <w:bottom w:val="single" w:sz="12"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561.8</w:t>
            </w:r>
          </w:p>
        </w:tc>
        <w:tc>
          <w:tcPr>
            <w:tcW w:w="850" w:type="dxa"/>
            <w:tcBorders>
              <w:top w:val="single" w:sz="6" w:space="0" w:color="auto"/>
              <w:left w:val="nil"/>
              <w:bottom w:val="single" w:sz="12" w:space="0" w:color="auto"/>
              <w:right w:val="nil"/>
            </w:tcBorders>
            <w:shd w:val="solid" w:color="FFFFFF" w:fill="FFFFFF"/>
          </w:tcPr>
          <w:p w:rsidR="00E25CC6" w:rsidRPr="00DD122C" w:rsidRDefault="00E25CC6" w:rsidP="00DD122C">
            <w:pPr>
              <w:autoSpaceDE w:val="0"/>
              <w:autoSpaceDN w:val="0"/>
              <w:adjustRightInd w:val="0"/>
              <w:spacing w:after="0"/>
              <w:jc w:val="right"/>
              <w:rPr>
                <w:rFonts w:ascii="Calibri" w:eastAsiaTheme="minorEastAsia" w:hAnsi="Calibri" w:cs="Calibri"/>
                <w:b/>
                <w:bCs/>
                <w:sz w:val="20"/>
                <w:lang w:eastAsia="en-AU"/>
              </w:rPr>
            </w:pPr>
            <w:r w:rsidRPr="00DD122C">
              <w:rPr>
                <w:rFonts w:ascii="Calibri" w:eastAsiaTheme="minorEastAsia" w:hAnsi="Calibri" w:cs="Calibri"/>
                <w:b/>
                <w:bCs/>
                <w:sz w:val="19"/>
                <w:lang w:eastAsia="en-AU"/>
              </w:rPr>
              <w:t xml:space="preserve"> 593.4</w:t>
            </w:r>
          </w:p>
        </w:tc>
      </w:tr>
    </w:tbl>
    <w:p w:rsidR="00E25CC6" w:rsidRPr="00D909A2" w:rsidRDefault="00E25CC6" w:rsidP="00D11C58">
      <w:pPr>
        <w:pStyle w:val="Source"/>
        <w:rPr>
          <w:rFonts w:eastAsiaTheme="minorHAnsi"/>
          <w:i w:val="0"/>
        </w:rPr>
      </w:pPr>
      <w:r>
        <w:rPr>
          <w:rFonts w:eastAsiaTheme="minorHAnsi"/>
        </w:rPr>
        <w:t xml:space="preserve">Sources: Court Services Victoria and Department of Treasury and Finance </w:t>
      </w:r>
      <w:r>
        <w:rPr>
          <w:rFonts w:eastAsiaTheme="minorHAnsi"/>
        </w:rPr>
        <w:fldChar w:fldCharType="begin"/>
      </w:r>
      <w:r>
        <w:instrText xml:space="preserve"> XE "</w:instrText>
      </w:r>
      <w:r w:rsidRPr="00A324DB">
        <w:instrText>Courts:Parliamentary authority fro resources</w:instrText>
      </w:r>
      <w:r>
        <w:instrText xml:space="preserve">" </w:instrText>
      </w:r>
      <w:r>
        <w:rPr>
          <w:rFonts w:eastAsiaTheme="minorHAnsi"/>
        </w:rPr>
        <w:fldChar w:fldCharType="end"/>
      </w:r>
    </w:p>
    <w:p w:rsidR="00E25CC6" w:rsidRDefault="00E25CC6">
      <w:pPr>
        <w:spacing w:after="0"/>
        <w:rPr>
          <w:rFonts w:ascii="Calibri" w:eastAsiaTheme="minorHAnsi" w:hAnsi="Calibri"/>
          <w:b/>
          <w:sz w:val="32"/>
          <w:szCs w:val="28"/>
        </w:rPr>
      </w:pPr>
      <w:r>
        <w:rPr>
          <w:rFonts w:eastAsiaTheme="minorHAnsi"/>
        </w:rPr>
        <w:br w:type="page"/>
      </w:r>
    </w:p>
    <w:p w:rsidR="00E25CC6" w:rsidRPr="00850009" w:rsidRDefault="00E25CC6" w:rsidP="00850009">
      <w:pPr>
        <w:pStyle w:val="OGHeading1"/>
        <w:rPr>
          <w:rFonts w:eastAsiaTheme="minorHAnsi"/>
        </w:rPr>
      </w:pPr>
      <w:r w:rsidRPr="00850009">
        <w:rPr>
          <w:rFonts w:eastAsiaTheme="minorHAnsi"/>
        </w:rPr>
        <w:t>Courts</w:t>
      </w:r>
    </w:p>
    <w:p w:rsidR="00E25CC6" w:rsidRPr="00850009" w:rsidRDefault="00E25CC6" w:rsidP="00850009">
      <w:pPr>
        <w:pStyle w:val="OGText"/>
        <w:rPr>
          <w:rFonts w:eastAsiaTheme="minorHAnsi"/>
        </w:rPr>
      </w:pPr>
      <w:bookmarkStart w:id="110" w:name="Courts_Svces"/>
      <w:r w:rsidRPr="00850009">
        <w:rPr>
          <w:rFonts w:eastAsiaTheme="minorHAnsi"/>
        </w:rPr>
        <w:t>Victoria</w:t>
      </w:r>
      <w:r>
        <w:rPr>
          <w:rFonts w:eastAsiaTheme="minorHAnsi"/>
        </w:rPr>
        <w:t>’</w:t>
      </w:r>
      <w:r w:rsidRPr="00850009">
        <w:rPr>
          <w:rFonts w:eastAsiaTheme="minorHAnsi"/>
        </w:rPr>
        <w:t>s courts and tribunals aim to:</w:t>
      </w:r>
    </w:p>
    <w:p w:rsidR="00E25CC6" w:rsidRPr="00850009" w:rsidRDefault="00E25CC6" w:rsidP="00850009">
      <w:pPr>
        <w:pStyle w:val="OGBullet"/>
        <w:rPr>
          <w:rFonts w:eastAsiaTheme="minorHAnsi"/>
        </w:rPr>
      </w:pPr>
      <w:r w:rsidRPr="00850009">
        <w:rPr>
          <w:rFonts w:eastAsiaTheme="minorHAnsi"/>
        </w:rPr>
        <w:t>provide equal access to justice;</w:t>
      </w:r>
    </w:p>
    <w:p w:rsidR="00E25CC6" w:rsidRPr="00850009" w:rsidRDefault="00E25CC6" w:rsidP="00850009">
      <w:pPr>
        <w:pStyle w:val="OGBullet"/>
        <w:rPr>
          <w:rFonts w:eastAsiaTheme="minorHAnsi"/>
        </w:rPr>
      </w:pPr>
      <w:r w:rsidRPr="00850009">
        <w:rPr>
          <w:rFonts w:eastAsiaTheme="minorHAnsi"/>
        </w:rPr>
        <w:t>ensure fairness, impartiality and independence in decision making;</w:t>
      </w:r>
    </w:p>
    <w:p w:rsidR="00E25CC6" w:rsidRPr="00850009" w:rsidRDefault="00E25CC6" w:rsidP="00850009">
      <w:pPr>
        <w:pStyle w:val="OGBullet"/>
        <w:rPr>
          <w:rFonts w:eastAsiaTheme="minorHAnsi"/>
        </w:rPr>
      </w:pPr>
      <w:r w:rsidRPr="00850009">
        <w:rPr>
          <w:rFonts w:eastAsiaTheme="minorHAnsi"/>
        </w:rPr>
        <w:t>follow processes that are transparent, timely and certain;</w:t>
      </w:r>
    </w:p>
    <w:p w:rsidR="00E25CC6" w:rsidRPr="00850009" w:rsidRDefault="00E25CC6" w:rsidP="00850009">
      <w:pPr>
        <w:pStyle w:val="OGBullet"/>
        <w:rPr>
          <w:rFonts w:eastAsiaTheme="minorHAnsi"/>
        </w:rPr>
      </w:pPr>
      <w:r w:rsidRPr="00850009">
        <w:rPr>
          <w:rFonts w:eastAsiaTheme="minorHAnsi"/>
        </w:rPr>
        <w:t>strive for leadership and best pr</w:t>
      </w:r>
      <w:r>
        <w:rPr>
          <w:rFonts w:eastAsiaTheme="minorHAnsi"/>
        </w:rPr>
        <w:t xml:space="preserve">actice in court administration; </w:t>
      </w:r>
      <w:r w:rsidRPr="00850009">
        <w:rPr>
          <w:rFonts w:eastAsiaTheme="minorHAnsi"/>
        </w:rPr>
        <w:t>and</w:t>
      </w:r>
    </w:p>
    <w:p w:rsidR="00E25CC6" w:rsidRPr="00794921" w:rsidRDefault="00E25CC6" w:rsidP="00DD165F">
      <w:pPr>
        <w:pStyle w:val="OGBullet"/>
        <w:rPr>
          <w:rFonts w:eastAsiaTheme="minorHAnsi"/>
        </w:rPr>
      </w:pPr>
      <w:r w:rsidRPr="00850009">
        <w:rPr>
          <w:rFonts w:eastAsiaTheme="minorHAnsi"/>
        </w:rPr>
        <w:t>strengthen links with the community.</w:t>
      </w:r>
    </w:p>
    <w:tbl>
      <w:tblPr>
        <w:tblW w:w="7767" w:type="dxa"/>
        <w:tblInd w:w="45" w:type="dxa"/>
        <w:tblLayout w:type="fixed"/>
        <w:tblCellMar>
          <w:left w:w="45" w:type="dxa"/>
          <w:right w:w="45" w:type="dxa"/>
        </w:tblCellMar>
        <w:tblLook w:val="0000" w:firstRow="0" w:lastRow="0" w:firstColumn="0" w:lastColumn="0" w:noHBand="0" w:noVBand="0"/>
      </w:tblPr>
      <w:tblGrid>
        <w:gridCol w:w="3144"/>
        <w:gridCol w:w="907"/>
        <w:gridCol w:w="909"/>
        <w:gridCol w:w="992"/>
        <w:gridCol w:w="907"/>
        <w:gridCol w:w="908"/>
      </w:tblGrid>
      <w:tr w:rsidR="00E25CC6" w:rsidRPr="0091246E" w:rsidTr="003055E2">
        <w:trPr>
          <w:cantSplit/>
          <w:tblHeader/>
        </w:trPr>
        <w:tc>
          <w:tcPr>
            <w:tcW w:w="3144" w:type="dxa"/>
            <w:tcBorders>
              <w:top w:val="nil"/>
              <w:left w:val="nil"/>
              <w:right w:val="nil"/>
            </w:tcBorders>
            <w:shd w:val="solid" w:color="000000" w:fill="auto"/>
            <w:vAlign w:val="bottom"/>
          </w:tcPr>
          <w:p w:rsidR="00E25CC6" w:rsidRPr="0091246E" w:rsidRDefault="00E25CC6" w:rsidP="0091246E">
            <w:pPr>
              <w:autoSpaceDE w:val="0"/>
              <w:autoSpaceDN w:val="0"/>
              <w:adjustRightInd w:val="0"/>
              <w:spacing w:after="0"/>
              <w:rPr>
                <w:rFonts w:ascii="Calibri" w:eastAsiaTheme="minorEastAsia" w:hAnsi="Calibri" w:cs="Calibri"/>
                <w:i/>
                <w:iCs/>
                <w:color w:val="FFFFFF"/>
                <w:sz w:val="19"/>
                <w:szCs w:val="22"/>
                <w:lang w:eastAsia="en-AU"/>
              </w:rPr>
            </w:pPr>
            <w:r w:rsidRPr="0091246E">
              <w:rPr>
                <w:rFonts w:ascii="Calibri" w:eastAsiaTheme="minorEastAsia" w:hAnsi="Calibri" w:cs="Calibri"/>
                <w:b/>
                <w:bCs/>
                <w:color w:val="FFFFFF"/>
                <w:sz w:val="19"/>
                <w:szCs w:val="22"/>
                <w:lang w:eastAsia="en-AU"/>
              </w:rPr>
              <w:t>Major outputs/deliverables</w:t>
            </w:r>
          </w:p>
          <w:p w:rsidR="00E25CC6" w:rsidRPr="0091246E" w:rsidRDefault="00E25CC6" w:rsidP="0091246E">
            <w:pPr>
              <w:autoSpaceDE w:val="0"/>
              <w:autoSpaceDN w:val="0"/>
              <w:adjustRightInd w:val="0"/>
              <w:spacing w:after="0"/>
              <w:rPr>
                <w:rFonts w:ascii="Calibri" w:eastAsiaTheme="minorEastAsia" w:hAnsi="Calibri" w:cs="Calibri"/>
                <w:i/>
                <w:iCs/>
                <w:color w:val="FFFFFF"/>
                <w:sz w:val="19"/>
                <w:szCs w:val="22"/>
                <w:lang w:eastAsia="en-AU"/>
              </w:rPr>
            </w:pPr>
            <w:r w:rsidRPr="0091246E">
              <w:rPr>
                <w:rFonts w:ascii="Calibri" w:eastAsiaTheme="minorEastAsia" w:hAnsi="Calibri" w:cs="Calibri"/>
                <w:i/>
                <w:iCs/>
                <w:color w:val="FFFFFF"/>
                <w:sz w:val="19"/>
                <w:szCs w:val="22"/>
                <w:lang w:eastAsia="en-AU"/>
              </w:rPr>
              <w:t>Performance measures</w:t>
            </w:r>
          </w:p>
        </w:tc>
        <w:tc>
          <w:tcPr>
            <w:tcW w:w="907" w:type="dxa"/>
            <w:tcBorders>
              <w:top w:val="nil"/>
              <w:left w:val="nil"/>
              <w:right w:val="nil"/>
            </w:tcBorders>
            <w:shd w:val="solid" w:color="000000" w:fill="auto"/>
            <w:vAlign w:val="bottom"/>
          </w:tcPr>
          <w:p w:rsidR="00E25CC6" w:rsidRPr="0091246E" w:rsidRDefault="00E25CC6" w:rsidP="0091246E">
            <w:pPr>
              <w:autoSpaceDE w:val="0"/>
              <w:autoSpaceDN w:val="0"/>
              <w:adjustRightInd w:val="0"/>
              <w:spacing w:after="0"/>
              <w:jc w:val="center"/>
              <w:rPr>
                <w:rFonts w:ascii="Calibri" w:eastAsiaTheme="minorEastAsia" w:hAnsi="Calibri" w:cs="Calibri"/>
                <w:i/>
                <w:iCs/>
                <w:color w:val="FFFFFF"/>
                <w:sz w:val="19"/>
                <w:szCs w:val="22"/>
                <w:lang w:eastAsia="en-AU"/>
              </w:rPr>
            </w:pPr>
            <w:r w:rsidRPr="0091246E">
              <w:rPr>
                <w:rFonts w:ascii="Calibri" w:eastAsiaTheme="minorEastAsia" w:hAnsi="Calibri" w:cs="Calibri"/>
                <w:i/>
                <w:iCs/>
                <w:color w:val="FFFFFF"/>
                <w:sz w:val="19"/>
                <w:szCs w:val="22"/>
                <w:lang w:eastAsia="en-AU"/>
              </w:rPr>
              <w:t>Unit of measure</w:t>
            </w:r>
          </w:p>
        </w:tc>
        <w:tc>
          <w:tcPr>
            <w:tcW w:w="909" w:type="dxa"/>
            <w:tcBorders>
              <w:top w:val="nil"/>
              <w:left w:val="nil"/>
              <w:right w:val="nil"/>
            </w:tcBorders>
            <w:shd w:val="solid" w:color="000000" w:fill="auto"/>
            <w:vAlign w:val="bottom"/>
          </w:tcPr>
          <w:p w:rsidR="00E25CC6" w:rsidRPr="0091246E" w:rsidRDefault="00E25CC6" w:rsidP="00C333A7">
            <w:pPr>
              <w:autoSpaceDE w:val="0"/>
              <w:autoSpaceDN w:val="0"/>
              <w:adjustRightInd w:val="0"/>
              <w:spacing w:after="0"/>
              <w:jc w:val="right"/>
              <w:rPr>
                <w:rFonts w:ascii="Calibri" w:eastAsiaTheme="minorEastAsia" w:hAnsi="Calibri" w:cs="Calibri"/>
                <w:i/>
                <w:iCs/>
                <w:color w:val="FFFFFF"/>
                <w:sz w:val="19"/>
                <w:szCs w:val="22"/>
                <w:lang w:eastAsia="en-AU"/>
              </w:rPr>
            </w:pPr>
            <w:r w:rsidRPr="0091246E">
              <w:rPr>
                <w:rFonts w:ascii="Calibri" w:eastAsiaTheme="minorEastAsia" w:hAnsi="Calibri" w:cs="Calibri"/>
                <w:i/>
                <w:iCs/>
                <w:color w:val="FFFFFF"/>
                <w:sz w:val="19"/>
                <w:szCs w:val="22"/>
                <w:lang w:eastAsia="en-AU"/>
              </w:rPr>
              <w:t>2016</w:t>
            </w:r>
            <w:r>
              <w:rPr>
                <w:rFonts w:ascii="Calibri" w:eastAsiaTheme="minorEastAsia" w:hAnsi="Calibri" w:cs="Calibri"/>
                <w:i/>
                <w:iCs/>
                <w:color w:val="FFFFFF"/>
                <w:sz w:val="19"/>
                <w:szCs w:val="22"/>
                <w:lang w:eastAsia="en-AU"/>
              </w:rPr>
              <w:noBreakHyphen/>
            </w:r>
            <w:r w:rsidRPr="0091246E">
              <w:rPr>
                <w:rFonts w:ascii="Calibri" w:eastAsiaTheme="minorEastAsia" w:hAnsi="Calibri" w:cs="Calibri"/>
                <w:i/>
                <w:iCs/>
                <w:color w:val="FFFFFF"/>
                <w:sz w:val="19"/>
                <w:szCs w:val="22"/>
                <w:lang w:eastAsia="en-AU"/>
              </w:rPr>
              <w:t xml:space="preserve">17 </w:t>
            </w:r>
            <w:r>
              <w:rPr>
                <w:rFonts w:ascii="Calibri" w:eastAsiaTheme="minorEastAsia" w:hAnsi="Calibri" w:cs="Calibri"/>
                <w:i/>
                <w:iCs/>
                <w:color w:val="FFFFFF"/>
                <w:sz w:val="19"/>
                <w:szCs w:val="22"/>
                <w:lang w:eastAsia="en-AU"/>
              </w:rPr>
              <w:t>estimate</w:t>
            </w:r>
          </w:p>
        </w:tc>
        <w:tc>
          <w:tcPr>
            <w:tcW w:w="992" w:type="dxa"/>
            <w:tcBorders>
              <w:top w:val="nil"/>
              <w:left w:val="nil"/>
              <w:right w:val="nil"/>
            </w:tcBorders>
            <w:shd w:val="solid" w:color="000000" w:fill="auto"/>
            <w:vAlign w:val="bottom"/>
          </w:tcPr>
          <w:p w:rsidR="00E25CC6" w:rsidRPr="0091246E" w:rsidRDefault="00E25CC6" w:rsidP="0091246E">
            <w:pPr>
              <w:autoSpaceDE w:val="0"/>
              <w:autoSpaceDN w:val="0"/>
              <w:adjustRightInd w:val="0"/>
              <w:spacing w:after="0"/>
              <w:jc w:val="right"/>
              <w:rPr>
                <w:rFonts w:ascii="Calibri" w:eastAsiaTheme="minorEastAsia" w:hAnsi="Calibri" w:cs="Calibri"/>
                <w:i/>
                <w:iCs/>
                <w:color w:val="FFFFFF"/>
                <w:sz w:val="19"/>
                <w:szCs w:val="22"/>
                <w:lang w:eastAsia="en-AU"/>
              </w:rPr>
            </w:pPr>
            <w:r w:rsidRPr="0091246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91246E">
              <w:rPr>
                <w:rFonts w:ascii="Calibri" w:eastAsiaTheme="minorEastAsia" w:hAnsi="Calibri" w:cs="Calibri"/>
                <w:i/>
                <w:iCs/>
                <w:color w:val="FFFFFF"/>
                <w:sz w:val="19"/>
                <w:szCs w:val="22"/>
                <w:lang w:eastAsia="en-AU"/>
              </w:rPr>
              <w:t>16 expected outcome</w:t>
            </w:r>
          </w:p>
        </w:tc>
        <w:tc>
          <w:tcPr>
            <w:tcW w:w="907" w:type="dxa"/>
            <w:tcBorders>
              <w:top w:val="nil"/>
              <w:left w:val="nil"/>
              <w:right w:val="nil"/>
            </w:tcBorders>
            <w:shd w:val="solid" w:color="000000" w:fill="auto"/>
            <w:vAlign w:val="bottom"/>
          </w:tcPr>
          <w:p w:rsidR="00E25CC6" w:rsidRPr="0091246E" w:rsidRDefault="00E25CC6" w:rsidP="00C333A7">
            <w:pPr>
              <w:autoSpaceDE w:val="0"/>
              <w:autoSpaceDN w:val="0"/>
              <w:adjustRightInd w:val="0"/>
              <w:spacing w:after="0"/>
              <w:jc w:val="right"/>
              <w:rPr>
                <w:rFonts w:ascii="Calibri" w:eastAsiaTheme="minorEastAsia" w:hAnsi="Calibri" w:cs="Calibri"/>
                <w:i/>
                <w:iCs/>
                <w:color w:val="FFFFFF"/>
                <w:sz w:val="19"/>
                <w:szCs w:val="22"/>
                <w:lang w:eastAsia="en-AU"/>
              </w:rPr>
            </w:pPr>
            <w:r w:rsidRPr="0091246E">
              <w:rPr>
                <w:rFonts w:ascii="Calibri" w:eastAsiaTheme="minorEastAsia" w:hAnsi="Calibri" w:cs="Calibri"/>
                <w:i/>
                <w:iCs/>
                <w:color w:val="FFFFFF"/>
                <w:sz w:val="19"/>
                <w:szCs w:val="22"/>
                <w:lang w:eastAsia="en-AU"/>
              </w:rPr>
              <w:t>2015</w:t>
            </w:r>
            <w:r>
              <w:rPr>
                <w:rFonts w:ascii="Calibri" w:eastAsiaTheme="minorEastAsia" w:hAnsi="Calibri" w:cs="Calibri"/>
                <w:i/>
                <w:iCs/>
                <w:color w:val="FFFFFF"/>
                <w:sz w:val="19"/>
                <w:szCs w:val="22"/>
                <w:lang w:eastAsia="en-AU"/>
              </w:rPr>
              <w:noBreakHyphen/>
            </w:r>
            <w:r w:rsidRPr="0091246E">
              <w:rPr>
                <w:rFonts w:ascii="Calibri" w:eastAsiaTheme="minorEastAsia" w:hAnsi="Calibri" w:cs="Calibri"/>
                <w:i/>
                <w:iCs/>
                <w:color w:val="FFFFFF"/>
                <w:sz w:val="19"/>
                <w:szCs w:val="22"/>
                <w:lang w:eastAsia="en-AU"/>
              </w:rPr>
              <w:t xml:space="preserve">16 </w:t>
            </w:r>
            <w:r>
              <w:rPr>
                <w:rFonts w:ascii="Calibri" w:eastAsiaTheme="minorEastAsia" w:hAnsi="Calibri" w:cs="Calibri"/>
                <w:i/>
                <w:iCs/>
                <w:color w:val="FFFFFF"/>
                <w:sz w:val="19"/>
                <w:szCs w:val="22"/>
                <w:lang w:eastAsia="en-AU"/>
              </w:rPr>
              <w:t>estimate</w:t>
            </w:r>
          </w:p>
        </w:tc>
        <w:tc>
          <w:tcPr>
            <w:tcW w:w="908" w:type="dxa"/>
            <w:tcBorders>
              <w:top w:val="nil"/>
              <w:left w:val="nil"/>
              <w:right w:val="nil"/>
            </w:tcBorders>
            <w:shd w:val="solid" w:color="000000" w:fill="auto"/>
            <w:vAlign w:val="bottom"/>
          </w:tcPr>
          <w:p w:rsidR="00E25CC6" w:rsidRPr="0091246E" w:rsidRDefault="00E25CC6" w:rsidP="0091246E">
            <w:pPr>
              <w:autoSpaceDE w:val="0"/>
              <w:autoSpaceDN w:val="0"/>
              <w:adjustRightInd w:val="0"/>
              <w:spacing w:after="0"/>
              <w:jc w:val="right"/>
              <w:rPr>
                <w:rFonts w:ascii="Calibri" w:eastAsiaTheme="minorEastAsia" w:hAnsi="Calibri" w:cs="Calibri"/>
                <w:i/>
                <w:iCs/>
                <w:color w:val="FFFFFF"/>
                <w:sz w:val="19"/>
                <w:szCs w:val="22"/>
                <w:lang w:eastAsia="en-AU"/>
              </w:rPr>
            </w:pPr>
            <w:r w:rsidRPr="0091246E">
              <w:rPr>
                <w:rFonts w:ascii="Calibri" w:eastAsiaTheme="minorEastAsia" w:hAnsi="Calibri" w:cs="Calibri"/>
                <w:i/>
                <w:iCs/>
                <w:color w:val="FFFFFF"/>
                <w:sz w:val="19"/>
                <w:szCs w:val="22"/>
                <w:lang w:eastAsia="en-AU"/>
              </w:rPr>
              <w:t>2014</w:t>
            </w:r>
            <w:r>
              <w:rPr>
                <w:rFonts w:ascii="Calibri" w:eastAsiaTheme="minorEastAsia" w:hAnsi="Calibri" w:cs="Calibri"/>
                <w:i/>
                <w:iCs/>
                <w:color w:val="FFFFFF"/>
                <w:sz w:val="19"/>
                <w:szCs w:val="22"/>
                <w:lang w:eastAsia="en-AU"/>
              </w:rPr>
              <w:noBreakHyphen/>
            </w:r>
            <w:r w:rsidRPr="0091246E">
              <w:rPr>
                <w:rFonts w:ascii="Calibri" w:eastAsiaTheme="minorEastAsia" w:hAnsi="Calibri" w:cs="Calibri"/>
                <w:i/>
                <w:iCs/>
                <w:color w:val="FFFFFF"/>
                <w:sz w:val="19"/>
                <w:szCs w:val="22"/>
                <w:lang w:eastAsia="en-AU"/>
              </w:rPr>
              <w:t>15 actual</w:t>
            </w:r>
          </w:p>
        </w:tc>
      </w:tr>
      <w:tr w:rsidR="00E25CC6" w:rsidRPr="0091246E" w:rsidTr="00780A91">
        <w:trPr>
          <w:cantSplit/>
        </w:trPr>
        <w:tc>
          <w:tcPr>
            <w:tcW w:w="3144" w:type="dxa"/>
            <w:tcBorders>
              <w:top w:val="nil"/>
              <w:left w:val="nil"/>
              <w:bottom w:val="nil"/>
              <w:right w:val="nil"/>
            </w:tcBorders>
          </w:tcPr>
          <w:p w:rsidR="00E25CC6" w:rsidRPr="0091246E" w:rsidRDefault="00E25CC6" w:rsidP="0091246E">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91246E">
              <w:rPr>
                <w:rFonts w:ascii="Calibri" w:eastAsiaTheme="minorEastAsia" w:hAnsi="Calibri" w:cs="Calibri"/>
                <w:i/>
                <w:iCs/>
                <w:color w:val="000000"/>
                <w:sz w:val="19"/>
                <w:szCs w:val="22"/>
                <w:lang w:eastAsia="en-AU"/>
              </w:rPr>
              <w:t>Quantity</w:t>
            </w:r>
          </w:p>
        </w:tc>
        <w:tc>
          <w:tcPr>
            <w:tcW w:w="907" w:type="dxa"/>
            <w:tcBorders>
              <w:top w:val="nil"/>
              <w:left w:val="nil"/>
              <w:bottom w:val="nil"/>
              <w:right w:val="nil"/>
            </w:tcBorders>
          </w:tcPr>
          <w:p w:rsidR="00E25CC6" w:rsidRPr="0091246E" w:rsidRDefault="00E25CC6" w:rsidP="0091246E">
            <w:pPr>
              <w:autoSpaceDE w:val="0"/>
              <w:autoSpaceDN w:val="0"/>
              <w:adjustRightInd w:val="0"/>
              <w:spacing w:after="0"/>
              <w:rPr>
                <w:rFonts w:ascii="Calibri" w:eastAsiaTheme="minorEastAsia" w:hAnsi="Calibri" w:cs="Calibri"/>
                <w:color w:val="000000"/>
                <w:sz w:val="19"/>
                <w:szCs w:val="22"/>
                <w:lang w:eastAsia="en-AU"/>
              </w:rPr>
            </w:pPr>
          </w:p>
        </w:tc>
        <w:tc>
          <w:tcPr>
            <w:tcW w:w="909" w:type="dxa"/>
            <w:tcBorders>
              <w:top w:val="nil"/>
              <w:left w:val="nil"/>
              <w:right w:val="nil"/>
            </w:tcBorders>
            <w:shd w:val="clear" w:color="auto" w:fill="DCDCDC"/>
          </w:tcPr>
          <w:p w:rsidR="00E25CC6" w:rsidRPr="0091246E" w:rsidRDefault="00E25CC6" w:rsidP="0091246E">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91246E" w:rsidRDefault="00E25CC6" w:rsidP="0091246E">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91246E" w:rsidRDefault="00E25CC6" w:rsidP="0091246E">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rPr>
                <w:rFonts w:ascii="Calibri" w:eastAsiaTheme="minorEastAsia" w:hAnsi="Calibri" w:cs="Calibri"/>
                <w:color w:val="000000"/>
                <w:sz w:val="19"/>
                <w:szCs w:val="22"/>
                <w:lang w:eastAsia="en-AU"/>
              </w:rPr>
            </w:pP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Average cost per case – Civil matters disposed in the Supreme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nil"/>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2 303</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2 296</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2 174</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 xml:space="preserve">The </w:t>
            </w:r>
            <w:r>
              <w:rPr>
                <w:rFonts w:eastAsiaTheme="minorEastAsia"/>
              </w:rPr>
              <w:t xml:space="preserve">higher </w:t>
            </w:r>
            <w:r w:rsidRPr="00367B52">
              <w:rPr>
                <w:rFonts w:eastAsiaTheme="minorEastAsia"/>
              </w:rPr>
              <w:t>2016</w:t>
            </w:r>
            <w:r w:rsidRPr="00367B52">
              <w:rPr>
                <w:rFonts w:eastAsiaTheme="minorEastAsia"/>
              </w:rPr>
              <w:noBreakHyphen/>
              <w:t xml:space="preserve">17 </w:t>
            </w:r>
            <w:r>
              <w:rPr>
                <w:rFonts w:eastAsiaTheme="minorEastAsia"/>
              </w:rPr>
              <w:t xml:space="preserve">estimate reflects </w:t>
            </w:r>
            <w:r w:rsidRPr="00367B52">
              <w:rPr>
                <w:rFonts w:eastAsiaTheme="minorEastAsia"/>
              </w:rPr>
              <w:t xml:space="preserve">an expected increased allocation to the Supreme Court from the overall Court Services Victoria budget. </w:t>
            </w:r>
          </w:p>
          <w:p w:rsidR="00E25CC6" w:rsidRPr="00367B52" w:rsidRDefault="00E25CC6" w:rsidP="0091246E">
            <w:pPr>
              <w:pStyle w:val="OGNotes"/>
              <w:rPr>
                <w:rFonts w:eastAsiaTheme="minorEastAsia"/>
              </w:rPr>
            </w:pPr>
            <w:r w:rsidRPr="00367B52">
              <w:rPr>
                <w:rFonts w:eastAsiaTheme="minorEastAsia"/>
              </w:rPr>
              <w:t>The 2015</w:t>
            </w:r>
            <w:r w:rsidRPr="00367B52">
              <w:rPr>
                <w:rFonts w:eastAsiaTheme="minorEastAsia"/>
              </w:rPr>
              <w:noBreakHyphen/>
              <w:t>16 expected outcome is higher than the 2015</w:t>
            </w:r>
            <w:r w:rsidRPr="00367B52">
              <w:rPr>
                <w:rFonts w:eastAsiaTheme="minorEastAsia"/>
              </w:rPr>
              <w:noBreakHyphen/>
              <w:t>16 estimate due to an increased allocation to the Supreme Court from the overall Court Services Victoria 2015</w:t>
            </w:r>
            <w:r w:rsidRPr="00367B52">
              <w:rPr>
                <w:rFonts w:eastAsiaTheme="minorEastAsia"/>
              </w:rPr>
              <w:noBreakHyphen/>
              <w:t xml:space="preserve">16 revised budget. </w:t>
            </w:r>
          </w:p>
          <w:p w:rsidR="00E25CC6" w:rsidRPr="00367B52" w:rsidRDefault="00E25CC6" w:rsidP="0091246E">
            <w:pPr>
              <w:pStyle w:val="OGNotes"/>
              <w:rPr>
                <w:rFonts w:eastAsiaTheme="minorEastAsia"/>
              </w:rPr>
            </w:pPr>
            <w:r w:rsidRPr="00367B52">
              <w:rPr>
                <w:rFonts w:eastAsiaTheme="minorEastAsia"/>
              </w:rPr>
              <w:t>Probate matters finalised in the Supreme Court are included within the cost per case calculations.</w:t>
            </w:r>
          </w:p>
        </w:tc>
      </w:tr>
      <w:tr w:rsidR="00E25CC6" w:rsidRPr="0091246E" w:rsidTr="00E260B2">
        <w:trPr>
          <w:cantSplit/>
        </w:trPr>
        <w:tc>
          <w:tcPr>
            <w:tcW w:w="3144" w:type="dxa"/>
            <w:tcBorders>
              <w:top w:val="single" w:sz="6" w:space="0" w:color="auto"/>
              <w:left w:val="nil"/>
              <w:right w:val="nil"/>
            </w:tcBorders>
          </w:tcPr>
          <w:p w:rsidR="00E25CC6" w:rsidRPr="00367B52" w:rsidRDefault="00E25CC6" w:rsidP="00E260B2">
            <w:pPr>
              <w:pStyle w:val="OGTabText"/>
              <w:rPr>
                <w:rFonts w:eastAsiaTheme="minorEastAsia"/>
                <w:lang w:eastAsia="en-AU"/>
              </w:rPr>
            </w:pPr>
            <w:r w:rsidRPr="00367B52">
              <w:rPr>
                <w:rFonts w:eastAsiaTheme="minorEastAsia"/>
                <w:lang w:eastAsia="en-AU"/>
              </w:rPr>
              <w:t>Average cost per case – Civil matters disposed in the County Court</w:t>
            </w:r>
          </w:p>
        </w:tc>
        <w:tc>
          <w:tcPr>
            <w:tcW w:w="907" w:type="dxa"/>
            <w:tcBorders>
              <w:top w:val="single" w:sz="6" w:space="0" w:color="auto"/>
              <w:left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single" w:sz="6" w:space="0" w:color="auto"/>
              <w:left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trike/>
                <w:sz w:val="19"/>
                <w:szCs w:val="22"/>
                <w:lang w:eastAsia="en-AU"/>
              </w:rPr>
            </w:pPr>
            <w:r w:rsidRPr="00367B52">
              <w:rPr>
                <w:rFonts w:ascii="Calibri" w:eastAsiaTheme="minorEastAsia" w:hAnsi="Calibri" w:cs="Calibri"/>
                <w:sz w:val="19"/>
                <w:szCs w:val="22"/>
                <w:lang w:eastAsia="en-AU"/>
              </w:rPr>
              <w:t>5 716</w:t>
            </w:r>
          </w:p>
        </w:tc>
        <w:tc>
          <w:tcPr>
            <w:tcW w:w="992" w:type="dxa"/>
            <w:tcBorders>
              <w:top w:val="single" w:sz="6" w:space="0" w:color="auto"/>
              <w:left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5 859</w:t>
            </w:r>
          </w:p>
        </w:tc>
        <w:tc>
          <w:tcPr>
            <w:tcW w:w="907" w:type="dxa"/>
            <w:tcBorders>
              <w:top w:val="single" w:sz="6" w:space="0" w:color="auto"/>
              <w:left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5 914</w:t>
            </w:r>
          </w:p>
        </w:tc>
        <w:tc>
          <w:tcPr>
            <w:tcW w:w="908" w:type="dxa"/>
            <w:tcBorders>
              <w:top w:val="single" w:sz="6" w:space="0" w:color="auto"/>
              <w:left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E260B2">
        <w:trPr>
          <w:cantSplit/>
        </w:trPr>
        <w:tc>
          <w:tcPr>
            <w:tcW w:w="7767" w:type="dxa"/>
            <w:gridSpan w:val="6"/>
            <w:tcBorders>
              <w:left w:val="nil"/>
              <w:bottom w:val="single" w:sz="6" w:space="0" w:color="auto"/>
              <w:right w:val="nil"/>
            </w:tcBorders>
          </w:tcPr>
          <w:p w:rsidR="00E25CC6" w:rsidRPr="00367B52" w:rsidRDefault="00E25CC6" w:rsidP="00DF67A0">
            <w:pPr>
              <w:tabs>
                <w:tab w:val="left" w:pos="300"/>
              </w:tabs>
              <w:autoSpaceDE w:val="0"/>
              <w:autoSpaceDN w:val="0"/>
              <w:adjustRightInd w:val="0"/>
              <w:spacing w:after="0"/>
              <w:ind w:left="300"/>
              <w:rPr>
                <w:rFonts w:ascii="Calibri" w:eastAsiaTheme="minorEastAsia" w:hAnsi="Calibri" w:cs="Calibri"/>
                <w:i/>
                <w:sz w:val="15"/>
                <w:szCs w:val="15"/>
                <w:lang w:eastAsia="en-AU"/>
              </w:rPr>
            </w:pPr>
            <w:r w:rsidRPr="00367B52">
              <w:rPr>
                <w:rFonts w:ascii="Calibri" w:eastAsiaTheme="minorEastAsia" w:hAnsi="Calibri" w:cs="Calibri"/>
                <w:i/>
                <w:sz w:val="15"/>
                <w:szCs w:val="15"/>
                <w:lang w:eastAsia="en-AU"/>
              </w:rPr>
              <w:t>The lower 2016</w:t>
            </w:r>
            <w:r w:rsidRPr="00367B52">
              <w:rPr>
                <w:rFonts w:ascii="Calibri" w:eastAsiaTheme="minorEastAsia" w:hAnsi="Calibri" w:cs="Calibri"/>
                <w:i/>
                <w:sz w:val="15"/>
                <w:szCs w:val="15"/>
                <w:lang w:eastAsia="en-AU"/>
              </w:rPr>
              <w:noBreakHyphen/>
              <w:t>17 estimate reflects additional funding decisions and other financial inputs which have been factored into the calculation of this measure.</w:t>
            </w:r>
          </w:p>
        </w:tc>
      </w:tr>
      <w:tr w:rsidR="00E25CC6" w:rsidRPr="0091246E" w:rsidTr="00780A91">
        <w:trPr>
          <w:cantSplit/>
        </w:trPr>
        <w:tc>
          <w:tcPr>
            <w:tcW w:w="3144" w:type="dxa"/>
            <w:tcBorders>
              <w:top w:val="nil"/>
              <w:left w:val="nil"/>
              <w:bottom w:val="nil"/>
              <w:right w:val="nil"/>
            </w:tcBorders>
          </w:tcPr>
          <w:p w:rsidR="00E25CC6" w:rsidRPr="00367B52" w:rsidRDefault="00E25CC6" w:rsidP="00B6787C">
            <w:pPr>
              <w:pStyle w:val="OGTabText"/>
              <w:rPr>
                <w:rFonts w:eastAsiaTheme="minorEastAsia"/>
                <w:lang w:eastAsia="en-AU"/>
              </w:rPr>
            </w:pPr>
            <w:r w:rsidRPr="00367B52">
              <w:rPr>
                <w:rFonts w:eastAsiaTheme="minorEastAsia"/>
                <w:lang w:eastAsia="en-AU"/>
              </w:rPr>
              <w:t>Average cost per case – Civil matters disposed in the Magistrates</w:t>
            </w:r>
            <w:r>
              <w:rPr>
                <w:rFonts w:eastAsiaTheme="minorEastAsia"/>
                <w:lang w:eastAsia="en-AU"/>
              </w:rPr>
              <w:t>’</w:t>
            </w:r>
            <w:r w:rsidRPr="00367B52">
              <w:rPr>
                <w:rFonts w:eastAsiaTheme="minorEastAsia"/>
                <w:lang w:eastAsia="en-AU"/>
              </w:rPr>
              <w:t xml:space="preserv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single" w:sz="6" w:space="0" w:color="auto"/>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trike/>
                <w:sz w:val="19"/>
                <w:szCs w:val="22"/>
                <w:lang w:eastAsia="en-AU"/>
              </w:rPr>
            </w:pPr>
            <w:r w:rsidRPr="00367B52">
              <w:rPr>
                <w:rFonts w:ascii="Calibri" w:eastAsiaTheme="minorEastAsia" w:hAnsi="Calibri" w:cs="Calibri"/>
                <w:sz w:val="19"/>
                <w:szCs w:val="22"/>
                <w:lang w:eastAsia="en-AU"/>
              </w:rPr>
              <w:t>598</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1 013</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989</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2016</w:t>
            </w:r>
            <w:r w:rsidRPr="00367B52">
              <w:rPr>
                <w:rFonts w:eastAsiaTheme="minorEastAsia"/>
              </w:rPr>
              <w:noBreakHyphen/>
              <w:t>17 estimate is lower than the 2015</w:t>
            </w:r>
            <w:r w:rsidRPr="00367B52">
              <w:rPr>
                <w:rFonts w:eastAsiaTheme="minorEastAsia"/>
              </w:rPr>
              <w:noBreakHyphen/>
              <w:t>16 estimate and expected outcome as the Magistrates</w:t>
            </w:r>
            <w:r>
              <w:rPr>
                <w:rFonts w:eastAsiaTheme="minorEastAsia"/>
              </w:rPr>
              <w:t>’</w:t>
            </w:r>
            <w:r w:rsidRPr="00367B52">
              <w:rPr>
                <w:rFonts w:eastAsiaTheme="minorEastAsia"/>
              </w:rPr>
              <w:t xml:space="preserve"> Court has amended the counting method for civil cases disposed to include all civil disposals. The previous counting method did not include default orders made in civil, or complaints dismissed under Rule 21.11 of the Magistrates</w:t>
            </w:r>
            <w:r>
              <w:rPr>
                <w:rFonts w:eastAsiaTheme="minorEastAsia"/>
              </w:rPr>
              <w:t>’</w:t>
            </w:r>
            <w:r w:rsidRPr="00367B52">
              <w:rPr>
                <w:rFonts w:eastAsiaTheme="minorEastAsia"/>
              </w:rPr>
              <w:t xml:space="preserve"> Court Civil Procedure Rules. This change brings the measure into accordance with the International Framework for Court Excellence (IFCE) methodology.</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Average cost per case – Family Division matters disposed in the Children</w:t>
            </w:r>
            <w:r>
              <w:rPr>
                <w:rFonts w:eastAsiaTheme="minorEastAsia"/>
                <w:lang w:eastAsia="en-AU"/>
              </w:rPr>
              <w:t>’</w:t>
            </w:r>
            <w:r w:rsidRPr="00367B52">
              <w:rPr>
                <w:rFonts w:eastAsiaTheme="minorEastAsia"/>
                <w:lang w:eastAsia="en-AU"/>
              </w:rPr>
              <w:t>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nil"/>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1 </w:t>
            </w:r>
            <w:r>
              <w:rPr>
                <w:rFonts w:ascii="Calibri" w:eastAsiaTheme="minorEastAsia" w:hAnsi="Calibri" w:cs="Calibri"/>
                <w:sz w:val="19"/>
                <w:szCs w:val="22"/>
                <w:lang w:eastAsia="en-AU"/>
              </w:rPr>
              <w:t>04</w:t>
            </w:r>
            <w:r w:rsidRPr="00367B52">
              <w:rPr>
                <w:rFonts w:ascii="Calibri" w:eastAsiaTheme="minorEastAsia" w:hAnsi="Calibri" w:cs="Calibri"/>
                <w:sz w:val="19"/>
                <w:szCs w:val="22"/>
                <w:lang w:eastAsia="en-AU"/>
              </w:rPr>
              <w:t>6</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1 313</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1 255</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F86E1A">
              <w:rPr>
                <w:rFonts w:eastAsiaTheme="minorEastAsia"/>
              </w:rPr>
              <w:t>The lower 2016</w:t>
            </w:r>
            <w:r w:rsidRPr="00F86E1A">
              <w:rPr>
                <w:rFonts w:eastAsiaTheme="minorEastAsia"/>
              </w:rPr>
              <w:noBreakHyphen/>
              <w:t>17 estimate reflects the Children</w:t>
            </w:r>
            <w:r>
              <w:rPr>
                <w:rFonts w:eastAsiaTheme="minorEastAsia"/>
              </w:rPr>
              <w:t>’</w:t>
            </w:r>
            <w:r w:rsidRPr="00F86E1A">
              <w:rPr>
                <w:rFonts w:eastAsiaTheme="minorEastAsia"/>
              </w:rPr>
              <w:t>s Court expectation it will dispose of an increased number of criminal cases in 2016</w:t>
            </w:r>
            <w:r w:rsidRPr="00F86E1A">
              <w:rPr>
                <w:rFonts w:eastAsiaTheme="minorEastAsia"/>
              </w:rPr>
              <w:noBreakHyphen/>
              <w:t>17.</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Average cost per case – Civil matters disposed in the Victorian Civil and Administrative Tribunal</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nil"/>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595</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645</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574</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Default="00E25CC6" w:rsidP="0091246E">
            <w:pPr>
              <w:pStyle w:val="OGNotes"/>
              <w:rPr>
                <w:rFonts w:eastAsiaTheme="minorEastAsia"/>
              </w:rPr>
            </w:pPr>
            <w:r w:rsidRPr="0065439E">
              <w:rPr>
                <w:rFonts w:eastAsiaTheme="minorEastAsia"/>
              </w:rPr>
              <w:t>The 2016</w:t>
            </w:r>
            <w:r>
              <w:rPr>
                <w:rFonts w:eastAsiaTheme="minorEastAsia"/>
              </w:rPr>
              <w:noBreakHyphen/>
            </w:r>
            <w:r w:rsidRPr="0065439E">
              <w:rPr>
                <w:rFonts w:eastAsiaTheme="minorEastAsia"/>
              </w:rPr>
              <w:t>17 estimate is higher than the 2015</w:t>
            </w:r>
            <w:r>
              <w:rPr>
                <w:rFonts w:eastAsiaTheme="minorEastAsia"/>
              </w:rPr>
              <w:noBreakHyphen/>
            </w:r>
            <w:r w:rsidRPr="0065439E">
              <w:rPr>
                <w:rFonts w:eastAsiaTheme="minorEastAsia"/>
              </w:rPr>
              <w:t xml:space="preserve">16 estimate due to an expected increased allocation to VCAT from the overall Court Services Victoria budget. </w:t>
            </w:r>
          </w:p>
          <w:p w:rsidR="00E25CC6" w:rsidRPr="00367B52" w:rsidRDefault="00E25CC6" w:rsidP="0091246E">
            <w:pPr>
              <w:pStyle w:val="OGNotes"/>
              <w:rPr>
                <w:rFonts w:eastAsiaTheme="minorEastAsia"/>
              </w:rPr>
            </w:pPr>
            <w:r w:rsidRPr="0065439E">
              <w:rPr>
                <w:rFonts w:eastAsiaTheme="minorEastAsia"/>
              </w:rPr>
              <w:t>The 2015</w:t>
            </w:r>
            <w:r>
              <w:rPr>
                <w:rFonts w:eastAsiaTheme="minorEastAsia"/>
              </w:rPr>
              <w:noBreakHyphen/>
            </w:r>
            <w:r w:rsidRPr="0065439E">
              <w:rPr>
                <w:rFonts w:eastAsiaTheme="minorEastAsia"/>
              </w:rPr>
              <w:t>16 expected outcome is higher than the 2015</w:t>
            </w:r>
            <w:r>
              <w:rPr>
                <w:rFonts w:eastAsiaTheme="minorEastAsia"/>
              </w:rPr>
              <w:noBreakHyphen/>
            </w:r>
            <w:r w:rsidRPr="0065439E">
              <w:rPr>
                <w:rFonts w:eastAsiaTheme="minorEastAsia"/>
              </w:rPr>
              <w:t>16 estimate due to a decrease in the expected number of cases finalised, some one-off project costs and an increased allocation to VCAT from the revised budget for Court Services Victoria.</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Average cost per case – Coronial matters disposed in the Coroners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nil"/>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trike/>
                <w:sz w:val="19"/>
                <w:szCs w:val="22"/>
                <w:lang w:eastAsia="en-AU"/>
              </w:rPr>
            </w:pPr>
            <w:r w:rsidRPr="00367B52">
              <w:rPr>
                <w:rFonts w:ascii="Calibri" w:eastAsiaTheme="minorEastAsia" w:hAnsi="Calibri" w:cs="Calibri"/>
                <w:sz w:val="19"/>
                <w:szCs w:val="22"/>
                <w:lang w:eastAsia="en-AU"/>
              </w:rPr>
              <w:t>2 909</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3 034</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3 218</w:t>
            </w: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2016</w:t>
            </w:r>
            <w:r w:rsidRPr="00367B52">
              <w:rPr>
                <w:rFonts w:eastAsiaTheme="minorEastAsia"/>
              </w:rPr>
              <w:noBreakHyphen/>
              <w:t>17 estimate is lower than the 2015</w:t>
            </w:r>
            <w:r w:rsidRPr="00367B52">
              <w:rPr>
                <w:rFonts w:eastAsiaTheme="minorEastAsia"/>
              </w:rPr>
              <w:noBreakHyphen/>
              <w:t>16 estimate and expected outcome as the Coroners Court expects to dispose of an increased number of coronial matters in 2016</w:t>
            </w:r>
            <w:r w:rsidRPr="00367B52">
              <w:rPr>
                <w:rFonts w:eastAsiaTheme="minorEastAsia"/>
              </w:rPr>
              <w:noBreakHyphen/>
              <w:t>17.</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Average cost per case – Criminal matters disposed in the Supreme Court</w:t>
            </w:r>
          </w:p>
        </w:tc>
        <w:tc>
          <w:tcPr>
            <w:tcW w:w="907" w:type="dxa"/>
            <w:tcBorders>
              <w:top w:val="nil"/>
              <w:left w:val="nil"/>
              <w:bottom w:val="nil"/>
              <w:right w:val="nil"/>
            </w:tcBorders>
          </w:tcPr>
          <w:p w:rsidR="00E25CC6" w:rsidRPr="00367B52" w:rsidRDefault="00E25CC6" w:rsidP="00367B52">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nil"/>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trike/>
                <w:sz w:val="19"/>
                <w:szCs w:val="22"/>
                <w:lang w:eastAsia="en-AU"/>
              </w:rPr>
            </w:pPr>
            <w:r>
              <w:rPr>
                <w:rFonts w:ascii="Calibri" w:eastAsiaTheme="minorEastAsia" w:hAnsi="Calibri" w:cs="Calibri"/>
                <w:sz w:val="19"/>
                <w:szCs w:val="22"/>
                <w:lang w:eastAsia="en-AU"/>
              </w:rPr>
              <w:t>38</w:t>
            </w:r>
            <w:r w:rsidRPr="00367B52">
              <w:rPr>
                <w:rFonts w:ascii="Calibri" w:eastAsiaTheme="minorEastAsia" w:hAnsi="Calibri" w:cs="Calibri"/>
                <w:sz w:val="19"/>
                <w:szCs w:val="22"/>
                <w:lang w:eastAsia="en-AU"/>
              </w:rPr>
              <w:t> </w:t>
            </w:r>
            <w:r>
              <w:rPr>
                <w:rFonts w:ascii="Calibri" w:eastAsiaTheme="minorEastAsia" w:hAnsi="Calibri" w:cs="Calibri"/>
                <w:sz w:val="19"/>
                <w:szCs w:val="22"/>
                <w:lang w:eastAsia="en-AU"/>
              </w:rPr>
              <w:t>025</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48 083</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45 527</w:t>
            </w: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 xml:space="preserve">The </w:t>
            </w:r>
            <w:r>
              <w:rPr>
                <w:rFonts w:eastAsiaTheme="minorEastAsia"/>
              </w:rPr>
              <w:t xml:space="preserve">lower </w:t>
            </w:r>
            <w:r w:rsidRPr="00367B52">
              <w:rPr>
                <w:rFonts w:eastAsiaTheme="minorEastAsia"/>
              </w:rPr>
              <w:t>2016</w:t>
            </w:r>
            <w:r w:rsidRPr="00367B52">
              <w:rPr>
                <w:rFonts w:eastAsiaTheme="minorEastAsia"/>
              </w:rPr>
              <w:noBreakHyphen/>
              <w:t xml:space="preserve">17 estimate </w:t>
            </w:r>
            <w:r>
              <w:rPr>
                <w:rFonts w:eastAsiaTheme="minorEastAsia"/>
              </w:rPr>
              <w:t>reflects the Supreme Court amending the counting method for criminal cases disposed to include all criminal disposals</w:t>
            </w:r>
            <w:r w:rsidRPr="00367B52">
              <w:rPr>
                <w:rFonts w:eastAsiaTheme="minorEastAsia"/>
              </w:rPr>
              <w:t>.</w:t>
            </w:r>
            <w:r>
              <w:rPr>
                <w:rFonts w:eastAsiaTheme="minorEastAsia"/>
              </w:rPr>
              <w:t xml:space="preserve"> The previous counting method did not include applications heard and determined by judicial officers under the </w:t>
            </w:r>
            <w:r w:rsidRPr="004204C1">
              <w:rPr>
                <w:rFonts w:eastAsiaTheme="minorEastAsia"/>
                <w:i w:val="0"/>
              </w:rPr>
              <w:t>Surveillance Devices Act 1999</w:t>
            </w:r>
            <w:r>
              <w:rPr>
                <w:rFonts w:eastAsiaTheme="minorEastAsia"/>
              </w:rPr>
              <w:t xml:space="preserve">, the </w:t>
            </w:r>
            <w:r w:rsidRPr="004204C1">
              <w:rPr>
                <w:rFonts w:eastAsiaTheme="minorEastAsia"/>
                <w:i w:val="0"/>
              </w:rPr>
              <w:t>Witness Protection Act 1991</w:t>
            </w:r>
            <w:r>
              <w:rPr>
                <w:rFonts w:eastAsiaTheme="minorEastAsia"/>
              </w:rPr>
              <w:t xml:space="preserve">, </w:t>
            </w:r>
            <w:r w:rsidRPr="004204C1">
              <w:rPr>
                <w:rFonts w:eastAsiaTheme="minorEastAsia"/>
                <w:i w:val="0"/>
              </w:rPr>
              <w:t>Major Crime (Investigative Powers) Act 2014</w:t>
            </w:r>
            <w:r>
              <w:rPr>
                <w:rFonts w:eastAsiaTheme="minorEastAsia"/>
              </w:rPr>
              <w:t xml:space="preserve"> and proceeds of crime matters.</w:t>
            </w:r>
          </w:p>
          <w:p w:rsidR="00E25CC6" w:rsidRPr="00367B52" w:rsidRDefault="00E25CC6" w:rsidP="00C13803">
            <w:pPr>
              <w:pStyle w:val="OGNotes"/>
              <w:rPr>
                <w:rFonts w:eastAsiaTheme="minorEastAsia"/>
              </w:rPr>
            </w:pPr>
            <w:r w:rsidRPr="00367B52">
              <w:rPr>
                <w:rFonts w:eastAsiaTheme="minorEastAsia"/>
              </w:rPr>
              <w:t>The 2015</w:t>
            </w:r>
            <w:r w:rsidRPr="00367B52">
              <w:rPr>
                <w:rFonts w:eastAsiaTheme="minorEastAsia"/>
              </w:rPr>
              <w:noBreakHyphen/>
              <w:t>16 expected outcome is higher than the 2015</w:t>
            </w:r>
            <w:r w:rsidRPr="00367B52">
              <w:rPr>
                <w:rFonts w:eastAsiaTheme="minorEastAsia"/>
              </w:rPr>
              <w:noBreakHyphen/>
              <w:t>16 estimate due to an increased allocation to the Supreme Court from the overall Court Services Victoria 2015</w:t>
            </w:r>
            <w:r>
              <w:rPr>
                <w:rFonts w:eastAsiaTheme="minorEastAsia"/>
              </w:rPr>
              <w:noBreakHyphen/>
            </w:r>
            <w:r w:rsidRPr="00367B52">
              <w:rPr>
                <w:rFonts w:eastAsiaTheme="minorEastAsia"/>
              </w:rPr>
              <w:t xml:space="preserve">16 revised budget. </w:t>
            </w:r>
          </w:p>
        </w:tc>
      </w:tr>
      <w:tr w:rsidR="00E25CC6" w:rsidRPr="0091246E" w:rsidTr="00780A91">
        <w:trPr>
          <w:cantSplit/>
        </w:trPr>
        <w:tc>
          <w:tcPr>
            <w:tcW w:w="3144" w:type="dxa"/>
            <w:tcBorders>
              <w:top w:val="single" w:sz="6" w:space="0" w:color="auto"/>
              <w:left w:val="nil"/>
              <w:right w:val="nil"/>
            </w:tcBorders>
          </w:tcPr>
          <w:p w:rsidR="00E25CC6" w:rsidRPr="00367B52" w:rsidRDefault="00E25CC6" w:rsidP="00780A91">
            <w:pPr>
              <w:pStyle w:val="OGTabText"/>
              <w:rPr>
                <w:rFonts w:eastAsiaTheme="minorEastAsia"/>
                <w:lang w:eastAsia="en-AU"/>
              </w:rPr>
            </w:pPr>
            <w:r w:rsidRPr="00367B52">
              <w:rPr>
                <w:rFonts w:eastAsiaTheme="minorEastAsia"/>
                <w:lang w:eastAsia="en-AU"/>
              </w:rPr>
              <w:t>Average cost per case – Criminal matters disposed in the County Court</w:t>
            </w:r>
          </w:p>
        </w:tc>
        <w:tc>
          <w:tcPr>
            <w:tcW w:w="907" w:type="dxa"/>
            <w:tcBorders>
              <w:top w:val="single" w:sz="6" w:space="0" w:color="auto"/>
              <w:left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single" w:sz="6" w:space="0" w:color="auto"/>
              <w:left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trike/>
                <w:sz w:val="19"/>
                <w:szCs w:val="22"/>
                <w:lang w:eastAsia="en-AU"/>
              </w:rPr>
            </w:pPr>
            <w:r w:rsidRPr="00367B52">
              <w:rPr>
                <w:rFonts w:ascii="Calibri" w:eastAsiaTheme="minorEastAsia" w:hAnsi="Calibri" w:cs="Calibri"/>
                <w:sz w:val="19"/>
                <w:szCs w:val="22"/>
                <w:lang w:eastAsia="en-AU"/>
              </w:rPr>
              <w:t>17 570</w:t>
            </w:r>
          </w:p>
        </w:tc>
        <w:tc>
          <w:tcPr>
            <w:tcW w:w="992" w:type="dxa"/>
            <w:tcBorders>
              <w:top w:val="single" w:sz="6" w:space="0" w:color="auto"/>
              <w:left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18 009</w:t>
            </w:r>
          </w:p>
        </w:tc>
        <w:tc>
          <w:tcPr>
            <w:tcW w:w="907" w:type="dxa"/>
            <w:tcBorders>
              <w:top w:val="single" w:sz="6" w:space="0" w:color="auto"/>
              <w:left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18 181</w:t>
            </w:r>
          </w:p>
        </w:tc>
        <w:tc>
          <w:tcPr>
            <w:tcW w:w="908" w:type="dxa"/>
            <w:tcBorders>
              <w:top w:val="single" w:sz="6" w:space="0" w:color="auto"/>
              <w:left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nm</w:t>
            </w:r>
          </w:p>
        </w:tc>
      </w:tr>
      <w:tr w:rsidR="00E25CC6" w:rsidRPr="0091246E" w:rsidTr="00780A91">
        <w:trPr>
          <w:cantSplit/>
        </w:trPr>
        <w:tc>
          <w:tcPr>
            <w:tcW w:w="7767" w:type="dxa"/>
            <w:gridSpan w:val="6"/>
            <w:tcBorders>
              <w:left w:val="nil"/>
              <w:bottom w:val="single" w:sz="6" w:space="0" w:color="auto"/>
              <w:right w:val="nil"/>
            </w:tcBorders>
          </w:tcPr>
          <w:p w:rsidR="00E25CC6" w:rsidRPr="00367B52" w:rsidRDefault="00E25CC6" w:rsidP="004142B5">
            <w:pPr>
              <w:autoSpaceDE w:val="0"/>
              <w:autoSpaceDN w:val="0"/>
              <w:adjustRightInd w:val="0"/>
              <w:spacing w:after="0"/>
              <w:ind w:left="381"/>
              <w:rPr>
                <w:rFonts w:ascii="Calibri" w:eastAsiaTheme="minorEastAsia" w:hAnsi="Calibri" w:cs="Calibri"/>
                <w:i/>
                <w:sz w:val="15"/>
                <w:szCs w:val="15"/>
                <w:lang w:eastAsia="en-AU"/>
              </w:rPr>
            </w:pPr>
            <w:r w:rsidRPr="00367B52">
              <w:rPr>
                <w:rFonts w:ascii="Calibri" w:eastAsiaTheme="minorEastAsia" w:hAnsi="Calibri" w:cs="Calibri"/>
                <w:i/>
                <w:sz w:val="15"/>
                <w:szCs w:val="15"/>
                <w:lang w:eastAsia="en-AU"/>
              </w:rPr>
              <w:t>The lower 2016</w:t>
            </w:r>
            <w:r w:rsidRPr="00367B52">
              <w:rPr>
                <w:rFonts w:ascii="Calibri" w:eastAsiaTheme="minorEastAsia" w:hAnsi="Calibri" w:cs="Calibri"/>
                <w:i/>
                <w:sz w:val="15"/>
                <w:szCs w:val="15"/>
                <w:lang w:eastAsia="en-AU"/>
              </w:rPr>
              <w:noBreakHyphen/>
              <w:t>17 estimate reflects additional funding decisions and other financial inputs which have been factored into the calculation of this measure.</w:t>
            </w:r>
          </w:p>
        </w:tc>
      </w:tr>
      <w:tr w:rsidR="00E25CC6" w:rsidRPr="0091246E" w:rsidTr="00780A91">
        <w:trPr>
          <w:cantSplit/>
        </w:trPr>
        <w:tc>
          <w:tcPr>
            <w:tcW w:w="3144" w:type="dxa"/>
            <w:tcBorders>
              <w:top w:val="nil"/>
              <w:left w:val="nil"/>
              <w:bottom w:val="nil"/>
              <w:right w:val="nil"/>
            </w:tcBorders>
          </w:tcPr>
          <w:p w:rsidR="00E25CC6" w:rsidRPr="00367B52" w:rsidRDefault="00E25CC6" w:rsidP="00B6787C">
            <w:pPr>
              <w:pStyle w:val="OGTabText"/>
              <w:rPr>
                <w:rFonts w:eastAsiaTheme="minorEastAsia"/>
                <w:lang w:eastAsia="en-AU"/>
              </w:rPr>
            </w:pPr>
            <w:r w:rsidRPr="00367B52">
              <w:rPr>
                <w:rFonts w:eastAsiaTheme="minorEastAsia"/>
                <w:lang w:eastAsia="en-AU"/>
              </w:rPr>
              <w:t>Average cost per case – Criminal matters disposed in the Magistrates</w:t>
            </w:r>
            <w:r>
              <w:rPr>
                <w:rFonts w:eastAsiaTheme="minorEastAsia"/>
                <w:lang w:eastAsia="en-AU"/>
              </w:rPr>
              <w:t>’</w:t>
            </w:r>
            <w:r w:rsidRPr="00367B52">
              <w:rPr>
                <w:rFonts w:eastAsiaTheme="minorEastAsia"/>
                <w:lang w:eastAsia="en-AU"/>
              </w:rPr>
              <w:t xml:space="preserv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single" w:sz="6" w:space="0" w:color="auto"/>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trike/>
                <w:sz w:val="19"/>
                <w:szCs w:val="22"/>
                <w:lang w:eastAsia="en-AU"/>
              </w:rPr>
            </w:pPr>
            <w:r w:rsidRPr="00367B52">
              <w:rPr>
                <w:rFonts w:ascii="Calibri" w:eastAsiaTheme="minorEastAsia" w:hAnsi="Calibri" w:cs="Calibri"/>
                <w:sz w:val="19"/>
                <w:szCs w:val="22"/>
                <w:lang w:eastAsia="en-AU"/>
              </w:rPr>
              <w:t>547</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533</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458</w:t>
            </w: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2016</w:t>
            </w:r>
            <w:r w:rsidRPr="00367B52">
              <w:rPr>
                <w:rFonts w:eastAsiaTheme="minorEastAsia"/>
              </w:rPr>
              <w:noBreakHyphen/>
              <w:t>17 estimate and 2015</w:t>
            </w:r>
            <w:r w:rsidRPr="00367B52">
              <w:rPr>
                <w:rFonts w:eastAsiaTheme="minorEastAsia"/>
              </w:rPr>
              <w:noBreakHyphen/>
              <w:t>16 expected outcome are higher than the 2015</w:t>
            </w:r>
            <w:r w:rsidRPr="00367B52">
              <w:rPr>
                <w:rFonts w:eastAsiaTheme="minorEastAsia"/>
              </w:rPr>
              <w:noBreakHyphen/>
              <w:t>16 estimate due to efficiencies implemented for infringement cases by the Magistrates</w:t>
            </w:r>
            <w:r>
              <w:rPr>
                <w:rFonts w:eastAsiaTheme="minorEastAsia"/>
              </w:rPr>
              <w:t>’</w:t>
            </w:r>
            <w:r w:rsidRPr="00367B52">
              <w:rPr>
                <w:rFonts w:eastAsiaTheme="minorEastAsia"/>
              </w:rPr>
              <w:t xml:space="preserve"> Court. Multiple infringement matters for a single individual are now consolidated into a single case on lodgement. This has resulted in the expected number of criminal finalisations being reduced, with the flow</w:t>
            </w:r>
            <w:r w:rsidRPr="00367B52">
              <w:rPr>
                <w:rFonts w:eastAsiaTheme="minorEastAsia"/>
              </w:rPr>
              <w:noBreakHyphen/>
              <w:t>on effect of increasing the 2015</w:t>
            </w:r>
            <w:r w:rsidRPr="00367B52">
              <w:rPr>
                <w:rFonts w:eastAsiaTheme="minorEastAsia"/>
              </w:rPr>
              <w:noBreakHyphen/>
              <w:t>16 expected outcome of the average cost per case.</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Average cost per case – Criminal matters disposed in the Children</w:t>
            </w:r>
            <w:r>
              <w:rPr>
                <w:rFonts w:eastAsiaTheme="minorEastAsia"/>
                <w:lang w:eastAsia="en-AU"/>
              </w:rPr>
              <w:t>’</w:t>
            </w:r>
            <w:r w:rsidRPr="00367B52">
              <w:rPr>
                <w:rFonts w:eastAsiaTheme="minorEastAsia"/>
                <w:lang w:eastAsia="en-AU"/>
              </w:rPr>
              <w:t>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dollars</w:t>
            </w:r>
          </w:p>
        </w:tc>
        <w:tc>
          <w:tcPr>
            <w:tcW w:w="909" w:type="dxa"/>
            <w:tcBorders>
              <w:top w:val="nil"/>
              <w:left w:val="nil"/>
              <w:bottom w:val="nil"/>
              <w:right w:val="nil"/>
            </w:tcBorders>
            <w:shd w:val="clear" w:color="auto" w:fill="DCDCDC"/>
          </w:tcPr>
          <w:p w:rsidR="00E25CC6" w:rsidRPr="00367B52" w:rsidRDefault="00E25CC6" w:rsidP="00133827">
            <w:pPr>
              <w:autoSpaceDE w:val="0"/>
              <w:autoSpaceDN w:val="0"/>
              <w:adjustRightInd w:val="0"/>
              <w:spacing w:after="0"/>
              <w:jc w:val="right"/>
              <w:rPr>
                <w:rFonts w:ascii="Calibri" w:eastAsiaTheme="minorEastAsia" w:hAnsi="Calibri" w:cs="Calibri"/>
                <w:strike/>
                <w:sz w:val="19"/>
                <w:szCs w:val="22"/>
                <w:lang w:eastAsia="en-AU"/>
              </w:rPr>
            </w:pPr>
            <w:r w:rsidRPr="00367B52">
              <w:rPr>
                <w:rFonts w:ascii="Calibri" w:eastAsiaTheme="minorEastAsia" w:hAnsi="Calibri" w:cs="Calibri"/>
                <w:sz w:val="19"/>
                <w:szCs w:val="22"/>
                <w:lang w:eastAsia="en-AU"/>
              </w:rPr>
              <w:t>224</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276</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264</w:t>
            </w: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91246E" w:rsidRDefault="00E25CC6" w:rsidP="00F90140">
            <w:pPr>
              <w:pStyle w:val="OGNotes"/>
              <w:rPr>
                <w:rFonts w:eastAsiaTheme="minorEastAsia"/>
              </w:rPr>
            </w:pPr>
            <w:r w:rsidRPr="00F86E1A">
              <w:rPr>
                <w:rFonts w:eastAsiaTheme="minorEastAsia"/>
              </w:rPr>
              <w:t>The lower 2016</w:t>
            </w:r>
            <w:r w:rsidRPr="00F86E1A">
              <w:rPr>
                <w:rFonts w:eastAsiaTheme="minorEastAsia"/>
              </w:rPr>
              <w:noBreakHyphen/>
              <w:t xml:space="preserve">17 estimate </w:t>
            </w:r>
            <w:r>
              <w:rPr>
                <w:rFonts w:eastAsiaTheme="minorEastAsia"/>
              </w:rPr>
              <w:t>reflects the Children’s Court expectation</w:t>
            </w:r>
            <w:r w:rsidRPr="0091246E">
              <w:rPr>
                <w:rFonts w:eastAsiaTheme="minorEastAsia"/>
              </w:rPr>
              <w:t xml:space="preserve"> </w:t>
            </w:r>
            <w:r>
              <w:rPr>
                <w:rFonts w:eastAsiaTheme="minorEastAsia"/>
              </w:rPr>
              <w:t>it will</w:t>
            </w:r>
            <w:r w:rsidRPr="0091246E">
              <w:rPr>
                <w:rFonts w:eastAsiaTheme="minorEastAsia"/>
              </w:rPr>
              <w:t xml:space="preserve"> dispose</w:t>
            </w:r>
            <w:r>
              <w:rPr>
                <w:rFonts w:eastAsiaTheme="minorEastAsia"/>
              </w:rPr>
              <w:t xml:space="preserve"> </w:t>
            </w:r>
            <w:r w:rsidRPr="0091246E">
              <w:rPr>
                <w:rFonts w:eastAsiaTheme="minorEastAsia"/>
              </w:rPr>
              <w:t>of an increased number of criminal cases in 2016</w:t>
            </w:r>
            <w:r>
              <w:rPr>
                <w:rFonts w:eastAsiaTheme="minorEastAsia"/>
              </w:rPr>
              <w:noBreakHyphen/>
            </w:r>
            <w:r w:rsidRPr="0091246E">
              <w:rPr>
                <w:rFonts w:eastAsiaTheme="minorEastAsia"/>
              </w:rPr>
              <w:t>17.</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Case clearance rate – Civil matters disposed in the Supreme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 (27 500/ 27 500)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98 (27 547/ 28 132)</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w:t>
            </w:r>
            <w:r>
              <w:rPr>
                <w:rFonts w:eastAsiaTheme="minorEastAsia"/>
              </w:rPr>
              <w:t>ed as (number of cases disposed/</w:t>
            </w:r>
            <w:r w:rsidRPr="00367B52">
              <w:rPr>
                <w:rFonts w:eastAsiaTheme="minorEastAsia"/>
              </w:rPr>
              <w:t>number of cases initiated).</w:t>
            </w:r>
          </w:p>
          <w:p w:rsidR="00E25CC6" w:rsidRPr="00367B52" w:rsidRDefault="00E25CC6" w:rsidP="00A00FF4">
            <w:pPr>
              <w:pStyle w:val="OGNotes"/>
              <w:rPr>
                <w:rFonts w:eastAsiaTheme="minorEastAsia"/>
              </w:rPr>
            </w:pPr>
            <w:r w:rsidRPr="00367B52">
              <w:rPr>
                <w:rFonts w:eastAsiaTheme="minorEastAsia"/>
              </w:rPr>
              <w:t>This was a new measure in 2015</w:t>
            </w:r>
            <w:r>
              <w:rPr>
                <w:rFonts w:eastAsiaTheme="minorEastAsia"/>
              </w:rPr>
              <w:noBreakHyphen/>
            </w:r>
            <w:r w:rsidRPr="00367B52">
              <w:rPr>
                <w:rFonts w:eastAsiaTheme="minorEastAsia"/>
              </w:rPr>
              <w:t>16. The 2014</w:t>
            </w:r>
            <w:r>
              <w:rPr>
                <w:rFonts w:eastAsiaTheme="minorEastAsia"/>
              </w:rPr>
              <w:noBreakHyphen/>
            </w:r>
            <w:r w:rsidRPr="00367B52">
              <w:rPr>
                <w:rFonts w:eastAsiaTheme="minorEastAsia"/>
              </w:rPr>
              <w:t>15 actual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367B52" w:rsidRDefault="00E25CC6" w:rsidP="00B6787C">
            <w:pPr>
              <w:pStyle w:val="OGTabText"/>
              <w:rPr>
                <w:rFonts w:eastAsiaTheme="minorEastAsia"/>
                <w:lang w:eastAsia="en-AU"/>
              </w:rPr>
            </w:pPr>
            <w:r w:rsidRPr="00367B52">
              <w:rPr>
                <w:rFonts w:eastAsiaTheme="minorEastAsia"/>
                <w:lang w:eastAsia="en-AU"/>
              </w:rPr>
              <w:t>Case clearance rate – Civil matters disposed in the County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 xml:space="preserve">115 </w:t>
            </w:r>
            <w:r w:rsidRPr="00367B52">
              <w:rPr>
                <w:rFonts w:ascii="Calibri" w:eastAsiaTheme="minorEastAsia" w:hAnsi="Calibri" w:cs="Calibri"/>
                <w:sz w:val="19"/>
                <w:szCs w:val="22"/>
                <w:lang w:eastAsia="en-AU"/>
              </w:rPr>
              <w:br/>
              <w:t>(6 000/ 5 230)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102 (6 782/ 6 626)</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calculated as (number of cases disposed / number of cases initiated).</w:t>
            </w:r>
          </w:p>
          <w:p w:rsidR="00E25CC6" w:rsidRPr="00367B52" w:rsidRDefault="00E25CC6" w:rsidP="0091246E">
            <w:pPr>
              <w:pStyle w:val="OGNotes"/>
              <w:rPr>
                <w:rFonts w:eastAsiaTheme="minorEastAsia"/>
              </w:rPr>
            </w:pPr>
            <w:r w:rsidRPr="00367B52">
              <w:rPr>
                <w:rFonts w:eastAsiaTheme="minorEastAsia"/>
              </w:rPr>
              <w:t>The 2015</w:t>
            </w:r>
            <w:r w:rsidRPr="00367B52">
              <w:rPr>
                <w:rFonts w:eastAsiaTheme="minorEastAsia"/>
              </w:rPr>
              <w:noBreakHyphen/>
              <w:t>16 expected outcome is higher than the 2015</w:t>
            </w:r>
            <w:r w:rsidRPr="00367B52">
              <w:rPr>
                <w:rFonts w:eastAsiaTheme="minorEastAsia"/>
              </w:rPr>
              <w:noBreakHyphen/>
              <w:t>16 estimate as an audit of civil cases conducted by the County Court identified a number of files that could be finalised immediately. It is expected that this level of clearance will be maintained over the 2015</w:t>
            </w:r>
            <w:r w:rsidRPr="00367B52">
              <w:rPr>
                <w:rFonts w:eastAsiaTheme="minorEastAsia"/>
              </w:rPr>
              <w:noBreakHyphen/>
              <w:t>16 financial year, as identified files are finalised, but will not be repeated in 2016</w:t>
            </w:r>
            <w:r w:rsidRPr="00367B52">
              <w:rPr>
                <w:rFonts w:eastAsiaTheme="minorEastAsia"/>
              </w:rPr>
              <w:noBreakHyphen/>
              <w:t>17.</w:t>
            </w:r>
          </w:p>
          <w:p w:rsidR="00E25CC6" w:rsidRPr="00367B52" w:rsidRDefault="00E25CC6" w:rsidP="00522444">
            <w:pPr>
              <w:pStyle w:val="OGNotes"/>
              <w:rPr>
                <w:rFonts w:eastAsiaTheme="minorEastAsia"/>
              </w:rPr>
            </w:pPr>
            <w:r w:rsidRPr="00367B52">
              <w:rPr>
                <w:rFonts w:eastAsiaTheme="minorEastAsia"/>
              </w:rPr>
              <w:t>This was a new m</w:t>
            </w:r>
            <w:r>
              <w:rPr>
                <w:rFonts w:eastAsiaTheme="minorEastAsia"/>
              </w:rPr>
              <w:t>easure in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367B52" w:rsidRDefault="00E25CC6" w:rsidP="00133827">
            <w:pPr>
              <w:pStyle w:val="OGTabText"/>
              <w:keepNext/>
              <w:rPr>
                <w:rFonts w:eastAsiaTheme="minorEastAsia"/>
                <w:lang w:eastAsia="en-AU"/>
              </w:rPr>
            </w:pPr>
            <w:r w:rsidRPr="00367B52">
              <w:rPr>
                <w:rFonts w:eastAsiaTheme="minorEastAsia"/>
                <w:lang w:eastAsia="en-AU"/>
              </w:rPr>
              <w:t>Case clearance rate – Civil matters disposed in the Magistrates</w:t>
            </w:r>
            <w:r>
              <w:rPr>
                <w:rFonts w:eastAsiaTheme="minorEastAsia"/>
                <w:lang w:eastAsia="en-AU"/>
              </w:rPr>
              <w:t>’</w:t>
            </w:r>
            <w:r w:rsidRPr="00367B52">
              <w:rPr>
                <w:rFonts w:eastAsiaTheme="minorEastAsia"/>
                <w:lang w:eastAsia="en-AU"/>
              </w:rPr>
              <w:t xml:space="preserve"> Court</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367B52" w:rsidRDefault="00E25CC6" w:rsidP="003055E2">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 xml:space="preserve">95 </w:t>
            </w:r>
            <w:r w:rsidRPr="00367B52">
              <w:rPr>
                <w:rFonts w:ascii="Calibri" w:eastAsiaTheme="minorEastAsia" w:hAnsi="Calibri" w:cs="Calibri"/>
                <w:sz w:val="19"/>
                <w:szCs w:val="22"/>
                <w:lang w:eastAsia="en-AU"/>
              </w:rPr>
              <w:br/>
              <w:t>(55 000/ 57 750)</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08"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91.0 (54 403/ 59 782)</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calculated as (number of cases disposed</w:t>
            </w:r>
            <w:r>
              <w:rPr>
                <w:rFonts w:eastAsiaTheme="minorEastAsia"/>
              </w:rPr>
              <w:t>/</w:t>
            </w:r>
            <w:r w:rsidRPr="00367B52">
              <w:rPr>
                <w:rFonts w:eastAsiaTheme="minorEastAsia"/>
              </w:rPr>
              <w:t>number of cases initiated).</w:t>
            </w:r>
          </w:p>
          <w:p w:rsidR="00E25CC6" w:rsidRPr="00367B52" w:rsidRDefault="00E25CC6" w:rsidP="0091246E">
            <w:pPr>
              <w:pStyle w:val="OGNotes"/>
              <w:rPr>
                <w:rFonts w:eastAsiaTheme="minorEastAsia"/>
              </w:rPr>
            </w:pPr>
            <w:r w:rsidRPr="00367B52">
              <w:rPr>
                <w:rFonts w:eastAsiaTheme="minorEastAsia"/>
              </w:rPr>
              <w:t>The 2015</w:t>
            </w:r>
            <w:r w:rsidRPr="00367B52">
              <w:rPr>
                <w:rFonts w:eastAsiaTheme="minorEastAsia"/>
              </w:rPr>
              <w:noBreakHyphen/>
              <w:t>16 expected outcome is lower than the 2015</w:t>
            </w:r>
            <w:r w:rsidRPr="00367B52">
              <w:rPr>
                <w:rFonts w:eastAsiaTheme="minorEastAsia"/>
              </w:rPr>
              <w:noBreakHyphen/>
              <w:t>16 estimate due to a significant increase in the number of lodgements in the intervention order stream which has placed increased pressure on the Court resources, impacting clearance rate.</w:t>
            </w:r>
          </w:p>
          <w:p w:rsidR="00E25CC6" w:rsidRPr="00367B52" w:rsidRDefault="00E25CC6" w:rsidP="00522444">
            <w:pPr>
              <w:pStyle w:val="OGNotes"/>
              <w:rPr>
                <w:rFonts w:eastAsiaTheme="minorEastAsia"/>
              </w:rPr>
            </w:pPr>
            <w:r w:rsidRPr="00367B52">
              <w:rPr>
                <w:rFonts w:eastAsiaTheme="minorEastAsia"/>
              </w:rPr>
              <w:t>This was a new measure in 2015</w:t>
            </w:r>
            <w:r>
              <w:rPr>
                <w:rFonts w:eastAsiaTheme="minorEastAsia"/>
              </w:rPr>
              <w:noBreakHyphen/>
            </w:r>
            <w:r w:rsidRPr="00367B52">
              <w:rPr>
                <w:rFonts w:eastAsiaTheme="minorEastAsia"/>
              </w:rPr>
              <w:t>16. T</w:t>
            </w:r>
            <w:r>
              <w:rPr>
                <w:rFonts w:eastAsiaTheme="minorEastAsia"/>
              </w:rPr>
              <w: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Case clearance rate – Family Division matters disposed in the Children</w:t>
            </w:r>
            <w:r>
              <w:rPr>
                <w:rFonts w:eastAsiaTheme="minorEastAsia"/>
                <w:lang w:eastAsia="en-AU"/>
              </w:rPr>
              <w:t>’</w:t>
            </w:r>
            <w:r w:rsidRPr="00367B52">
              <w:rPr>
                <w:rFonts w:eastAsiaTheme="minorEastAsia"/>
                <w:lang w:eastAsia="en-AU"/>
              </w:rPr>
              <w:t>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95</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92</w:t>
            </w:r>
            <w:r w:rsidRPr="00367B52">
              <w:rPr>
                <w:rFonts w:ascii="Calibri" w:eastAsiaTheme="minorEastAsia" w:hAnsi="Calibri" w:cs="Calibri"/>
                <w:sz w:val="19"/>
                <w:szCs w:val="22"/>
                <w:lang w:eastAsia="en-AU"/>
              </w:rPr>
              <w:br/>
              <w:t xml:space="preserve"> (17 703/ 19 242)</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85.2 (15 005/ 17 616)</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w:t>
            </w:r>
            <w:r>
              <w:rPr>
                <w:rFonts w:eastAsiaTheme="minorEastAsia"/>
              </w:rPr>
              <w:t>ed as (number of cases disposed/</w:t>
            </w:r>
            <w:r w:rsidRPr="00367B52">
              <w:rPr>
                <w:rFonts w:eastAsiaTheme="minorEastAsia"/>
              </w:rPr>
              <w:t>number of cases initiated).</w:t>
            </w:r>
          </w:p>
          <w:p w:rsidR="00E25CC6" w:rsidRPr="00367B52" w:rsidRDefault="00E25CC6" w:rsidP="0091246E">
            <w:pPr>
              <w:pStyle w:val="OGNotes"/>
              <w:rPr>
                <w:rFonts w:eastAsiaTheme="minorEastAsia"/>
              </w:rPr>
            </w:pPr>
            <w:r w:rsidRPr="00367B52">
              <w:rPr>
                <w:rFonts w:eastAsiaTheme="minorEastAsia"/>
              </w:rPr>
              <w:t>The 2015</w:t>
            </w:r>
            <w:r w:rsidRPr="00367B52">
              <w:rPr>
                <w:rFonts w:eastAsiaTheme="minorEastAsia"/>
              </w:rPr>
              <w:noBreakHyphen/>
              <w:t>16 expected outcome and the 2016</w:t>
            </w:r>
            <w:r w:rsidRPr="00367B52">
              <w:rPr>
                <w:rFonts w:eastAsiaTheme="minorEastAsia"/>
              </w:rPr>
              <w:noBreakHyphen/>
              <w:t>17 estimate are higher than the 2015</w:t>
            </w:r>
            <w:r w:rsidRPr="00367B52">
              <w:rPr>
                <w:rFonts w:eastAsiaTheme="minorEastAsia"/>
              </w:rPr>
              <w:noBreakHyphen/>
              <w:t>16 estimate due to an audit of completed hearings which has resulted in an increase in the number of applications disposed, where applications are not proceeded with, or not granted by the Children</w:t>
            </w:r>
            <w:r>
              <w:rPr>
                <w:rFonts w:eastAsiaTheme="minorEastAsia"/>
              </w:rPr>
              <w:t>’</w:t>
            </w:r>
            <w:r w:rsidRPr="00367B52">
              <w:rPr>
                <w:rFonts w:eastAsiaTheme="minorEastAsia"/>
              </w:rPr>
              <w:t>s Court.</w:t>
            </w:r>
          </w:p>
          <w:p w:rsidR="00E25CC6" w:rsidRPr="00367B52" w:rsidRDefault="00E25CC6" w:rsidP="005D48D7">
            <w:pPr>
              <w:pStyle w:val="OGNotes"/>
              <w:rPr>
                <w:rFonts w:eastAsiaTheme="minorEastAsia"/>
              </w:rPr>
            </w:pPr>
            <w:r w:rsidRPr="00367B52">
              <w:rPr>
                <w:rFonts w:eastAsiaTheme="minorEastAsia"/>
              </w:rPr>
              <w:t>This was a new m</w:t>
            </w:r>
            <w:r>
              <w:rPr>
                <w:rFonts w:eastAsiaTheme="minorEastAsia"/>
              </w:rPr>
              <w:t>easure in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 This data includes intervention orders as well as primary applications and secondary applications for protection orders.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Case clearance rate – Civil matters disposed in the Victorian Civil and Administrative Tribunal</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102 (85 500/ 84 000)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99 (85 887/ 86 442)</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w:t>
            </w:r>
            <w:r>
              <w:rPr>
                <w:rFonts w:eastAsiaTheme="minorEastAsia"/>
              </w:rPr>
              <w:t>ed as (number of cases disposed/</w:t>
            </w:r>
            <w:r w:rsidRPr="00367B52">
              <w:rPr>
                <w:rFonts w:eastAsiaTheme="minorEastAsia"/>
              </w:rPr>
              <w:t>number of cases initiated).</w:t>
            </w:r>
          </w:p>
          <w:p w:rsidR="00E25CC6" w:rsidRPr="00367B52" w:rsidRDefault="00E25CC6" w:rsidP="0091246E">
            <w:pPr>
              <w:pStyle w:val="OGNotes"/>
              <w:rPr>
                <w:rFonts w:eastAsiaTheme="minorEastAsia"/>
              </w:rPr>
            </w:pPr>
            <w:r w:rsidRPr="00367B52">
              <w:rPr>
                <w:rFonts w:eastAsiaTheme="minorEastAsia"/>
              </w:rPr>
              <w:t>This was a new measure in</w:t>
            </w:r>
            <w:r>
              <w:rPr>
                <w:rFonts w:eastAsiaTheme="minorEastAsia"/>
              </w:rPr>
              <w:t xml:space="preserve">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91246E" w:rsidRDefault="00E25CC6" w:rsidP="0091246E">
            <w:pPr>
              <w:pStyle w:val="OGTabText"/>
              <w:rPr>
                <w:rFonts w:eastAsiaTheme="minorEastAsia"/>
                <w:lang w:eastAsia="en-AU"/>
              </w:rPr>
            </w:pPr>
            <w:r w:rsidRPr="0091246E">
              <w:rPr>
                <w:rFonts w:eastAsiaTheme="minorEastAsia"/>
                <w:lang w:eastAsia="en-AU"/>
              </w:rPr>
              <w:t xml:space="preserve">Case clearance rate </w:t>
            </w:r>
            <w:r>
              <w:rPr>
                <w:rFonts w:eastAsiaTheme="minorEastAsia"/>
                <w:lang w:eastAsia="en-AU"/>
              </w:rPr>
              <w:t>–</w:t>
            </w:r>
            <w:r w:rsidRPr="0091246E">
              <w:rPr>
                <w:rFonts w:eastAsiaTheme="minorEastAsia"/>
                <w:lang w:eastAsia="en-AU"/>
              </w:rPr>
              <w:t xml:space="preserve"> Coronial matters disposed in the Coroners Court</w:t>
            </w:r>
          </w:p>
        </w:tc>
        <w:tc>
          <w:tcPr>
            <w:tcW w:w="907" w:type="dxa"/>
            <w:tcBorders>
              <w:top w:val="nil"/>
              <w:left w:val="nil"/>
              <w:bottom w:val="nil"/>
              <w:right w:val="nil"/>
            </w:tcBorders>
          </w:tcPr>
          <w:p w:rsidR="00E25CC6" w:rsidRPr="0091246E" w:rsidRDefault="00E25CC6" w:rsidP="0091246E">
            <w:pPr>
              <w:autoSpaceDE w:val="0"/>
              <w:autoSpaceDN w:val="0"/>
              <w:adjustRightInd w:val="0"/>
              <w:spacing w:after="0"/>
              <w:jc w:val="center"/>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per cent</w:t>
            </w:r>
          </w:p>
        </w:tc>
        <w:tc>
          <w:tcPr>
            <w:tcW w:w="909" w:type="dxa"/>
            <w:tcBorders>
              <w:top w:val="nil"/>
              <w:left w:val="nil"/>
              <w:bottom w:val="nil"/>
              <w:right w:val="nil"/>
            </w:tcBorders>
            <w:shd w:val="clear" w:color="auto" w:fill="DCDCDC"/>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 xml:space="preserve">102 </w:t>
            </w:r>
            <w:r>
              <w:rPr>
                <w:rFonts w:ascii="Calibri" w:eastAsiaTheme="minorEastAsia" w:hAnsi="Calibri" w:cs="Calibri"/>
                <w:color w:val="000000"/>
                <w:sz w:val="19"/>
                <w:szCs w:val="22"/>
                <w:lang w:eastAsia="en-AU"/>
              </w:rPr>
              <w:br/>
            </w:r>
            <w:r w:rsidRPr="0091246E">
              <w:rPr>
                <w:rFonts w:ascii="Calibri" w:eastAsiaTheme="minorEastAsia" w:hAnsi="Calibri" w:cs="Calibri"/>
                <w:color w:val="000000"/>
                <w:sz w:val="19"/>
                <w:szCs w:val="22"/>
                <w:lang w:eastAsia="en-AU"/>
              </w:rPr>
              <w:t>(6</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500/ 6</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400)</w:t>
            </w:r>
          </w:p>
        </w:tc>
        <w:tc>
          <w:tcPr>
            <w:tcW w:w="907"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108.6 (6</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884/ 6</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336)</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calculated</w:t>
            </w:r>
            <w:r>
              <w:rPr>
                <w:rFonts w:eastAsiaTheme="minorEastAsia"/>
              </w:rPr>
              <w:t xml:space="preserve"> as (number of cases disposed/</w:t>
            </w:r>
            <w:r w:rsidRPr="00367B52">
              <w:rPr>
                <w:rFonts w:eastAsiaTheme="minorEastAsia"/>
              </w:rPr>
              <w:t>number of cases initiated).</w:t>
            </w:r>
          </w:p>
          <w:p w:rsidR="00E25CC6" w:rsidRPr="00367B52" w:rsidRDefault="00E25CC6" w:rsidP="00522444">
            <w:pPr>
              <w:pStyle w:val="OGNotes"/>
              <w:rPr>
                <w:rFonts w:eastAsiaTheme="minorEastAsia"/>
              </w:rPr>
            </w:pPr>
            <w:r w:rsidRPr="00367B52">
              <w:rPr>
                <w:rFonts w:eastAsiaTheme="minorEastAsia"/>
              </w:rPr>
              <w:t>This was a new m</w:t>
            </w:r>
            <w:r>
              <w:rPr>
                <w:rFonts w:eastAsiaTheme="minorEastAsia"/>
              </w:rPr>
              <w:t>easure in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91246E" w:rsidRDefault="00E25CC6" w:rsidP="0091246E">
            <w:pPr>
              <w:pStyle w:val="OGTabText"/>
              <w:rPr>
                <w:rFonts w:eastAsiaTheme="minorEastAsia"/>
                <w:lang w:eastAsia="en-AU"/>
              </w:rPr>
            </w:pPr>
            <w:r w:rsidRPr="0091246E">
              <w:rPr>
                <w:rFonts w:eastAsiaTheme="minorEastAsia"/>
                <w:lang w:eastAsia="en-AU"/>
              </w:rPr>
              <w:t xml:space="preserve">Case clearance rate </w:t>
            </w:r>
            <w:r>
              <w:rPr>
                <w:rFonts w:eastAsiaTheme="minorEastAsia"/>
                <w:lang w:eastAsia="en-AU"/>
              </w:rPr>
              <w:t>–</w:t>
            </w:r>
            <w:r w:rsidRPr="0091246E">
              <w:rPr>
                <w:rFonts w:eastAsiaTheme="minorEastAsia"/>
                <w:lang w:eastAsia="en-AU"/>
              </w:rPr>
              <w:t xml:space="preserve"> Criminal matters disposed in the Supreme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 (440/440)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102 (500/488)</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w:t>
            </w:r>
            <w:r>
              <w:rPr>
                <w:rFonts w:eastAsiaTheme="minorEastAsia"/>
              </w:rPr>
              <w:t>ed as (number of cases disposed/</w:t>
            </w:r>
            <w:r w:rsidRPr="00367B52">
              <w:rPr>
                <w:rFonts w:eastAsiaTheme="minorEastAsia"/>
              </w:rPr>
              <w:t>number of cases initiated).</w:t>
            </w:r>
          </w:p>
          <w:p w:rsidR="00E25CC6" w:rsidRPr="00367B52" w:rsidRDefault="00E25CC6" w:rsidP="00F90140">
            <w:pPr>
              <w:pStyle w:val="OGNotes"/>
              <w:rPr>
                <w:rFonts w:eastAsiaTheme="minorEastAsia"/>
              </w:rPr>
            </w:pPr>
            <w:r w:rsidRPr="00367B52">
              <w:rPr>
                <w:rFonts w:eastAsiaTheme="minorEastAsia"/>
              </w:rPr>
              <w:t>This was a new m</w:t>
            </w:r>
            <w:r>
              <w:rPr>
                <w:rFonts w:eastAsiaTheme="minorEastAsia"/>
              </w:rPr>
              <w:t>easure in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91246E" w:rsidRDefault="00E25CC6" w:rsidP="0091246E">
            <w:pPr>
              <w:pStyle w:val="OGTabText"/>
              <w:rPr>
                <w:rFonts w:eastAsiaTheme="minorEastAsia"/>
                <w:lang w:eastAsia="en-AU"/>
              </w:rPr>
            </w:pPr>
            <w:r w:rsidRPr="0091246E">
              <w:rPr>
                <w:rFonts w:eastAsiaTheme="minorEastAsia"/>
                <w:lang w:eastAsia="en-AU"/>
              </w:rPr>
              <w:t xml:space="preserve">Case clearance rate </w:t>
            </w:r>
            <w:r>
              <w:rPr>
                <w:rFonts w:eastAsiaTheme="minorEastAsia"/>
                <w:lang w:eastAsia="en-AU"/>
              </w:rPr>
              <w:t>–</w:t>
            </w:r>
            <w:r w:rsidRPr="0091246E">
              <w:rPr>
                <w:rFonts w:eastAsiaTheme="minorEastAsia"/>
                <w:lang w:eastAsia="en-AU"/>
              </w:rPr>
              <w:t xml:space="preserve"> Criminal matters disposed in the County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r w:rsidRPr="00367B52">
              <w:rPr>
                <w:rFonts w:ascii="Calibri" w:eastAsiaTheme="minorEastAsia" w:hAnsi="Calibri" w:cs="Calibri"/>
                <w:sz w:val="19"/>
                <w:szCs w:val="22"/>
                <w:lang w:eastAsia="en-AU"/>
              </w:rPr>
              <w:br/>
              <w:t xml:space="preserve"> (4 900/ 4 900)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08" w:type="dxa"/>
            <w:tcBorders>
              <w:top w:val="nil"/>
              <w:left w:val="nil"/>
              <w:bottom w:val="nil"/>
              <w:right w:val="nil"/>
            </w:tcBorders>
          </w:tcPr>
          <w:p w:rsidR="00E25CC6" w:rsidRPr="0091246E" w:rsidRDefault="00E25CC6" w:rsidP="0091246E">
            <w:pPr>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105 (5</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539/ 5</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291)</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w:t>
            </w:r>
            <w:r>
              <w:rPr>
                <w:rFonts w:eastAsiaTheme="minorEastAsia"/>
              </w:rPr>
              <w:t>ed as (number of cases disposed/</w:t>
            </w:r>
            <w:r w:rsidRPr="00367B52">
              <w:rPr>
                <w:rFonts w:eastAsiaTheme="minorEastAsia"/>
              </w:rPr>
              <w:t>number of cases initiated).</w:t>
            </w:r>
          </w:p>
          <w:p w:rsidR="00E25CC6" w:rsidRPr="00367B52" w:rsidRDefault="00E25CC6" w:rsidP="00522444">
            <w:pPr>
              <w:pStyle w:val="OGNotes"/>
              <w:rPr>
                <w:rFonts w:eastAsiaTheme="minorEastAsia"/>
              </w:rPr>
            </w:pPr>
            <w:r w:rsidRPr="00367B52">
              <w:rPr>
                <w:rFonts w:eastAsiaTheme="minorEastAsia"/>
              </w:rPr>
              <w:t>This was a new m</w:t>
            </w:r>
            <w:r>
              <w:rPr>
                <w:rFonts w:eastAsiaTheme="minorEastAsia"/>
              </w:rPr>
              <w:t>easure in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91246E" w:rsidRDefault="00E25CC6" w:rsidP="0091246E">
            <w:pPr>
              <w:pStyle w:val="OGTabText"/>
              <w:keepNext/>
              <w:rPr>
                <w:rFonts w:eastAsiaTheme="minorEastAsia"/>
                <w:lang w:eastAsia="en-AU"/>
              </w:rPr>
            </w:pPr>
            <w:r w:rsidRPr="0091246E">
              <w:rPr>
                <w:rFonts w:eastAsiaTheme="minorEastAsia"/>
                <w:lang w:eastAsia="en-AU"/>
              </w:rPr>
              <w:t xml:space="preserve">Case clearance rate </w:t>
            </w:r>
            <w:r>
              <w:rPr>
                <w:rFonts w:eastAsiaTheme="minorEastAsia"/>
                <w:lang w:eastAsia="en-AU"/>
              </w:rPr>
              <w:t>–</w:t>
            </w:r>
            <w:r w:rsidRPr="0091246E">
              <w:rPr>
                <w:rFonts w:eastAsiaTheme="minorEastAsia"/>
                <w:lang w:eastAsia="en-AU"/>
              </w:rPr>
              <w:t xml:space="preserve"> Criminal matters disposed in the Magistrates</w:t>
            </w:r>
            <w:r>
              <w:rPr>
                <w:rFonts w:eastAsiaTheme="minorEastAsia"/>
                <w:lang w:eastAsia="en-AU"/>
              </w:rPr>
              <w:t>’</w:t>
            </w:r>
            <w:r w:rsidRPr="0091246E">
              <w:rPr>
                <w:rFonts w:eastAsiaTheme="minorEastAsia"/>
                <w:lang w:eastAsia="en-AU"/>
              </w:rPr>
              <w:t xml:space="preserve"> Court</w:t>
            </w:r>
          </w:p>
        </w:tc>
        <w:tc>
          <w:tcPr>
            <w:tcW w:w="907" w:type="dxa"/>
            <w:tcBorders>
              <w:top w:val="nil"/>
              <w:left w:val="nil"/>
              <w:bottom w:val="nil"/>
              <w:right w:val="nil"/>
            </w:tcBorders>
          </w:tcPr>
          <w:p w:rsidR="00E25CC6" w:rsidRPr="0091246E" w:rsidRDefault="00E25CC6" w:rsidP="0091246E">
            <w:pPr>
              <w:keepNext/>
              <w:autoSpaceDE w:val="0"/>
              <w:autoSpaceDN w:val="0"/>
              <w:adjustRightInd w:val="0"/>
              <w:spacing w:after="0"/>
              <w:jc w:val="center"/>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per cent</w:t>
            </w:r>
          </w:p>
        </w:tc>
        <w:tc>
          <w:tcPr>
            <w:tcW w:w="909" w:type="dxa"/>
            <w:tcBorders>
              <w:top w:val="nil"/>
              <w:left w:val="nil"/>
              <w:bottom w:val="nil"/>
              <w:right w:val="nil"/>
            </w:tcBorders>
            <w:shd w:val="clear" w:color="auto" w:fill="DCDCDC"/>
          </w:tcPr>
          <w:p w:rsidR="00E25CC6" w:rsidRPr="0091246E" w:rsidRDefault="00E25CC6" w:rsidP="0091246E">
            <w:pPr>
              <w:keepNext/>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91246E" w:rsidRDefault="00E25CC6" w:rsidP="0091246E">
            <w:pPr>
              <w:keepNext/>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110 (220</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000/ 200</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000)</w:t>
            </w:r>
          </w:p>
        </w:tc>
        <w:tc>
          <w:tcPr>
            <w:tcW w:w="907" w:type="dxa"/>
            <w:tcBorders>
              <w:top w:val="nil"/>
              <w:left w:val="nil"/>
              <w:bottom w:val="nil"/>
              <w:right w:val="nil"/>
            </w:tcBorders>
          </w:tcPr>
          <w:p w:rsidR="00E25CC6" w:rsidRPr="0091246E" w:rsidRDefault="00E25CC6" w:rsidP="0091246E">
            <w:pPr>
              <w:keepNext/>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91246E" w:rsidRDefault="00E25CC6" w:rsidP="0091246E">
            <w:pPr>
              <w:keepNext/>
              <w:autoSpaceDE w:val="0"/>
              <w:autoSpaceDN w:val="0"/>
              <w:adjustRightInd w:val="0"/>
              <w:spacing w:after="0"/>
              <w:jc w:val="right"/>
              <w:rPr>
                <w:rFonts w:ascii="Calibri" w:eastAsiaTheme="minorEastAsia" w:hAnsi="Calibri" w:cs="Calibri"/>
                <w:color w:val="000000"/>
                <w:sz w:val="19"/>
                <w:szCs w:val="22"/>
                <w:lang w:eastAsia="en-AU"/>
              </w:rPr>
            </w:pPr>
            <w:r w:rsidRPr="0091246E">
              <w:rPr>
                <w:rFonts w:ascii="Calibri" w:eastAsiaTheme="minorEastAsia" w:hAnsi="Calibri" w:cs="Calibri"/>
                <w:color w:val="000000"/>
                <w:sz w:val="19"/>
                <w:szCs w:val="22"/>
                <w:lang w:eastAsia="en-AU"/>
              </w:rPr>
              <w:t>111.5 (275</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552/ 247</w:t>
            </w:r>
            <w:r>
              <w:rPr>
                <w:rFonts w:ascii="Calibri" w:eastAsiaTheme="minorEastAsia" w:hAnsi="Calibri" w:cs="Calibri"/>
                <w:color w:val="000000"/>
                <w:sz w:val="19"/>
                <w:szCs w:val="22"/>
                <w:lang w:eastAsia="en-AU"/>
              </w:rPr>
              <w:t> </w:t>
            </w:r>
            <w:r w:rsidRPr="0091246E">
              <w:rPr>
                <w:rFonts w:ascii="Calibri" w:eastAsiaTheme="minorEastAsia" w:hAnsi="Calibri" w:cs="Calibri"/>
                <w:color w:val="000000"/>
                <w:sz w:val="19"/>
                <w:szCs w:val="22"/>
                <w:lang w:eastAsia="en-AU"/>
              </w:rPr>
              <w:t>025)</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w:t>
            </w:r>
            <w:r>
              <w:rPr>
                <w:rFonts w:eastAsiaTheme="minorEastAsia"/>
              </w:rPr>
              <w:t>ed as (number of cases disposed/</w:t>
            </w:r>
            <w:r w:rsidRPr="00367B52">
              <w:rPr>
                <w:rFonts w:eastAsiaTheme="minorEastAsia"/>
              </w:rPr>
              <w:t>number of cases initiated).</w:t>
            </w:r>
          </w:p>
          <w:p w:rsidR="00E25CC6" w:rsidRPr="00367B52" w:rsidRDefault="00E25CC6" w:rsidP="00522444">
            <w:pPr>
              <w:pStyle w:val="OGNotes"/>
              <w:rPr>
                <w:rFonts w:eastAsiaTheme="minorEastAsia"/>
              </w:rPr>
            </w:pPr>
            <w:r w:rsidRPr="00367B52">
              <w:rPr>
                <w:rFonts w:eastAsiaTheme="minorEastAsia"/>
              </w:rPr>
              <w:t>This was a new m</w:t>
            </w:r>
            <w:r>
              <w:rPr>
                <w:rFonts w:eastAsiaTheme="minorEastAsia"/>
              </w:rPr>
              <w:t>easure in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 The 2015</w:t>
            </w:r>
            <w:r w:rsidRPr="00367B52">
              <w:rPr>
                <w:rFonts w:eastAsiaTheme="minorEastAsia"/>
              </w:rPr>
              <w:noBreakHyphen/>
              <w:t>16 expected outcome is higher than the 2015</w:t>
            </w:r>
            <w:r w:rsidRPr="00367B52">
              <w:rPr>
                <w:rFonts w:eastAsiaTheme="minorEastAsia"/>
              </w:rPr>
              <w:noBreakHyphen/>
              <w:t>16 estimate as the Magistrates</w:t>
            </w:r>
            <w:r>
              <w:rPr>
                <w:rFonts w:eastAsiaTheme="minorEastAsia"/>
              </w:rPr>
              <w:t>’</w:t>
            </w:r>
            <w:r w:rsidRPr="00367B52">
              <w:rPr>
                <w:rFonts w:eastAsiaTheme="minorEastAsia"/>
              </w:rPr>
              <w:t xml:space="preserve"> Court has improved processes relating to infringement matters. Multiple infringement matters for a single individual are now consolidated into a single case on lodgement, and finalised as a single matter. This has resulted in an increased clearance rate for 2015</w:t>
            </w:r>
            <w:r w:rsidRPr="00367B52">
              <w:rPr>
                <w:rFonts w:eastAsiaTheme="minorEastAsia"/>
              </w:rPr>
              <w:noBreakHyphen/>
              <w:t>16.</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Case clearance rate – Criminal matters disposed in the Children</w:t>
            </w:r>
            <w:r>
              <w:rPr>
                <w:rFonts w:eastAsiaTheme="minorEastAsia"/>
                <w:lang w:eastAsia="en-AU"/>
              </w:rPr>
              <w:t>’</w:t>
            </w:r>
            <w:r w:rsidRPr="00367B52">
              <w:rPr>
                <w:rFonts w:eastAsiaTheme="minorEastAsia"/>
                <w:lang w:eastAsia="en-AU"/>
              </w:rPr>
              <w:t>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104 (25 966/ 24 967)</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103.3 (21 472/ 20 777)</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case clearance rate is calculat</w:t>
            </w:r>
            <w:r>
              <w:rPr>
                <w:rFonts w:eastAsiaTheme="minorEastAsia"/>
              </w:rPr>
              <w:t>ed as (number of cases disposed/</w:t>
            </w:r>
            <w:r w:rsidRPr="00367B52">
              <w:rPr>
                <w:rFonts w:eastAsiaTheme="minorEastAsia"/>
              </w:rPr>
              <w:t>number of cases initiated).</w:t>
            </w:r>
          </w:p>
          <w:p w:rsidR="00E25CC6" w:rsidRPr="00367B52" w:rsidRDefault="00E25CC6" w:rsidP="00B6409B">
            <w:pPr>
              <w:pStyle w:val="OGNotes"/>
              <w:rPr>
                <w:rFonts w:eastAsiaTheme="minorEastAsia"/>
              </w:rPr>
            </w:pPr>
            <w:r w:rsidRPr="00367B52">
              <w:rPr>
                <w:rFonts w:eastAsiaTheme="minorEastAsia"/>
              </w:rPr>
              <w:t>This was a new m</w:t>
            </w:r>
            <w:r>
              <w:rPr>
                <w:rFonts w:eastAsiaTheme="minorEastAsia"/>
              </w:rPr>
              <w:t>easure in 2015</w:t>
            </w:r>
            <w:r>
              <w:rPr>
                <w:rFonts w:eastAsiaTheme="minorEastAsia"/>
              </w:rPr>
              <w:noBreakHyphen/>
              <w:t>16. The 2014</w:t>
            </w:r>
            <w:r>
              <w:rPr>
                <w:rFonts w:eastAsiaTheme="minorEastAsia"/>
              </w:rPr>
              <w:noBreakHyphen/>
              <w:t>15 a</w:t>
            </w:r>
            <w:r w:rsidRPr="00367B52">
              <w:rPr>
                <w:rFonts w:eastAsiaTheme="minorEastAsia"/>
              </w:rPr>
              <w:t>ctual has been provided from internal data measured by Courts, allowing the inclusion of estimated historical data in budget papers.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autoSpaceDE w:val="0"/>
              <w:autoSpaceDN w:val="0"/>
              <w:adjustRightInd w:val="0"/>
              <w:spacing w:after="0"/>
              <w:ind w:left="227" w:hanging="227"/>
              <w:rPr>
                <w:rFonts w:ascii="Calibri" w:eastAsiaTheme="minorEastAsia" w:hAnsi="Calibri" w:cs="Calibri"/>
                <w:i/>
                <w:iCs/>
                <w:sz w:val="19"/>
                <w:szCs w:val="22"/>
                <w:lang w:eastAsia="en-AU"/>
              </w:rPr>
            </w:pPr>
            <w:r w:rsidRPr="00367B52">
              <w:rPr>
                <w:rFonts w:ascii="Calibri" w:eastAsiaTheme="minorEastAsia" w:hAnsi="Calibri" w:cs="Calibri"/>
                <w:i/>
                <w:iCs/>
                <w:sz w:val="19"/>
                <w:szCs w:val="22"/>
                <w:lang w:eastAsia="en-AU"/>
              </w:rPr>
              <w:t>Quality</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09" w:type="dxa"/>
            <w:tcBorders>
              <w:top w:val="nil"/>
              <w:left w:val="nil"/>
              <w:right w:val="nil"/>
            </w:tcBorders>
            <w:shd w:val="clear" w:color="auto" w:fill="DCDCDC"/>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Court file integrity in the Supreme Court – availability, accuracy and completeness</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This performance measure is proposed to replace the 2015</w:t>
            </w:r>
            <w:r w:rsidRPr="00367B52">
              <w:rPr>
                <w:rFonts w:eastAsiaTheme="minorEastAsia"/>
              </w:rPr>
              <w:noBreakHyphen/>
              <w:t xml:space="preserve">16 performance measure </w:t>
            </w:r>
            <w:r>
              <w:rPr>
                <w:rFonts w:eastAsiaTheme="minorEastAsia"/>
              </w:rPr>
              <w:t>‘</w:t>
            </w:r>
            <w:r w:rsidRPr="00367B52">
              <w:rPr>
                <w:rFonts w:eastAsiaTheme="minorEastAsia"/>
              </w:rPr>
              <w:t>Quality of court registry services in Supreme Court</w:t>
            </w:r>
            <w:r>
              <w:rPr>
                <w:rFonts w:eastAsiaTheme="minorEastAsia"/>
              </w:rPr>
              <w:t>’</w:t>
            </w:r>
            <w:r w:rsidRPr="00367B52">
              <w:rPr>
                <w:rFonts w:eastAsiaTheme="minorEastAsia"/>
              </w:rPr>
              <w:t>. It has been replaced to align with the Global Measures of Court Performance as described in the International Framework for Court Excellence. This performance measure is based on the results of the court file audit against three rigorous criteria – availability, accuracy and completeness.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Court file integrity in the County Court – availability, accuracy and completeness</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This performance measure is proposed to replace the 2015</w:t>
            </w:r>
            <w:r w:rsidRPr="00367B52">
              <w:rPr>
                <w:rFonts w:eastAsiaTheme="minorEastAsia"/>
              </w:rPr>
              <w:noBreakHyphen/>
              <w:t xml:space="preserve">16 performance measure </w:t>
            </w:r>
            <w:r>
              <w:rPr>
                <w:rFonts w:eastAsiaTheme="minorEastAsia"/>
              </w:rPr>
              <w:t>‘</w:t>
            </w:r>
            <w:r w:rsidRPr="00367B52">
              <w:rPr>
                <w:rFonts w:eastAsiaTheme="minorEastAsia"/>
              </w:rPr>
              <w:t>Quality of court registry services in County Court</w:t>
            </w:r>
            <w:r>
              <w:rPr>
                <w:rFonts w:eastAsiaTheme="minorEastAsia"/>
              </w:rPr>
              <w:t>’</w:t>
            </w:r>
            <w:r w:rsidRPr="00367B52">
              <w:rPr>
                <w:rFonts w:eastAsiaTheme="minorEastAsia"/>
              </w:rPr>
              <w:t>. It has been replaced to align with the Global Measures of Court Performance as described in the International Framework for Court Excellence. This performance measure is based on the results of the court file audit against three rigorous criteria – availability, accuracy and completeness.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Court file integrity in the Magistrates</w:t>
            </w:r>
            <w:r>
              <w:rPr>
                <w:rFonts w:eastAsiaTheme="minorEastAsia"/>
                <w:lang w:eastAsia="en-AU"/>
              </w:rPr>
              <w:t>’</w:t>
            </w:r>
            <w:r w:rsidRPr="00367B52">
              <w:rPr>
                <w:rFonts w:eastAsiaTheme="minorEastAsia"/>
                <w:lang w:eastAsia="en-AU"/>
              </w:rPr>
              <w:t xml:space="preserve"> Court – availability, accuracy and completeness</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This performance measure is proposed to replace the 2015</w:t>
            </w:r>
            <w:r w:rsidRPr="00367B52">
              <w:rPr>
                <w:rFonts w:eastAsiaTheme="minorEastAsia"/>
              </w:rPr>
              <w:noBreakHyphen/>
              <w:t xml:space="preserve">16 performance measure </w:t>
            </w:r>
            <w:r>
              <w:rPr>
                <w:rFonts w:eastAsiaTheme="minorEastAsia"/>
              </w:rPr>
              <w:t>‘</w:t>
            </w:r>
            <w:r w:rsidRPr="00367B52">
              <w:rPr>
                <w:rFonts w:eastAsiaTheme="minorEastAsia"/>
              </w:rPr>
              <w:t>Quality of court registry services in Magistrates</w:t>
            </w:r>
            <w:r>
              <w:rPr>
                <w:rFonts w:eastAsiaTheme="minorEastAsia"/>
              </w:rPr>
              <w:t>’</w:t>
            </w:r>
            <w:r w:rsidRPr="00367B52">
              <w:rPr>
                <w:rFonts w:eastAsiaTheme="minorEastAsia"/>
              </w:rPr>
              <w:t xml:space="preserve"> Court</w:t>
            </w:r>
            <w:r>
              <w:rPr>
                <w:rFonts w:eastAsiaTheme="minorEastAsia"/>
              </w:rPr>
              <w:t>’</w:t>
            </w:r>
            <w:r w:rsidRPr="00367B52">
              <w:rPr>
                <w:rFonts w:eastAsiaTheme="minorEastAsia"/>
              </w:rPr>
              <w:t>. It has been replaced to align with the Global Measures of Court Performance as described in the International Framework for Court Excellence. This performance measure is based on the results of the court file audit against three rigorous criteria – availability, accuracy and completeness.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Court file integrity in the Children</w:t>
            </w:r>
            <w:r>
              <w:rPr>
                <w:rFonts w:eastAsiaTheme="minorEastAsia"/>
                <w:lang w:eastAsia="en-AU"/>
              </w:rPr>
              <w:t>’</w:t>
            </w:r>
            <w:r w:rsidRPr="00367B52">
              <w:rPr>
                <w:rFonts w:eastAsiaTheme="minorEastAsia"/>
                <w:lang w:eastAsia="en-AU"/>
              </w:rPr>
              <w:t>s Court – availability, accuracy and completeness</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New performance measure for 2016</w:t>
            </w:r>
            <w:r w:rsidRPr="00367B52">
              <w:rPr>
                <w:rFonts w:eastAsiaTheme="minorEastAsia"/>
              </w:rPr>
              <w:noBreakHyphen/>
              <w:t>17 to align with the Global Measures of Court Performance as described in the International Framework for Court Excellence. This performance measure is based on the results of the court file audit against three rigorous criteria – availability, accuracy and completeness.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keepNext/>
              <w:rPr>
                <w:rFonts w:eastAsiaTheme="minorEastAsia"/>
                <w:lang w:eastAsia="en-AU"/>
              </w:rPr>
            </w:pPr>
            <w:r w:rsidRPr="00367B52">
              <w:rPr>
                <w:rFonts w:eastAsiaTheme="minorEastAsia"/>
                <w:lang w:eastAsia="en-AU"/>
              </w:rPr>
              <w:t>Court file integrity in the Coroners Court – availability, accuracy and completeness</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New performance measure for 2016</w:t>
            </w:r>
            <w:r w:rsidRPr="00367B52">
              <w:rPr>
                <w:rFonts w:eastAsiaTheme="minorEastAsia"/>
              </w:rPr>
              <w:noBreakHyphen/>
              <w:t>17 to align with the Global Measures of Court Performance as described in the International Framework for Court Excellence. This performance measure is based on the results of the court file audit against three rigorous criteria – availability, accuracy and completeness.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Court file integrity in the Victorian Civil and Administrative Tribunal – availability, accuracy and completeness</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nm</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New performance measure for 2016</w:t>
            </w:r>
            <w:r w:rsidRPr="00367B52">
              <w:rPr>
                <w:rFonts w:eastAsiaTheme="minorEastAsia"/>
              </w:rPr>
              <w:noBreakHyphen/>
              <w:t>17 to align with the Global Measures of Court Performance as described in the International Framework for Court Excellence. This performance measure is based on the results of the court file audit against three rigorous criteria – availability, accuracy and completeness.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autoSpaceDE w:val="0"/>
              <w:autoSpaceDN w:val="0"/>
              <w:adjustRightInd w:val="0"/>
              <w:spacing w:after="0"/>
              <w:ind w:left="227" w:hanging="227"/>
              <w:rPr>
                <w:rFonts w:ascii="Calibri" w:eastAsiaTheme="minorEastAsia" w:hAnsi="Calibri" w:cs="Calibri"/>
                <w:i/>
                <w:iCs/>
                <w:sz w:val="19"/>
                <w:szCs w:val="22"/>
                <w:lang w:eastAsia="en-AU"/>
              </w:rPr>
            </w:pPr>
            <w:r w:rsidRPr="00367B52">
              <w:rPr>
                <w:rFonts w:ascii="Calibri" w:eastAsiaTheme="minorEastAsia" w:hAnsi="Calibri" w:cs="Calibri"/>
                <w:i/>
                <w:iCs/>
                <w:sz w:val="19"/>
                <w:szCs w:val="22"/>
                <w:lang w:eastAsia="en-AU"/>
              </w:rPr>
              <w:t>Timeliness</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09" w:type="dxa"/>
            <w:tcBorders>
              <w:top w:val="nil"/>
              <w:left w:val="nil"/>
              <w:right w:val="nil"/>
            </w:tcBorders>
            <w:shd w:val="clear" w:color="auto" w:fill="DCDCDC"/>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rPr>
                <w:rFonts w:ascii="Calibri" w:eastAsiaTheme="minorEastAsia" w:hAnsi="Calibri" w:cs="Calibri"/>
                <w:sz w:val="19"/>
                <w:szCs w:val="22"/>
                <w:lang w:eastAsia="en-AU"/>
              </w:rPr>
            </w:pP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Civil matters resolved or otherwise finalised within established timeframes in the Supreme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94.0</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Supreme Court Civil matters is two years from case lodgement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Civil matters resolved or otherwise finalised within established timeframes in the County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44.0</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County Court Civil matters is two years from case lodgement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Civil matters resolved or otherwise finalised within established timeframes in the Magistrates</w:t>
            </w:r>
            <w:r>
              <w:rPr>
                <w:rFonts w:eastAsiaTheme="minorEastAsia"/>
                <w:lang w:eastAsia="en-AU"/>
              </w:rPr>
              <w:t>’</w:t>
            </w:r>
            <w:r w:rsidRPr="00367B52">
              <w:rPr>
                <w:rFonts w:eastAsiaTheme="minorEastAsia"/>
                <w:lang w:eastAsia="en-AU"/>
              </w:rPr>
              <w:t xml:space="preserv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81.5</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Magistrates</w:t>
            </w:r>
            <w:r>
              <w:rPr>
                <w:rFonts w:eastAsiaTheme="minorEastAsia"/>
              </w:rPr>
              <w:t>’</w:t>
            </w:r>
            <w:r w:rsidRPr="00367B52">
              <w:rPr>
                <w:rFonts w:eastAsiaTheme="minorEastAsia"/>
              </w:rPr>
              <w:t xml:space="preserve"> Court Civil matters is six months from commencement of a matter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Family Division matters resolved or otherwise finalised within established timeframes in the Children</w:t>
            </w:r>
            <w:r>
              <w:rPr>
                <w:rFonts w:eastAsiaTheme="minorEastAsia"/>
                <w:lang w:eastAsia="en-AU"/>
              </w:rPr>
              <w:t>’</w:t>
            </w:r>
            <w:r w:rsidRPr="00367B52">
              <w:rPr>
                <w:rFonts w:eastAsiaTheme="minorEastAsia"/>
                <w:lang w:eastAsia="en-AU"/>
              </w:rPr>
              <w:t>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91.5</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92.7</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Children</w:t>
            </w:r>
            <w:r>
              <w:rPr>
                <w:rFonts w:eastAsiaTheme="minorEastAsia"/>
              </w:rPr>
              <w:t>’</w:t>
            </w:r>
            <w:r w:rsidRPr="00367B52">
              <w:rPr>
                <w:rFonts w:eastAsiaTheme="minorEastAsia"/>
              </w:rPr>
              <w:t>s Court Family Division matters is nine months from case lodgement to finalisation, based on average case complexity and historical benchmarking.</w:t>
            </w:r>
          </w:p>
          <w:p w:rsidR="00E25CC6" w:rsidRPr="00367B52" w:rsidRDefault="00E25CC6" w:rsidP="00C13803">
            <w:pPr>
              <w:pStyle w:val="OGNotes"/>
              <w:rPr>
                <w:rFonts w:eastAsiaTheme="minorEastAsia"/>
              </w:rPr>
            </w:pPr>
            <w:r w:rsidRPr="00367B52">
              <w:t xml:space="preserve">This measure differs from the measure reported in the </w:t>
            </w:r>
            <w:r w:rsidRPr="00F6411F">
              <w:rPr>
                <w:i w:val="0"/>
              </w:rPr>
              <w:t>2014</w:t>
            </w:r>
            <w:r w:rsidRPr="00F6411F">
              <w:rPr>
                <w:i w:val="0"/>
              </w:rPr>
              <w:noBreakHyphen/>
              <w:t>15 Court Services Victoria (CSV) Annual Report</w:t>
            </w:r>
            <w:r w:rsidRPr="00367B52">
              <w:t xml:space="preserve">, which was stated incorrectly as </w:t>
            </w:r>
            <w:r>
              <w:t>‘</w:t>
            </w:r>
            <w:r w:rsidRPr="00367B52">
              <w:t>Family Division matters disposed within agreed timeframes in the Children</w:t>
            </w:r>
            <w:r>
              <w:t>’</w:t>
            </w:r>
            <w:r w:rsidRPr="00367B52">
              <w:t>s Court</w:t>
            </w:r>
            <w:r>
              <w:t>’</w:t>
            </w:r>
            <w:r w:rsidRPr="00367B52">
              <w:t>. The 2014</w:t>
            </w:r>
            <w:r w:rsidRPr="00367B52">
              <w:noBreakHyphen/>
              <w:t>15 actual of 83.7</w:t>
            </w:r>
            <w:r>
              <w:t> </w:t>
            </w:r>
            <w:r w:rsidRPr="00367B52">
              <w:t xml:space="preserve">per cent reported in the </w:t>
            </w:r>
            <w:r w:rsidRPr="00F6411F">
              <w:rPr>
                <w:i w:val="0"/>
              </w:rPr>
              <w:t>2014</w:t>
            </w:r>
            <w:r w:rsidRPr="00F6411F">
              <w:rPr>
                <w:i w:val="0"/>
              </w:rPr>
              <w:noBreakHyphen/>
              <w:t>15 CSV Annual Report</w:t>
            </w:r>
            <w:r w:rsidRPr="00367B52">
              <w:t xml:space="preserve"> was based on the discontinued measure </w:t>
            </w:r>
            <w:r>
              <w:t>‘</w:t>
            </w:r>
            <w:r w:rsidRPr="00367B52">
              <w:t>Child Protection matters disposed within agreed timeframes in the Children</w:t>
            </w:r>
            <w:r>
              <w:t>’</w:t>
            </w:r>
            <w:r w:rsidRPr="00367B52">
              <w:t>s Court</w:t>
            </w:r>
            <w:r>
              <w:t>’</w:t>
            </w:r>
            <w:r w:rsidRPr="00367B52">
              <w:t xml:space="preserve"> which does not include intervention order applications.</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keepN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Civil matters resolved or otherwise finalised within established timeframes in the Victorian Civil and Administrative Tribunal</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08"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91.0</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 xml:space="preserve">The </w:t>
            </w:r>
            <w:r>
              <w:rPr>
                <w:rFonts w:eastAsiaTheme="minorEastAsia"/>
              </w:rPr>
              <w:t xml:space="preserve">higher </w:t>
            </w:r>
            <w:r w:rsidRPr="00367B52">
              <w:rPr>
                <w:rFonts w:eastAsiaTheme="minorEastAsia"/>
              </w:rPr>
              <w:t>2016</w:t>
            </w:r>
            <w:r w:rsidRPr="00367B52">
              <w:rPr>
                <w:rFonts w:eastAsiaTheme="minorEastAsia"/>
              </w:rPr>
              <w:noBreakHyphen/>
              <w:t xml:space="preserve">17 estimate </w:t>
            </w:r>
            <w:r>
              <w:rPr>
                <w:rFonts w:eastAsiaTheme="minorEastAsia"/>
              </w:rPr>
              <w:t>reflects</w:t>
            </w:r>
            <w:r w:rsidRPr="00367B52">
              <w:rPr>
                <w:rFonts w:eastAsiaTheme="minorEastAsia"/>
              </w:rPr>
              <w:t xml:space="preserve"> VCAT</w:t>
            </w:r>
            <w:r>
              <w:rPr>
                <w:rFonts w:eastAsiaTheme="minorEastAsia"/>
              </w:rPr>
              <w:t>’</w:t>
            </w:r>
            <w:r w:rsidRPr="00367B52">
              <w:rPr>
                <w:rFonts w:eastAsiaTheme="minorEastAsia"/>
              </w:rPr>
              <w:t>s investment in services modernisation resulting in streamlined case management processes. This leads to more efficient case disposal.</w:t>
            </w:r>
          </w:p>
          <w:p w:rsidR="00E25CC6" w:rsidRPr="00367B52" w:rsidRDefault="00E25CC6" w:rsidP="0091246E">
            <w:pPr>
              <w:pStyle w:val="OGNotes"/>
              <w:rPr>
                <w:rFonts w:eastAsiaTheme="minorEastAsia"/>
              </w:rPr>
            </w:pPr>
            <w:r w:rsidRPr="00367B52">
              <w:rPr>
                <w:rFonts w:eastAsiaTheme="minorEastAsia"/>
              </w:rPr>
              <w:t>Established timeframe for Victorian Civil and Administrative Tribunal matters is one year from case lodgement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Coronial matters resolved or otherwise finalised within established timeframes in the Coroners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75</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80</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75</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82.3</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The 2015</w:t>
            </w:r>
            <w:r w:rsidRPr="00367B52">
              <w:rPr>
                <w:rFonts w:eastAsiaTheme="minorEastAsia"/>
              </w:rPr>
              <w:noBreakHyphen/>
              <w:t>16 expected outcome is higher than the 2015</w:t>
            </w:r>
            <w:r w:rsidRPr="00367B52">
              <w:rPr>
                <w:rFonts w:eastAsiaTheme="minorEastAsia"/>
              </w:rPr>
              <w:noBreakHyphen/>
              <w:t>16 estimate due to a reprioritising of workloads and processes with closer weekly monitoring to ensure finalisation is completed in a timely</w:t>
            </w:r>
            <w:r>
              <w:rPr>
                <w:rFonts w:eastAsiaTheme="minorEastAsia"/>
              </w:rPr>
              <w:t xml:space="preserve"> manner. The Coroners Court has</w:t>
            </w:r>
            <w:r w:rsidRPr="00367B52">
              <w:rPr>
                <w:rFonts w:eastAsiaTheme="minorEastAsia"/>
              </w:rPr>
              <w:t xml:space="preserve"> also trained other staff to assist with finalisations on an ad</w:t>
            </w:r>
            <w:r w:rsidRPr="00367B52">
              <w:rPr>
                <w:rFonts w:eastAsiaTheme="minorEastAsia"/>
              </w:rPr>
              <w:noBreakHyphen/>
              <w:t>hoc basis. The higher than expected outcome for 2015</w:t>
            </w:r>
            <w:r w:rsidRPr="00367B52">
              <w:rPr>
                <w:rFonts w:eastAsiaTheme="minorEastAsia"/>
              </w:rPr>
              <w:noBreakHyphen/>
              <w:t>16 is not expected to be sustained in 2016</w:t>
            </w:r>
            <w:r w:rsidRPr="00367B52">
              <w:rPr>
                <w:rFonts w:eastAsiaTheme="minorEastAsia"/>
              </w:rPr>
              <w:noBreakHyphen/>
              <w:t>17, due to expected growth in case initiations.</w:t>
            </w:r>
          </w:p>
          <w:p w:rsidR="00E25CC6" w:rsidRPr="00367B52" w:rsidRDefault="00E25CC6" w:rsidP="0091246E">
            <w:pPr>
              <w:pStyle w:val="OGNotes"/>
              <w:rPr>
                <w:rFonts w:eastAsiaTheme="minorEastAsia"/>
              </w:rPr>
            </w:pPr>
            <w:r w:rsidRPr="00367B52">
              <w:rPr>
                <w:rFonts w:eastAsiaTheme="minorEastAsia"/>
              </w:rPr>
              <w:t>Established timeframe for Coronial matters is one year from case lodgement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Criminal matters resolved or otherwise finalised within established timeframes in the Supreme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75</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75</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75</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79.0</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Supreme Court Criminal matters is two years from case lodgement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Criminal matters resolved or otherwise finalised within established timeframes in the County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83.0</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County Court Criminal matters is one year from case lodgement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Criminal matters resolved or otherwise finalised within established timeframes in the Magistrates</w:t>
            </w:r>
            <w:r>
              <w:rPr>
                <w:rFonts w:eastAsiaTheme="minorEastAsia"/>
                <w:lang w:eastAsia="en-AU"/>
              </w:rPr>
              <w:t>’</w:t>
            </w:r>
            <w:r w:rsidRPr="00367B52">
              <w:rPr>
                <w:rFonts w:eastAsiaTheme="minorEastAsia"/>
                <w:lang w:eastAsia="en-AU"/>
              </w:rPr>
              <w:t xml:space="preserve">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85</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89.9</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Magistrates</w:t>
            </w:r>
            <w:r>
              <w:rPr>
                <w:rFonts w:eastAsiaTheme="minorEastAsia"/>
              </w:rPr>
              <w:t>’</w:t>
            </w:r>
            <w:r w:rsidRPr="00367B52">
              <w:rPr>
                <w:rFonts w:eastAsiaTheme="minorEastAsia"/>
              </w:rPr>
              <w:t xml:space="preserve"> Court Criminal matters is six months from first hearing of a case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8D1276">
            <w:pPr>
              <w:pStyle w:val="OGTabText"/>
              <w:rPr>
                <w:rFonts w:eastAsiaTheme="minorEastAsia"/>
                <w:lang w:eastAsia="en-AU"/>
              </w:rPr>
            </w:pPr>
            <w:r w:rsidRPr="00367B52">
              <w:rPr>
                <w:rFonts w:eastAsiaTheme="minorEastAsia"/>
                <w:lang w:eastAsia="en-AU"/>
              </w:rPr>
              <w:t>On</w:t>
            </w:r>
            <w:r w:rsidRPr="00367B52">
              <w:rPr>
                <w:rFonts w:eastAsiaTheme="minorEastAsia"/>
                <w:lang w:eastAsia="en-AU"/>
              </w:rPr>
              <w:noBreakHyphen/>
              <w:t>time case processing – Criminal matters resolved or otherwise finalised within established timeframes in the Children</w:t>
            </w:r>
            <w:r>
              <w:rPr>
                <w:rFonts w:eastAsiaTheme="minorEastAsia"/>
                <w:lang w:eastAsia="en-AU"/>
              </w:rPr>
              <w:t>’</w:t>
            </w:r>
            <w:r w:rsidRPr="00367B52">
              <w:rPr>
                <w:rFonts w:eastAsiaTheme="minorEastAsia"/>
                <w:lang w:eastAsia="en-AU"/>
              </w:rPr>
              <w:t>s Court</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per cent</w:t>
            </w:r>
          </w:p>
        </w:tc>
        <w:tc>
          <w:tcPr>
            <w:tcW w:w="909" w:type="dxa"/>
            <w:tcBorders>
              <w:top w:val="nil"/>
              <w:left w:val="nil"/>
              <w:bottom w:val="nil"/>
              <w:right w:val="nil"/>
            </w:tcBorders>
            <w:shd w:val="clear" w:color="auto" w:fill="DCDCDC"/>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92"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94.5</w:t>
            </w:r>
          </w:p>
        </w:tc>
        <w:tc>
          <w:tcPr>
            <w:tcW w:w="907"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90</w:t>
            </w:r>
          </w:p>
        </w:tc>
        <w:tc>
          <w:tcPr>
            <w:tcW w:w="908" w:type="dxa"/>
            <w:tcBorders>
              <w:top w:val="nil"/>
              <w:left w:val="nil"/>
              <w:bottom w:val="nil"/>
              <w:right w:val="nil"/>
            </w:tcBorders>
          </w:tcPr>
          <w:p w:rsidR="00E25CC6" w:rsidRPr="00367B52" w:rsidRDefault="00E25CC6" w:rsidP="0091246E">
            <w:pPr>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93.7</w:t>
            </w:r>
          </w:p>
        </w:tc>
      </w:tr>
      <w:tr w:rsidR="00E25CC6" w:rsidRPr="0091246E" w:rsidTr="0091246E">
        <w:trPr>
          <w:cantSplit/>
        </w:trPr>
        <w:tc>
          <w:tcPr>
            <w:tcW w:w="7767" w:type="dxa"/>
            <w:gridSpan w:val="6"/>
            <w:tcBorders>
              <w:top w:val="nil"/>
              <w:left w:val="nil"/>
              <w:bottom w:val="single" w:sz="6" w:space="0" w:color="auto"/>
              <w:right w:val="nil"/>
            </w:tcBorders>
          </w:tcPr>
          <w:p w:rsidR="00E25CC6" w:rsidRPr="00367B52" w:rsidRDefault="00E25CC6" w:rsidP="0091246E">
            <w:pPr>
              <w:pStyle w:val="OGNotes"/>
              <w:rPr>
                <w:rFonts w:eastAsiaTheme="minorEastAsia"/>
              </w:rPr>
            </w:pPr>
            <w:r w:rsidRPr="00367B52">
              <w:rPr>
                <w:rFonts w:eastAsiaTheme="minorEastAsia"/>
              </w:rPr>
              <w:t>Established timeframe for Children</w:t>
            </w:r>
            <w:r>
              <w:rPr>
                <w:rFonts w:eastAsiaTheme="minorEastAsia"/>
              </w:rPr>
              <w:t>’</w:t>
            </w:r>
            <w:r w:rsidRPr="00367B52">
              <w:rPr>
                <w:rFonts w:eastAsiaTheme="minorEastAsia"/>
              </w:rPr>
              <w:t>s Court Criminal matters is six months from first hearing of a case to finalisation, based on average case complexity and historical benchmarking.</w:t>
            </w: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keepNext/>
              <w:autoSpaceDE w:val="0"/>
              <w:autoSpaceDN w:val="0"/>
              <w:adjustRightInd w:val="0"/>
              <w:spacing w:after="0"/>
              <w:ind w:left="227"/>
              <w:rPr>
                <w:rFonts w:ascii="Calibri" w:eastAsiaTheme="minorEastAsia" w:hAnsi="Calibri" w:cs="Calibri"/>
                <w:i/>
                <w:iCs/>
                <w:sz w:val="19"/>
                <w:szCs w:val="22"/>
                <w:lang w:eastAsia="en-AU"/>
              </w:rPr>
            </w:pPr>
            <w:r w:rsidRPr="00367B52">
              <w:rPr>
                <w:rFonts w:ascii="Calibri" w:eastAsiaTheme="minorEastAsia" w:hAnsi="Calibri" w:cs="Calibri"/>
                <w:i/>
                <w:iCs/>
                <w:sz w:val="19"/>
                <w:szCs w:val="22"/>
                <w:lang w:eastAsia="en-AU"/>
              </w:rPr>
              <w:t>Cost</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rPr>
                <w:rFonts w:ascii="Calibri" w:eastAsiaTheme="minorEastAsia" w:hAnsi="Calibri" w:cs="Calibri"/>
                <w:sz w:val="19"/>
                <w:szCs w:val="22"/>
                <w:lang w:eastAsia="en-AU"/>
              </w:rPr>
            </w:pPr>
          </w:p>
        </w:tc>
        <w:tc>
          <w:tcPr>
            <w:tcW w:w="909" w:type="dxa"/>
            <w:tcBorders>
              <w:top w:val="nil"/>
              <w:left w:val="nil"/>
              <w:right w:val="nil"/>
            </w:tcBorders>
            <w:shd w:val="clear" w:color="auto" w:fill="DCDCDC"/>
          </w:tcPr>
          <w:p w:rsidR="00E25CC6" w:rsidRPr="00367B52" w:rsidRDefault="00E25CC6" w:rsidP="0091246E">
            <w:pPr>
              <w:keepNext/>
              <w:autoSpaceDE w:val="0"/>
              <w:autoSpaceDN w:val="0"/>
              <w:adjustRightInd w:val="0"/>
              <w:spacing w:after="0"/>
              <w:rPr>
                <w:rFonts w:ascii="Calibri" w:eastAsiaTheme="minorEastAsia" w:hAnsi="Calibri" w:cs="Calibri"/>
                <w:sz w:val="19"/>
                <w:szCs w:val="22"/>
                <w:lang w:eastAsia="en-AU"/>
              </w:rPr>
            </w:pPr>
          </w:p>
        </w:tc>
        <w:tc>
          <w:tcPr>
            <w:tcW w:w="992" w:type="dxa"/>
            <w:tcBorders>
              <w:top w:val="nil"/>
              <w:left w:val="nil"/>
              <w:bottom w:val="nil"/>
              <w:right w:val="nil"/>
            </w:tcBorders>
          </w:tcPr>
          <w:p w:rsidR="00E25CC6" w:rsidRPr="00367B52" w:rsidRDefault="00E25CC6" w:rsidP="0091246E">
            <w:pPr>
              <w:keepNext/>
              <w:autoSpaceDE w:val="0"/>
              <w:autoSpaceDN w:val="0"/>
              <w:adjustRightInd w:val="0"/>
              <w:spacing w:after="0"/>
              <w:rPr>
                <w:rFonts w:ascii="Calibri" w:eastAsiaTheme="minorEastAsia" w:hAnsi="Calibri" w:cs="Calibri"/>
                <w:sz w:val="19"/>
                <w:szCs w:val="22"/>
                <w:lang w:eastAsia="en-AU"/>
              </w:rPr>
            </w:pP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rPr>
                <w:rFonts w:ascii="Calibri" w:eastAsiaTheme="minorEastAsia" w:hAnsi="Calibri" w:cs="Calibri"/>
                <w:sz w:val="19"/>
                <w:szCs w:val="22"/>
                <w:lang w:eastAsia="en-AU"/>
              </w:rPr>
            </w:pPr>
          </w:p>
        </w:tc>
        <w:tc>
          <w:tcPr>
            <w:tcW w:w="908" w:type="dxa"/>
            <w:tcBorders>
              <w:top w:val="nil"/>
              <w:left w:val="nil"/>
              <w:bottom w:val="nil"/>
              <w:right w:val="nil"/>
            </w:tcBorders>
          </w:tcPr>
          <w:p w:rsidR="00E25CC6" w:rsidRPr="00367B52" w:rsidRDefault="00E25CC6" w:rsidP="0091246E">
            <w:pPr>
              <w:keepNext/>
              <w:autoSpaceDE w:val="0"/>
              <w:autoSpaceDN w:val="0"/>
              <w:adjustRightInd w:val="0"/>
              <w:spacing w:after="0"/>
              <w:rPr>
                <w:rFonts w:ascii="Calibri" w:eastAsiaTheme="minorEastAsia" w:hAnsi="Calibri" w:cs="Calibri"/>
                <w:sz w:val="19"/>
                <w:szCs w:val="22"/>
                <w:lang w:eastAsia="en-AU"/>
              </w:rPr>
            </w:pPr>
          </w:p>
        </w:tc>
      </w:tr>
      <w:tr w:rsidR="00E25CC6" w:rsidRPr="0091246E" w:rsidTr="00780A91">
        <w:trPr>
          <w:cantSplit/>
        </w:trPr>
        <w:tc>
          <w:tcPr>
            <w:tcW w:w="3144" w:type="dxa"/>
            <w:tcBorders>
              <w:top w:val="nil"/>
              <w:left w:val="nil"/>
              <w:bottom w:val="nil"/>
              <w:right w:val="nil"/>
            </w:tcBorders>
          </w:tcPr>
          <w:p w:rsidR="00E25CC6" w:rsidRPr="00367B52" w:rsidRDefault="00E25CC6" w:rsidP="0091246E">
            <w:pPr>
              <w:pStyle w:val="OGTabText"/>
              <w:keepNext/>
              <w:rPr>
                <w:rFonts w:eastAsiaTheme="minorEastAsia"/>
                <w:lang w:eastAsia="en-AU"/>
              </w:rPr>
            </w:pPr>
            <w:r w:rsidRPr="00367B52">
              <w:rPr>
                <w:rFonts w:eastAsiaTheme="minorEastAsia"/>
                <w:lang w:eastAsia="en-AU"/>
              </w:rPr>
              <w:t>Total output cost</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center"/>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 million</w:t>
            </w:r>
          </w:p>
        </w:tc>
        <w:tc>
          <w:tcPr>
            <w:tcW w:w="909" w:type="dxa"/>
            <w:tcBorders>
              <w:top w:val="nil"/>
              <w:left w:val="nil"/>
              <w:bottom w:val="nil"/>
              <w:right w:val="nil"/>
            </w:tcBorders>
            <w:shd w:val="clear" w:color="auto" w:fill="DCDCDC"/>
          </w:tcPr>
          <w:p w:rsidR="00E25CC6" w:rsidRPr="00367B52" w:rsidRDefault="00E25CC6" w:rsidP="00133827">
            <w:pPr>
              <w:keepNext/>
              <w:autoSpaceDE w:val="0"/>
              <w:autoSpaceDN w:val="0"/>
              <w:adjustRightInd w:val="0"/>
              <w:spacing w:after="0"/>
              <w:jc w:val="right"/>
              <w:rPr>
                <w:rFonts w:ascii="Calibri" w:eastAsiaTheme="minorEastAsia" w:hAnsi="Calibri" w:cs="Calibri"/>
                <w:strike/>
                <w:sz w:val="19"/>
                <w:szCs w:val="22"/>
                <w:lang w:eastAsia="en-AU"/>
              </w:rPr>
            </w:pPr>
            <w:r w:rsidRPr="00367B52">
              <w:rPr>
                <w:rFonts w:ascii="Calibri" w:eastAsiaTheme="minorEastAsia" w:hAnsi="Calibri" w:cs="Calibri"/>
                <w:sz w:val="19"/>
                <w:szCs w:val="22"/>
                <w:lang w:eastAsia="en-AU"/>
              </w:rPr>
              <w:t>487.0</w:t>
            </w:r>
          </w:p>
        </w:tc>
        <w:tc>
          <w:tcPr>
            <w:tcW w:w="992"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480.4</w:t>
            </w:r>
          </w:p>
        </w:tc>
        <w:tc>
          <w:tcPr>
            <w:tcW w:w="907"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466.1</w:t>
            </w:r>
          </w:p>
        </w:tc>
        <w:tc>
          <w:tcPr>
            <w:tcW w:w="908" w:type="dxa"/>
            <w:tcBorders>
              <w:top w:val="nil"/>
              <w:left w:val="nil"/>
              <w:bottom w:val="nil"/>
              <w:right w:val="nil"/>
            </w:tcBorders>
          </w:tcPr>
          <w:p w:rsidR="00E25CC6" w:rsidRPr="00367B52" w:rsidRDefault="00E25CC6" w:rsidP="0091246E">
            <w:pPr>
              <w:keepNext/>
              <w:autoSpaceDE w:val="0"/>
              <w:autoSpaceDN w:val="0"/>
              <w:adjustRightInd w:val="0"/>
              <w:spacing w:after="0"/>
              <w:jc w:val="right"/>
              <w:rPr>
                <w:rFonts w:ascii="Calibri" w:eastAsiaTheme="minorEastAsia" w:hAnsi="Calibri" w:cs="Calibri"/>
                <w:sz w:val="19"/>
                <w:szCs w:val="22"/>
                <w:lang w:eastAsia="en-AU"/>
              </w:rPr>
            </w:pPr>
            <w:r w:rsidRPr="00367B52">
              <w:rPr>
                <w:rFonts w:ascii="Calibri" w:eastAsiaTheme="minorEastAsia" w:hAnsi="Calibri" w:cs="Calibri"/>
                <w:sz w:val="19"/>
                <w:szCs w:val="22"/>
                <w:lang w:eastAsia="en-AU"/>
              </w:rPr>
              <w:t>441.7</w:t>
            </w:r>
          </w:p>
        </w:tc>
      </w:tr>
      <w:tr w:rsidR="00E25CC6" w:rsidRPr="0091246E" w:rsidTr="0091246E">
        <w:trPr>
          <w:cantSplit/>
        </w:trPr>
        <w:tc>
          <w:tcPr>
            <w:tcW w:w="7767" w:type="dxa"/>
            <w:gridSpan w:val="6"/>
            <w:tcBorders>
              <w:top w:val="nil"/>
              <w:left w:val="nil"/>
              <w:bottom w:val="single" w:sz="12" w:space="0" w:color="auto"/>
              <w:right w:val="nil"/>
            </w:tcBorders>
          </w:tcPr>
          <w:p w:rsidR="00E25CC6" w:rsidRPr="00367B52" w:rsidRDefault="00E25CC6" w:rsidP="0091246E">
            <w:pPr>
              <w:pStyle w:val="OGNotes"/>
              <w:rPr>
                <w:rFonts w:eastAsiaTheme="minorEastAsia"/>
              </w:rPr>
            </w:pPr>
            <w:r w:rsidRPr="00367B52">
              <w:rPr>
                <w:rFonts w:eastAsiaTheme="minorEastAsia"/>
              </w:rPr>
              <w:t>The 2015</w:t>
            </w:r>
            <w:r w:rsidRPr="00367B52">
              <w:rPr>
                <w:rFonts w:eastAsiaTheme="minorEastAsia"/>
              </w:rPr>
              <w:noBreakHyphen/>
              <w:t>16 expected outcome is higher than the 2015</w:t>
            </w:r>
            <w:r w:rsidRPr="00367B52">
              <w:rPr>
                <w:rFonts w:eastAsiaTheme="minorEastAsia"/>
              </w:rPr>
              <w:noBreakHyphen/>
              <w:t>16 estimate primarily due to the budget carried over from 2014</w:t>
            </w:r>
            <w:r w:rsidRPr="00367B52">
              <w:rPr>
                <w:rFonts w:eastAsiaTheme="minorEastAsia"/>
              </w:rPr>
              <w:noBreakHyphen/>
              <w:t xml:space="preserve">15. </w:t>
            </w:r>
          </w:p>
          <w:p w:rsidR="00E25CC6" w:rsidRPr="00367B52" w:rsidRDefault="00E25CC6" w:rsidP="004D213A">
            <w:pPr>
              <w:pStyle w:val="OGNotes"/>
              <w:rPr>
                <w:rFonts w:eastAsiaTheme="minorEastAsia"/>
              </w:rPr>
            </w:pPr>
            <w:r w:rsidRPr="00367B52">
              <w:rPr>
                <w:rFonts w:eastAsiaTheme="minorEastAsia"/>
              </w:rPr>
              <w:t xml:space="preserve">The </w:t>
            </w:r>
            <w:r>
              <w:rPr>
                <w:rFonts w:eastAsiaTheme="minorEastAsia"/>
              </w:rPr>
              <w:t xml:space="preserve">higher </w:t>
            </w:r>
            <w:r w:rsidRPr="00367B52">
              <w:rPr>
                <w:rFonts w:eastAsiaTheme="minorEastAsia"/>
              </w:rPr>
              <w:t>2016</w:t>
            </w:r>
            <w:r w:rsidRPr="00367B52">
              <w:rPr>
                <w:rFonts w:eastAsiaTheme="minorEastAsia"/>
              </w:rPr>
              <w:noBreakHyphen/>
              <w:t xml:space="preserve">17 estimate primarily </w:t>
            </w:r>
            <w:r>
              <w:rPr>
                <w:rFonts w:eastAsiaTheme="minorEastAsia"/>
              </w:rPr>
              <w:t xml:space="preserve">reflects </w:t>
            </w:r>
            <w:r w:rsidRPr="00367B52">
              <w:rPr>
                <w:rFonts w:eastAsiaTheme="minorEastAsia"/>
              </w:rPr>
              <w:t xml:space="preserve">new approved budget initiatives for the </w:t>
            </w:r>
            <w:r w:rsidRPr="004D213A">
              <w:rPr>
                <w:rFonts w:eastAsiaTheme="minorEastAsia"/>
                <w:i w:val="0"/>
              </w:rPr>
              <w:t>2016</w:t>
            </w:r>
            <w:r w:rsidRPr="004D213A">
              <w:rPr>
                <w:rFonts w:eastAsiaTheme="minorEastAsia"/>
                <w:i w:val="0"/>
              </w:rPr>
              <w:noBreakHyphen/>
              <w:t>17 Budget</w:t>
            </w:r>
            <w:r w:rsidRPr="00367B52">
              <w:rPr>
                <w:rFonts w:eastAsiaTheme="minorEastAsia"/>
              </w:rPr>
              <w:t xml:space="preserve"> and budget transfer from the Department of Justice and Regulation to Court Services Victoria for various shared services arrangements (including indexation).</w:t>
            </w:r>
          </w:p>
        </w:tc>
      </w:tr>
    </w:tbl>
    <w:p w:rsidR="00E25CC6" w:rsidRDefault="00E25CC6" w:rsidP="0091246E">
      <w:pPr>
        <w:pStyle w:val="Source"/>
        <w:rPr>
          <w:rFonts w:eastAsiaTheme="minorHAnsi"/>
        </w:rPr>
      </w:pPr>
      <w:r>
        <w:rPr>
          <w:rFonts w:eastAsiaTheme="minorHAnsi"/>
        </w:rPr>
        <w:t>Source: Court Services Victoria</w:t>
      </w:r>
      <w:bookmarkEnd w:id="110"/>
      <w:r>
        <w:rPr>
          <w:rFonts w:eastAsiaTheme="minorHAnsi"/>
        </w:rPr>
        <w:t xml:space="preserve"> </w:t>
      </w:r>
      <w:r>
        <w:rPr>
          <w:rFonts w:eastAsiaTheme="minorHAnsi"/>
        </w:rPr>
        <w:fldChar w:fldCharType="begin"/>
      </w:r>
      <w:r>
        <w:instrText xml:space="preserve"> XE "</w:instrText>
      </w:r>
      <w:r w:rsidRPr="00AB7193">
        <w:instrText>Courts:Court services</w:instrText>
      </w:r>
      <w:r>
        <w:instrText xml:space="preserve">" \r "Courts_Svces" </w:instrText>
      </w:r>
      <w:r>
        <w:rPr>
          <w:rFonts w:eastAsiaTheme="minorHAnsi"/>
        </w:rPr>
        <w:fldChar w:fldCharType="end"/>
      </w:r>
      <w:r>
        <w:rPr>
          <w:rFonts w:eastAsiaTheme="minorHAnsi"/>
        </w:rPr>
        <w:t xml:space="preserve"> </w:t>
      </w:r>
    </w:p>
    <w:p w:rsidR="00E25CC6" w:rsidRDefault="00E25CC6">
      <w:pPr>
        <w:spacing w:after="0"/>
        <w:rPr>
          <w:rFonts w:eastAsiaTheme="minorHAnsi"/>
        </w:rPr>
      </w:pPr>
    </w:p>
    <w:p w:rsidR="00E25CC6" w:rsidRDefault="00E25CC6" w:rsidP="00DD165F">
      <w:pPr>
        <w:rPr>
          <w:rFonts w:eastAsiaTheme="minorHAnsi"/>
        </w:rPr>
      </w:pPr>
    </w:p>
    <w:p w:rsidR="00E25CC6" w:rsidRDefault="00E25CC6" w:rsidP="00243370">
      <w:pPr>
        <w:rPr>
          <w:rFonts w:eastAsiaTheme="minorHAnsi"/>
        </w:rPr>
        <w:sectPr w:rsidR="00E25CC6" w:rsidSect="00E25CC6">
          <w:footerReference w:type="even" r:id="rId45"/>
          <w:footerReference w:type="default" r:id="rId46"/>
          <w:pgSz w:w="9979" w:h="14181" w:code="138"/>
          <w:pgMar w:top="1140" w:right="1140" w:bottom="1140" w:left="1140" w:header="720" w:footer="431" w:gutter="0"/>
          <w:cols w:space="708"/>
          <w:docGrid w:linePitch="360"/>
        </w:sectPr>
      </w:pPr>
    </w:p>
    <w:p w:rsidR="00E25CC6" w:rsidRDefault="00E25CC6" w:rsidP="00062624">
      <w:pPr>
        <w:pStyle w:val="ChapterHeading"/>
      </w:pPr>
      <w:bookmarkStart w:id="111" w:name="_Toc449109447"/>
      <w:r>
        <w:t xml:space="preserve">Appendix A – </w:t>
      </w:r>
      <w:r w:rsidRPr="00776C77">
        <w:t xml:space="preserve">Output performance measures for review by </w:t>
      </w:r>
      <w:r>
        <w:t>the Public Accounts and Estimates Committee</w:t>
      </w:r>
      <w:bookmarkEnd w:id="111"/>
    </w:p>
    <w:p w:rsidR="00E25CC6" w:rsidRPr="00D1103D" w:rsidRDefault="00E25CC6" w:rsidP="008B169C">
      <w:r w:rsidRPr="00D1103D">
        <w:t>This appendix provides details of performance measures that departments have either prop</w:t>
      </w:r>
      <w:r>
        <w:t>osed to be discontinued for 2016</w:t>
      </w:r>
      <w:r w:rsidRPr="00D1103D">
        <w:noBreakHyphen/>
        <w:t>1</w:t>
      </w:r>
      <w:r>
        <w:t>7</w:t>
      </w:r>
      <w:r w:rsidRPr="00D1103D">
        <w:t>, or have substantially changed from the previous year.</w:t>
      </w:r>
    </w:p>
    <w:p w:rsidR="00E25CC6" w:rsidRPr="00D1103D" w:rsidRDefault="00E25CC6" w:rsidP="008B169C">
      <w:r w:rsidRPr="00D1103D">
        <w:t>Performance measures can be discontinued because a program has ceased, milestones have been met, or improved measures have been identified. Measures may change substantially due to machinery of government changes, a shift in focus of the service, development of improved measures, or new data sets which can collect different information.</w:t>
      </w:r>
    </w:p>
    <w:p w:rsidR="00E25CC6" w:rsidRPr="00D1103D" w:rsidRDefault="00E25CC6" w:rsidP="008B169C">
      <w:r w:rsidRPr="00D1103D">
        <w:t>Each performance measure is accompanied by an explanatory footnote providing reasons for its discontinuation or change, except where there have been universal changes to outputs. Changes at an output level, affecting related performance measures, require one overarching footnote.</w:t>
      </w:r>
    </w:p>
    <w:p w:rsidR="00E25CC6" w:rsidRPr="00D1103D" w:rsidRDefault="00E25CC6" w:rsidP="008B169C">
      <w:r w:rsidRPr="00D1103D">
        <w:t>Performance measures are assessed annually by the Public Accounts and Estimates Committee for their continuing relevance and robustness. Amendments to performance measures listed in this appendix will be presented on the Government</w:t>
      </w:r>
      <w:r>
        <w:t>’</w:t>
      </w:r>
      <w:r w:rsidRPr="00D1103D">
        <w:t xml:space="preserve">s budget website </w:t>
      </w:r>
      <w:r w:rsidRPr="007A3BD7">
        <w:t>www.dtf.vic.gov.au/State</w:t>
      </w:r>
      <w:r w:rsidRPr="007A3BD7">
        <w:noBreakHyphen/>
        <w:t>Budget</w:t>
      </w:r>
      <w:r w:rsidRPr="00D1103D">
        <w:t xml:space="preserve"> and changes will take effect from 201</w:t>
      </w:r>
      <w:r>
        <w:t>6</w:t>
      </w:r>
      <w:r w:rsidRPr="00D1103D">
        <w:noBreakHyphen/>
        <w:t>1</w:t>
      </w:r>
      <w:r>
        <w:t>7</w:t>
      </w:r>
      <w:r w:rsidRPr="00D1103D">
        <w:t>.</w:t>
      </w:r>
    </w:p>
    <w:p w:rsidR="00E25CC6" w:rsidRDefault="00E25CC6" w:rsidP="007A3BD7">
      <w:pPr>
        <w:spacing w:after="0"/>
      </w:pPr>
      <w:r w:rsidRPr="00D1103D">
        <w:t xml:space="preserve">If a measure listed in this </w:t>
      </w:r>
      <w:r>
        <w:t>appendix is continued, a 2016</w:t>
      </w:r>
      <w:r>
        <w:noBreakHyphen/>
        <w:t>17</w:t>
      </w:r>
      <w:r w:rsidRPr="00D1103D">
        <w:t xml:space="preserve"> target has been identified to ensure continuity of reporting and transparency in the publication of performance information</w:t>
      </w:r>
      <w:r>
        <w:t>.</w:t>
      </w:r>
    </w:p>
    <w:p w:rsidR="00E25CC6" w:rsidRDefault="00E25CC6">
      <w:pPr>
        <w:spacing w:after="0"/>
      </w:pPr>
      <w:r>
        <w:br w:type="page"/>
      </w:r>
    </w:p>
    <w:p w:rsidR="00E25CC6" w:rsidRDefault="00E25CC6" w:rsidP="0045210A">
      <w:pPr>
        <w:pStyle w:val="Heading1"/>
        <w:rPr>
          <w:rFonts w:eastAsiaTheme="minorHAnsi"/>
        </w:rPr>
      </w:pPr>
      <w:bookmarkStart w:id="112" w:name="_Toc449109448"/>
      <w:r>
        <w:rPr>
          <w:rFonts w:eastAsiaTheme="minorHAnsi"/>
        </w:rPr>
        <w:t>Department of Economic Development, Jobs, Transport and Resources</w:t>
      </w:r>
      <w:bookmarkEnd w:id="112"/>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0000FB" w:rsidTr="00A959A3">
        <w:trPr>
          <w:cantSplit/>
          <w:tblHeader/>
        </w:trPr>
        <w:tc>
          <w:tcPr>
            <w:tcW w:w="3146" w:type="dxa"/>
            <w:tcBorders>
              <w:top w:val="nil"/>
              <w:left w:val="nil"/>
              <w:right w:val="nil"/>
            </w:tcBorders>
            <w:shd w:val="solid" w:color="000000" w:fill="auto"/>
            <w:vAlign w:val="bottom"/>
          </w:tcPr>
          <w:p w:rsidR="00E25CC6" w:rsidRPr="000000FB" w:rsidRDefault="00E25CC6" w:rsidP="000000FB">
            <w:pPr>
              <w:autoSpaceDE w:val="0"/>
              <w:autoSpaceDN w:val="0"/>
              <w:adjustRightInd w:val="0"/>
              <w:spacing w:after="0"/>
              <w:rPr>
                <w:rFonts w:ascii="Calibri" w:hAnsi="Calibri" w:cs="Calibri"/>
                <w:i/>
                <w:iCs/>
                <w:color w:val="FFFFFF"/>
                <w:sz w:val="19"/>
                <w:szCs w:val="22"/>
                <w:lang w:eastAsia="en-AU"/>
              </w:rPr>
            </w:pPr>
            <w:r w:rsidRPr="000000FB">
              <w:rPr>
                <w:rFonts w:ascii="Calibri" w:hAnsi="Calibri" w:cs="Calibri"/>
                <w:b/>
                <w:bCs/>
                <w:color w:val="FFFFFF"/>
                <w:sz w:val="19"/>
                <w:szCs w:val="22"/>
                <w:lang w:eastAsia="en-AU"/>
              </w:rPr>
              <w:t>Major outputs/deliverables</w:t>
            </w:r>
          </w:p>
          <w:p w:rsidR="00E25CC6" w:rsidRPr="000000FB" w:rsidRDefault="00E25CC6" w:rsidP="000000FB">
            <w:pPr>
              <w:autoSpaceDE w:val="0"/>
              <w:autoSpaceDN w:val="0"/>
              <w:adjustRightInd w:val="0"/>
              <w:spacing w:after="0"/>
              <w:rPr>
                <w:rFonts w:ascii="Calibri" w:hAnsi="Calibri" w:cs="Calibri"/>
                <w:i/>
                <w:iCs/>
                <w:color w:val="FFFFFF"/>
                <w:sz w:val="19"/>
                <w:szCs w:val="22"/>
                <w:lang w:eastAsia="en-AU"/>
              </w:rPr>
            </w:pPr>
            <w:r w:rsidRPr="000000FB">
              <w:rPr>
                <w:rFonts w:ascii="Calibri" w:hAnsi="Calibri" w:cs="Calibri"/>
                <w:i/>
                <w:iCs/>
                <w:color w:val="FFFFFF"/>
                <w:sz w:val="19"/>
                <w:szCs w:val="22"/>
                <w:lang w:eastAsia="en-AU"/>
              </w:rPr>
              <w:t>Performance measures</w:t>
            </w:r>
          </w:p>
        </w:tc>
        <w:tc>
          <w:tcPr>
            <w:tcW w:w="907" w:type="dxa"/>
            <w:tcBorders>
              <w:top w:val="nil"/>
              <w:left w:val="nil"/>
              <w:right w:val="nil"/>
            </w:tcBorders>
            <w:shd w:val="solid" w:color="000000" w:fill="auto"/>
            <w:vAlign w:val="bottom"/>
          </w:tcPr>
          <w:p w:rsidR="00E25CC6" w:rsidRPr="000000FB" w:rsidRDefault="00E25CC6" w:rsidP="000000FB">
            <w:pPr>
              <w:autoSpaceDE w:val="0"/>
              <w:autoSpaceDN w:val="0"/>
              <w:adjustRightInd w:val="0"/>
              <w:spacing w:after="0"/>
              <w:jc w:val="center"/>
              <w:rPr>
                <w:rFonts w:ascii="Calibri" w:hAnsi="Calibri" w:cs="Calibri"/>
                <w:i/>
                <w:iCs/>
                <w:color w:val="FFFFFF"/>
                <w:sz w:val="19"/>
                <w:szCs w:val="22"/>
                <w:lang w:eastAsia="en-AU"/>
              </w:rPr>
            </w:pPr>
            <w:r w:rsidRPr="000000FB">
              <w:rPr>
                <w:rFonts w:ascii="Calibri" w:hAnsi="Calibri" w:cs="Calibri"/>
                <w:i/>
                <w:iCs/>
                <w:color w:val="FFFFFF"/>
                <w:sz w:val="19"/>
                <w:szCs w:val="22"/>
                <w:lang w:eastAsia="en-AU"/>
              </w:rPr>
              <w:t>Unit of measure</w:t>
            </w:r>
          </w:p>
        </w:tc>
        <w:tc>
          <w:tcPr>
            <w:tcW w:w="907" w:type="dxa"/>
            <w:tcBorders>
              <w:top w:val="nil"/>
              <w:left w:val="nil"/>
              <w:right w:val="nil"/>
            </w:tcBorders>
            <w:shd w:val="solid" w:color="000000" w:fill="auto"/>
            <w:vAlign w:val="bottom"/>
          </w:tcPr>
          <w:p w:rsidR="00E25CC6" w:rsidRPr="000000FB" w:rsidRDefault="00E25CC6" w:rsidP="000000FB">
            <w:pPr>
              <w:autoSpaceDE w:val="0"/>
              <w:autoSpaceDN w:val="0"/>
              <w:adjustRightInd w:val="0"/>
              <w:spacing w:after="0"/>
              <w:jc w:val="right"/>
              <w:rPr>
                <w:rFonts w:ascii="Calibri" w:hAnsi="Calibri" w:cs="Calibri"/>
                <w:i/>
                <w:iCs/>
                <w:color w:val="FFFFFF"/>
                <w:sz w:val="19"/>
                <w:szCs w:val="22"/>
                <w:lang w:eastAsia="en-AU"/>
              </w:rPr>
            </w:pPr>
            <w:r w:rsidRPr="000000FB">
              <w:rPr>
                <w:rFonts w:ascii="Calibri" w:hAnsi="Calibri" w:cs="Calibri"/>
                <w:i/>
                <w:iCs/>
                <w:color w:val="FFFFFF"/>
                <w:sz w:val="19"/>
                <w:szCs w:val="22"/>
                <w:lang w:eastAsia="en-AU"/>
              </w:rPr>
              <w:t>2016</w:t>
            </w:r>
            <w:r w:rsidRPr="00255F85">
              <w:rPr>
                <w:rFonts w:ascii="Calibri" w:hAnsi="Calibri" w:cs="Calibri"/>
                <w:i/>
                <w:iCs/>
                <w:color w:val="FFFFFF"/>
                <w:sz w:val="19"/>
                <w:szCs w:val="22"/>
                <w:lang w:eastAsia="en-AU"/>
              </w:rPr>
              <w:noBreakHyphen/>
            </w:r>
            <w:r w:rsidRPr="000000FB">
              <w:rPr>
                <w:rFonts w:ascii="Calibri" w:hAnsi="Calibri" w:cs="Calibri"/>
                <w:i/>
                <w:iCs/>
                <w:color w:val="FFFFFF"/>
                <w:sz w:val="19"/>
                <w:szCs w:val="22"/>
                <w:lang w:eastAsia="en-AU"/>
              </w:rPr>
              <w:t>17 target</w:t>
            </w:r>
          </w:p>
        </w:tc>
        <w:tc>
          <w:tcPr>
            <w:tcW w:w="992" w:type="dxa"/>
            <w:tcBorders>
              <w:top w:val="nil"/>
              <w:left w:val="nil"/>
              <w:right w:val="nil"/>
            </w:tcBorders>
            <w:shd w:val="solid" w:color="000000" w:fill="auto"/>
            <w:vAlign w:val="bottom"/>
          </w:tcPr>
          <w:p w:rsidR="00E25CC6" w:rsidRPr="000000FB" w:rsidRDefault="00E25CC6" w:rsidP="000000FB">
            <w:pPr>
              <w:autoSpaceDE w:val="0"/>
              <w:autoSpaceDN w:val="0"/>
              <w:adjustRightInd w:val="0"/>
              <w:spacing w:after="0"/>
              <w:jc w:val="right"/>
              <w:rPr>
                <w:rFonts w:ascii="Calibri" w:hAnsi="Calibri" w:cs="Calibri"/>
                <w:i/>
                <w:iCs/>
                <w:color w:val="FFFFFF"/>
                <w:sz w:val="19"/>
                <w:szCs w:val="22"/>
                <w:lang w:eastAsia="en-AU"/>
              </w:rPr>
            </w:pPr>
            <w:r w:rsidRPr="000000FB">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0000FB">
              <w:rPr>
                <w:rFonts w:ascii="Calibri" w:hAnsi="Calibri" w:cs="Calibri"/>
                <w:i/>
                <w:iCs/>
                <w:color w:val="FFFFFF"/>
                <w:sz w:val="19"/>
                <w:szCs w:val="22"/>
                <w:lang w:eastAsia="en-AU"/>
              </w:rPr>
              <w:t>16 expected outcome</w:t>
            </w:r>
          </w:p>
        </w:tc>
        <w:tc>
          <w:tcPr>
            <w:tcW w:w="907" w:type="dxa"/>
            <w:tcBorders>
              <w:top w:val="nil"/>
              <w:left w:val="nil"/>
              <w:right w:val="nil"/>
            </w:tcBorders>
            <w:shd w:val="solid" w:color="000000" w:fill="auto"/>
            <w:vAlign w:val="bottom"/>
          </w:tcPr>
          <w:p w:rsidR="00E25CC6" w:rsidRPr="000000FB" w:rsidRDefault="00E25CC6" w:rsidP="000000FB">
            <w:pPr>
              <w:autoSpaceDE w:val="0"/>
              <w:autoSpaceDN w:val="0"/>
              <w:adjustRightInd w:val="0"/>
              <w:spacing w:after="0"/>
              <w:jc w:val="right"/>
              <w:rPr>
                <w:rFonts w:ascii="Calibri" w:hAnsi="Calibri" w:cs="Calibri"/>
                <w:i/>
                <w:iCs/>
                <w:color w:val="FFFFFF"/>
                <w:sz w:val="19"/>
                <w:szCs w:val="22"/>
                <w:lang w:eastAsia="en-AU"/>
              </w:rPr>
            </w:pPr>
            <w:r w:rsidRPr="000000FB">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0000FB">
              <w:rPr>
                <w:rFonts w:ascii="Calibri" w:hAnsi="Calibri" w:cs="Calibri"/>
                <w:i/>
                <w:iCs/>
                <w:color w:val="FFFFFF"/>
                <w:sz w:val="19"/>
                <w:szCs w:val="22"/>
                <w:lang w:eastAsia="en-AU"/>
              </w:rPr>
              <w:t>16 target</w:t>
            </w:r>
          </w:p>
        </w:tc>
        <w:tc>
          <w:tcPr>
            <w:tcW w:w="908" w:type="dxa"/>
            <w:tcBorders>
              <w:top w:val="nil"/>
              <w:left w:val="nil"/>
              <w:right w:val="nil"/>
            </w:tcBorders>
            <w:shd w:val="solid" w:color="000000" w:fill="auto"/>
            <w:vAlign w:val="bottom"/>
          </w:tcPr>
          <w:p w:rsidR="00E25CC6" w:rsidRPr="000000FB" w:rsidRDefault="00E25CC6" w:rsidP="000000FB">
            <w:pPr>
              <w:autoSpaceDE w:val="0"/>
              <w:autoSpaceDN w:val="0"/>
              <w:adjustRightInd w:val="0"/>
              <w:spacing w:after="0"/>
              <w:jc w:val="right"/>
              <w:rPr>
                <w:rFonts w:ascii="Calibri" w:hAnsi="Calibri" w:cs="Calibri"/>
                <w:i/>
                <w:iCs/>
                <w:color w:val="FFFFFF"/>
                <w:sz w:val="19"/>
                <w:szCs w:val="22"/>
                <w:lang w:eastAsia="en-AU"/>
              </w:rPr>
            </w:pPr>
            <w:r w:rsidRPr="000000FB">
              <w:rPr>
                <w:rFonts w:ascii="Calibri" w:hAnsi="Calibri" w:cs="Calibri"/>
                <w:i/>
                <w:iCs/>
                <w:color w:val="FFFFFF"/>
                <w:sz w:val="19"/>
                <w:szCs w:val="22"/>
                <w:lang w:eastAsia="en-AU"/>
              </w:rPr>
              <w:t>2014</w:t>
            </w:r>
            <w:r w:rsidRPr="00255F85">
              <w:rPr>
                <w:rFonts w:ascii="Calibri" w:hAnsi="Calibri" w:cs="Calibri"/>
                <w:i/>
                <w:iCs/>
                <w:color w:val="FFFFFF"/>
                <w:sz w:val="19"/>
                <w:szCs w:val="22"/>
                <w:lang w:eastAsia="en-AU"/>
              </w:rPr>
              <w:noBreakHyphen/>
            </w:r>
            <w:r w:rsidRPr="000000FB">
              <w:rPr>
                <w:rFonts w:ascii="Calibri" w:hAnsi="Calibri" w:cs="Calibri"/>
                <w:i/>
                <w:iCs/>
                <w:color w:val="FFFFFF"/>
                <w:sz w:val="19"/>
                <w:szCs w:val="22"/>
                <w:lang w:eastAsia="en-AU"/>
              </w:rPr>
              <w:t>15 actual</w:t>
            </w:r>
          </w:p>
        </w:tc>
      </w:tr>
      <w:tr w:rsidR="00E25CC6" w:rsidRPr="00D2618F" w:rsidTr="00A959A3">
        <w:trPr>
          <w:cantSplit/>
        </w:trPr>
        <w:tc>
          <w:tcPr>
            <w:tcW w:w="7767" w:type="dxa"/>
            <w:gridSpan w:val="6"/>
            <w:tcBorders>
              <w:left w:val="nil"/>
              <w:bottom w:val="single" w:sz="6" w:space="0" w:color="auto"/>
              <w:right w:val="nil"/>
            </w:tcBorders>
          </w:tcPr>
          <w:p w:rsidR="00E25CC6" w:rsidRPr="00D2618F" w:rsidRDefault="00E25CC6" w:rsidP="00AF58D1">
            <w:pPr>
              <w:pStyle w:val="OGHeading2"/>
              <w:rPr>
                <w:lang w:eastAsia="en-AU"/>
              </w:rPr>
            </w:pPr>
            <w:r w:rsidRPr="00D2618F">
              <w:rPr>
                <w:lang w:eastAsia="en-AU"/>
              </w:rPr>
              <w:t xml:space="preserve">Access, Industry Development and Innovation </w:t>
            </w:r>
          </w:p>
        </w:tc>
      </w:tr>
      <w:tr w:rsidR="00E25CC6" w:rsidRPr="00D2618F" w:rsidTr="00A959A3">
        <w:trPr>
          <w:cantSplit/>
        </w:trPr>
        <w:tc>
          <w:tcPr>
            <w:tcW w:w="3146" w:type="dxa"/>
            <w:tcBorders>
              <w:top w:val="single" w:sz="6" w:space="0" w:color="auto"/>
              <w:left w:val="nil"/>
              <w:bottom w:val="nil"/>
              <w:right w:val="nil"/>
            </w:tcBorders>
          </w:tcPr>
          <w:p w:rsidR="00E25CC6" w:rsidRPr="00D2618F" w:rsidRDefault="00E25CC6" w:rsidP="00AF58D1">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ED6231">
        <w:trPr>
          <w:cantSplit/>
        </w:trPr>
        <w:tc>
          <w:tcPr>
            <w:tcW w:w="3146" w:type="dxa"/>
            <w:tcBorders>
              <w:top w:val="nil"/>
              <w:left w:val="nil"/>
              <w:right w:val="nil"/>
            </w:tcBorders>
          </w:tcPr>
          <w:p w:rsidR="00E25CC6" w:rsidRPr="00D2618F" w:rsidRDefault="00E25CC6" w:rsidP="00AF58D1">
            <w:pPr>
              <w:pStyle w:val="OGTabText"/>
              <w:rPr>
                <w:lang w:eastAsia="en-AU"/>
              </w:rPr>
            </w:pPr>
            <w:r w:rsidRPr="00D2618F">
              <w:rPr>
                <w:lang w:eastAsia="en-AU"/>
              </w:rPr>
              <w:t>Planning and research projects</w:t>
            </w:r>
          </w:p>
        </w:tc>
        <w:tc>
          <w:tcPr>
            <w:tcW w:w="907" w:type="dxa"/>
            <w:tcBorders>
              <w:top w:val="nil"/>
              <w:left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13</w:t>
            </w:r>
          </w:p>
        </w:tc>
        <w:tc>
          <w:tcPr>
            <w:tcW w:w="992"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13</w:t>
            </w:r>
          </w:p>
        </w:tc>
        <w:tc>
          <w:tcPr>
            <w:tcW w:w="907"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13</w:t>
            </w:r>
          </w:p>
        </w:tc>
        <w:tc>
          <w:tcPr>
            <w:tcW w:w="908"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13</w:t>
            </w:r>
          </w:p>
        </w:tc>
      </w:tr>
      <w:tr w:rsidR="00E25CC6" w:rsidRPr="00D2618F" w:rsidTr="00A959A3">
        <w:trPr>
          <w:cantSplit/>
        </w:trPr>
        <w:tc>
          <w:tcPr>
            <w:tcW w:w="7767" w:type="dxa"/>
            <w:gridSpan w:val="6"/>
            <w:tcBorders>
              <w:top w:val="nil"/>
              <w:left w:val="nil"/>
              <w:bottom w:val="single" w:sz="6" w:space="0" w:color="auto"/>
              <w:right w:val="nil"/>
            </w:tcBorders>
          </w:tcPr>
          <w:p w:rsidR="00E25CC6" w:rsidRPr="00D2618F" w:rsidRDefault="00E25CC6" w:rsidP="00AF58D1">
            <w:pPr>
              <w:pStyle w:val="OGNotes"/>
            </w:pPr>
            <w:r w:rsidRPr="00D2618F">
              <w:t xml:space="preserve">This performance measure is proposed to be discontinued as it is an operational activity that does not measure service delivery and is not a challenging performance measure. </w:t>
            </w:r>
          </w:p>
        </w:tc>
      </w:tr>
      <w:tr w:rsidR="00E25CC6" w:rsidRPr="00D2618F" w:rsidTr="00A959A3">
        <w:trPr>
          <w:cantSplit/>
        </w:trPr>
        <w:tc>
          <w:tcPr>
            <w:tcW w:w="7767" w:type="dxa"/>
            <w:gridSpan w:val="6"/>
            <w:tcBorders>
              <w:top w:val="single" w:sz="6" w:space="0" w:color="auto"/>
              <w:left w:val="nil"/>
              <w:bottom w:val="single" w:sz="6" w:space="0" w:color="auto"/>
              <w:right w:val="nil"/>
            </w:tcBorders>
          </w:tcPr>
          <w:p w:rsidR="00E25CC6" w:rsidRPr="00D2618F" w:rsidRDefault="00E25CC6" w:rsidP="00AF58D1">
            <w:pPr>
              <w:pStyle w:val="OGHeading2"/>
              <w:rPr>
                <w:lang w:eastAsia="en-AU"/>
              </w:rPr>
            </w:pPr>
            <w:r w:rsidRPr="00D2618F">
              <w:rPr>
                <w:lang w:eastAsia="en-AU"/>
              </w:rPr>
              <w:t xml:space="preserve">Creative Industries Portfolio Agencies </w:t>
            </w:r>
          </w:p>
        </w:tc>
      </w:tr>
      <w:tr w:rsidR="00E25CC6" w:rsidRPr="00D2618F" w:rsidTr="00A959A3">
        <w:trPr>
          <w:cantSplit/>
        </w:trPr>
        <w:tc>
          <w:tcPr>
            <w:tcW w:w="3146" w:type="dxa"/>
            <w:tcBorders>
              <w:top w:val="single" w:sz="6" w:space="0" w:color="auto"/>
              <w:left w:val="nil"/>
              <w:bottom w:val="nil"/>
              <w:right w:val="nil"/>
            </w:tcBorders>
          </w:tcPr>
          <w:p w:rsidR="00E25CC6" w:rsidRPr="00D2618F" w:rsidRDefault="00E25CC6" w:rsidP="00AF58D1">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ED6231">
        <w:trPr>
          <w:cantSplit/>
        </w:trPr>
        <w:tc>
          <w:tcPr>
            <w:tcW w:w="3146" w:type="dxa"/>
            <w:tcBorders>
              <w:top w:val="nil"/>
              <w:left w:val="nil"/>
              <w:right w:val="nil"/>
            </w:tcBorders>
          </w:tcPr>
          <w:p w:rsidR="00E25CC6" w:rsidRPr="00D2618F" w:rsidRDefault="00E25CC6" w:rsidP="00AF58D1">
            <w:pPr>
              <w:pStyle w:val="OGTabText"/>
              <w:rPr>
                <w:lang w:eastAsia="en-AU"/>
              </w:rPr>
            </w:pPr>
            <w:r w:rsidRPr="00D2618F">
              <w:rPr>
                <w:lang w:eastAsia="en-AU"/>
              </w:rPr>
              <w:t>Agency service delivery agreements in place</w:t>
            </w:r>
          </w:p>
        </w:tc>
        <w:tc>
          <w:tcPr>
            <w:tcW w:w="907" w:type="dxa"/>
            <w:tcBorders>
              <w:top w:val="nil"/>
              <w:left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w:t>
            </w:r>
          </w:p>
        </w:tc>
        <w:tc>
          <w:tcPr>
            <w:tcW w:w="992"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w:t>
            </w:r>
          </w:p>
        </w:tc>
        <w:tc>
          <w:tcPr>
            <w:tcW w:w="907"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8</w:t>
            </w:r>
          </w:p>
        </w:tc>
        <w:tc>
          <w:tcPr>
            <w:tcW w:w="908"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7</w:t>
            </w:r>
          </w:p>
        </w:tc>
      </w:tr>
      <w:tr w:rsidR="00E25CC6" w:rsidRPr="00D2618F" w:rsidTr="00A959A3">
        <w:trPr>
          <w:cantSplit/>
        </w:trPr>
        <w:tc>
          <w:tcPr>
            <w:tcW w:w="7767" w:type="dxa"/>
            <w:gridSpan w:val="6"/>
            <w:tcBorders>
              <w:top w:val="nil"/>
              <w:left w:val="nil"/>
              <w:bottom w:val="single" w:sz="6" w:space="0" w:color="auto"/>
              <w:right w:val="nil"/>
            </w:tcBorders>
          </w:tcPr>
          <w:p w:rsidR="00E25CC6" w:rsidRPr="00D2618F" w:rsidRDefault="00E25CC6" w:rsidP="00AF58D1">
            <w:pPr>
              <w:pStyle w:val="OGNotes"/>
            </w:pPr>
            <w:r w:rsidRPr="00D2618F">
              <w:t>This performance measure is proposed to be discontinued as it is an operational activity that does not measure service delivery and is not a challenging performance measure.</w:t>
            </w:r>
          </w:p>
        </w:tc>
      </w:tr>
      <w:tr w:rsidR="00E25CC6" w:rsidRPr="00D2618F" w:rsidTr="00A959A3">
        <w:trPr>
          <w:cantSplit/>
        </w:trPr>
        <w:tc>
          <w:tcPr>
            <w:tcW w:w="7767" w:type="dxa"/>
            <w:gridSpan w:val="6"/>
            <w:tcBorders>
              <w:top w:val="single" w:sz="6" w:space="0" w:color="auto"/>
              <w:left w:val="nil"/>
              <w:bottom w:val="single" w:sz="6" w:space="0" w:color="auto"/>
              <w:right w:val="nil"/>
            </w:tcBorders>
          </w:tcPr>
          <w:p w:rsidR="00E25CC6" w:rsidRPr="00D2618F" w:rsidRDefault="00E25CC6" w:rsidP="00AF58D1">
            <w:pPr>
              <w:pStyle w:val="OGHeading2"/>
              <w:rPr>
                <w:lang w:eastAsia="en-AU"/>
              </w:rPr>
            </w:pPr>
            <w:r w:rsidRPr="00D2618F">
              <w:rPr>
                <w:lang w:eastAsia="en-AU"/>
              </w:rPr>
              <w:t xml:space="preserve">Cultural Infrastructure and Facilities </w:t>
            </w:r>
          </w:p>
        </w:tc>
      </w:tr>
      <w:tr w:rsidR="00E25CC6" w:rsidRPr="00D2618F" w:rsidTr="00A959A3">
        <w:trPr>
          <w:cantSplit/>
        </w:trPr>
        <w:tc>
          <w:tcPr>
            <w:tcW w:w="3146" w:type="dxa"/>
            <w:tcBorders>
              <w:top w:val="single" w:sz="6" w:space="0" w:color="auto"/>
              <w:left w:val="nil"/>
              <w:bottom w:val="nil"/>
              <w:right w:val="nil"/>
            </w:tcBorders>
          </w:tcPr>
          <w:p w:rsidR="00E25CC6" w:rsidRPr="00D2618F" w:rsidRDefault="00E25CC6" w:rsidP="00AF58D1">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ED6231">
        <w:trPr>
          <w:cantSplit/>
        </w:trPr>
        <w:tc>
          <w:tcPr>
            <w:tcW w:w="3146" w:type="dxa"/>
            <w:tcBorders>
              <w:top w:val="nil"/>
              <w:left w:val="nil"/>
              <w:right w:val="nil"/>
            </w:tcBorders>
          </w:tcPr>
          <w:p w:rsidR="00E25CC6" w:rsidRPr="00D2618F" w:rsidRDefault="00E25CC6" w:rsidP="00AF58D1">
            <w:pPr>
              <w:pStyle w:val="OGTabText"/>
              <w:rPr>
                <w:lang w:eastAsia="en-AU"/>
              </w:rPr>
            </w:pPr>
            <w:r w:rsidRPr="00D2618F">
              <w:rPr>
                <w:lang w:eastAsia="en-AU"/>
              </w:rPr>
              <w:t>Risk management projects completed</w:t>
            </w:r>
          </w:p>
        </w:tc>
        <w:tc>
          <w:tcPr>
            <w:tcW w:w="907" w:type="dxa"/>
            <w:tcBorders>
              <w:top w:val="nil"/>
              <w:left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w:t>
            </w:r>
          </w:p>
        </w:tc>
        <w:tc>
          <w:tcPr>
            <w:tcW w:w="992"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w:t>
            </w:r>
          </w:p>
        </w:tc>
        <w:tc>
          <w:tcPr>
            <w:tcW w:w="907"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w:t>
            </w:r>
          </w:p>
        </w:tc>
        <w:tc>
          <w:tcPr>
            <w:tcW w:w="908"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3</w:t>
            </w:r>
          </w:p>
        </w:tc>
      </w:tr>
      <w:tr w:rsidR="00E25CC6" w:rsidRPr="00D2618F" w:rsidTr="00ED6231">
        <w:trPr>
          <w:cantSplit/>
        </w:trPr>
        <w:tc>
          <w:tcPr>
            <w:tcW w:w="7767" w:type="dxa"/>
            <w:gridSpan w:val="6"/>
            <w:tcBorders>
              <w:top w:val="nil"/>
              <w:left w:val="nil"/>
              <w:bottom w:val="single" w:sz="6" w:space="0" w:color="auto"/>
              <w:right w:val="nil"/>
            </w:tcBorders>
          </w:tcPr>
          <w:p w:rsidR="00E25CC6" w:rsidRPr="00D2618F" w:rsidRDefault="00E25CC6" w:rsidP="00AF58D1">
            <w:pPr>
              <w:pStyle w:val="OGNotes"/>
            </w:pPr>
            <w:r w:rsidRPr="00D2618F">
              <w:t>This performance measure is proposed to be discontinued as it has been replaced by the 2016</w:t>
            </w:r>
            <w:r w:rsidRPr="00255F85">
              <w:noBreakHyphen/>
            </w:r>
            <w:r w:rsidRPr="00D2618F">
              <w:t xml:space="preserve">17 performance measure </w:t>
            </w:r>
            <w:r>
              <w:t>‘</w:t>
            </w:r>
            <w:r w:rsidRPr="00D2618F">
              <w:t>All facility safety audits conducted</w:t>
            </w:r>
            <w:r>
              <w:t>’</w:t>
            </w:r>
            <w:r w:rsidRPr="00D2618F">
              <w:t xml:space="preserve">. </w:t>
            </w:r>
          </w:p>
        </w:tc>
      </w:tr>
      <w:tr w:rsidR="00E25CC6" w:rsidRPr="00D2618F" w:rsidTr="00ED6231">
        <w:trPr>
          <w:cantSplit/>
        </w:trPr>
        <w:tc>
          <w:tcPr>
            <w:tcW w:w="3146" w:type="dxa"/>
            <w:tcBorders>
              <w:top w:val="single" w:sz="6" w:space="0" w:color="auto"/>
              <w:left w:val="nil"/>
              <w:right w:val="nil"/>
            </w:tcBorders>
          </w:tcPr>
          <w:p w:rsidR="00E25CC6" w:rsidRPr="00D2618F" w:rsidRDefault="00E25CC6" w:rsidP="00AF58D1">
            <w:pPr>
              <w:pStyle w:val="OGTabText"/>
              <w:rPr>
                <w:lang w:eastAsia="en-AU"/>
              </w:rPr>
            </w:pPr>
            <w:r w:rsidRPr="00D2618F">
              <w:rPr>
                <w:lang w:eastAsia="en-AU"/>
              </w:rPr>
              <w:t>State-owned cultural facilities maintained to meet service and statutory standards</w:t>
            </w:r>
          </w:p>
        </w:tc>
        <w:tc>
          <w:tcPr>
            <w:tcW w:w="907" w:type="dxa"/>
            <w:tcBorders>
              <w:top w:val="single" w:sz="6" w:space="0" w:color="auto"/>
              <w:left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28</w:t>
            </w:r>
          </w:p>
        </w:tc>
        <w:tc>
          <w:tcPr>
            <w:tcW w:w="992" w:type="dxa"/>
            <w:tcBorders>
              <w:top w:val="single" w:sz="6" w:space="0" w:color="auto"/>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28</w:t>
            </w:r>
          </w:p>
        </w:tc>
        <w:tc>
          <w:tcPr>
            <w:tcW w:w="907" w:type="dxa"/>
            <w:tcBorders>
              <w:top w:val="single" w:sz="6" w:space="0" w:color="auto"/>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28</w:t>
            </w:r>
          </w:p>
        </w:tc>
        <w:tc>
          <w:tcPr>
            <w:tcW w:w="908" w:type="dxa"/>
            <w:tcBorders>
              <w:top w:val="single" w:sz="6" w:space="0" w:color="auto"/>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28</w:t>
            </w:r>
          </w:p>
        </w:tc>
      </w:tr>
      <w:tr w:rsidR="00E25CC6" w:rsidRPr="00D2618F" w:rsidTr="00ED6231">
        <w:trPr>
          <w:cantSplit/>
        </w:trPr>
        <w:tc>
          <w:tcPr>
            <w:tcW w:w="7767" w:type="dxa"/>
            <w:gridSpan w:val="6"/>
            <w:tcBorders>
              <w:top w:val="nil"/>
              <w:left w:val="nil"/>
              <w:bottom w:val="single" w:sz="6" w:space="0" w:color="auto"/>
              <w:right w:val="nil"/>
            </w:tcBorders>
          </w:tcPr>
          <w:p w:rsidR="00E25CC6" w:rsidRPr="00D2618F" w:rsidRDefault="00E25CC6" w:rsidP="00AF58D1">
            <w:pPr>
              <w:pStyle w:val="OGNotes"/>
            </w:pPr>
            <w:r w:rsidRPr="00D2618F">
              <w:t>This performance measure is proposed to be discontinued as it has been replaced by the 2016</w:t>
            </w:r>
            <w:r w:rsidRPr="00255F85">
              <w:noBreakHyphen/>
            </w:r>
            <w:r w:rsidRPr="00D2618F">
              <w:t xml:space="preserve">17 performance measure </w:t>
            </w:r>
            <w:r>
              <w:t>‘</w:t>
            </w:r>
            <w:r w:rsidRPr="00D2618F">
              <w:t>All facility safety audits conducted</w:t>
            </w:r>
            <w:r>
              <w:t>’</w:t>
            </w:r>
            <w:r w:rsidRPr="00D2618F">
              <w:t>.</w:t>
            </w:r>
          </w:p>
        </w:tc>
      </w:tr>
      <w:tr w:rsidR="00E25CC6" w:rsidRPr="00D2618F" w:rsidTr="00ED6231">
        <w:trPr>
          <w:cantSplit/>
        </w:trPr>
        <w:tc>
          <w:tcPr>
            <w:tcW w:w="3146" w:type="dxa"/>
            <w:tcBorders>
              <w:top w:val="single" w:sz="6" w:space="0" w:color="auto"/>
              <w:left w:val="nil"/>
              <w:bottom w:val="nil"/>
              <w:right w:val="nil"/>
            </w:tcBorders>
          </w:tcPr>
          <w:p w:rsidR="00E25CC6" w:rsidRPr="00D2618F" w:rsidRDefault="00E25CC6" w:rsidP="00AF58D1">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ED6231">
        <w:trPr>
          <w:cantSplit/>
        </w:trPr>
        <w:tc>
          <w:tcPr>
            <w:tcW w:w="3146" w:type="dxa"/>
            <w:tcBorders>
              <w:top w:val="nil"/>
              <w:left w:val="nil"/>
              <w:right w:val="nil"/>
            </w:tcBorders>
          </w:tcPr>
          <w:p w:rsidR="00E25CC6" w:rsidRPr="00D2618F" w:rsidRDefault="00E25CC6" w:rsidP="00AF58D1">
            <w:pPr>
              <w:pStyle w:val="OGTabText"/>
              <w:rPr>
                <w:lang w:eastAsia="en-AU"/>
              </w:rPr>
            </w:pPr>
            <w:r w:rsidRPr="00D2618F">
              <w:rPr>
                <w:lang w:eastAsia="en-AU"/>
              </w:rPr>
              <w:t>Success measures of projects achieved</w:t>
            </w:r>
          </w:p>
        </w:tc>
        <w:tc>
          <w:tcPr>
            <w:tcW w:w="907" w:type="dxa"/>
            <w:tcBorders>
              <w:top w:val="nil"/>
              <w:left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92"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7"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8"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r>
      <w:tr w:rsidR="00E25CC6" w:rsidRPr="00D2618F" w:rsidTr="00ED6231">
        <w:trPr>
          <w:cantSplit/>
        </w:trPr>
        <w:tc>
          <w:tcPr>
            <w:tcW w:w="7767" w:type="dxa"/>
            <w:gridSpan w:val="6"/>
            <w:tcBorders>
              <w:top w:val="nil"/>
              <w:left w:val="nil"/>
              <w:bottom w:val="single" w:sz="6" w:space="0" w:color="auto"/>
              <w:right w:val="nil"/>
            </w:tcBorders>
          </w:tcPr>
          <w:p w:rsidR="00E25CC6" w:rsidRPr="00D2618F" w:rsidRDefault="00E25CC6" w:rsidP="00AF58D1">
            <w:pPr>
              <w:pStyle w:val="OGNotes"/>
            </w:pPr>
            <w:r w:rsidRPr="00D2618F">
              <w:t>This performance measure is proposed to be discontinued as it has been replaced by the 2016</w:t>
            </w:r>
            <w:r w:rsidRPr="00255F85">
              <w:noBreakHyphen/>
            </w:r>
            <w:r w:rsidRPr="00D2618F">
              <w:t xml:space="preserve">17 performance measure </w:t>
            </w:r>
            <w:r>
              <w:t>‘</w:t>
            </w:r>
            <w:r w:rsidRPr="00D2618F">
              <w:t>State</w:t>
            </w:r>
            <w:r w:rsidRPr="00255F85">
              <w:noBreakHyphen/>
            </w:r>
            <w:r w:rsidRPr="00D2618F">
              <w:t>owned tenanted cultural facilities maintained to agreed service standards</w:t>
            </w:r>
            <w:r>
              <w:t>’</w:t>
            </w:r>
            <w:r w:rsidRPr="00D2618F">
              <w:t>.</w:t>
            </w:r>
          </w:p>
        </w:tc>
      </w:tr>
      <w:tr w:rsidR="00E25CC6" w:rsidRPr="00D2618F" w:rsidTr="00ED6231">
        <w:trPr>
          <w:cantSplit/>
        </w:trPr>
        <w:tc>
          <w:tcPr>
            <w:tcW w:w="3146" w:type="dxa"/>
            <w:tcBorders>
              <w:top w:val="single" w:sz="6" w:space="0" w:color="auto"/>
              <w:left w:val="nil"/>
              <w:bottom w:val="nil"/>
              <w:right w:val="nil"/>
            </w:tcBorders>
          </w:tcPr>
          <w:p w:rsidR="00E25CC6" w:rsidRPr="00D2618F" w:rsidRDefault="00E25CC6" w:rsidP="00AF58D1">
            <w:pPr>
              <w:autoSpaceDE w:val="0"/>
              <w:autoSpaceDN w:val="0"/>
              <w:adjustRightInd w:val="0"/>
              <w:spacing w:after="0"/>
              <w:ind w:left="227" w:hanging="227"/>
              <w:rPr>
                <w:rFonts w:ascii="Calibri" w:hAnsi="Calibri" w:cs="Calibri"/>
                <w:i/>
                <w:iCs/>
                <w:color w:val="000000"/>
                <w:sz w:val="19"/>
                <w:szCs w:val="22"/>
                <w:lang w:eastAsia="en-AU"/>
              </w:rPr>
            </w:pPr>
            <w:r w:rsidRPr="00D2618F">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 xml:space="preserve"> </w:t>
            </w:r>
          </w:p>
        </w:tc>
      </w:tr>
      <w:tr w:rsidR="00E25CC6" w:rsidRPr="00D2618F" w:rsidTr="00ED6231">
        <w:trPr>
          <w:cantSplit/>
        </w:trPr>
        <w:tc>
          <w:tcPr>
            <w:tcW w:w="3146" w:type="dxa"/>
            <w:tcBorders>
              <w:top w:val="nil"/>
              <w:left w:val="nil"/>
              <w:right w:val="nil"/>
            </w:tcBorders>
          </w:tcPr>
          <w:p w:rsidR="00E25CC6" w:rsidRPr="00D2618F" w:rsidRDefault="00E25CC6" w:rsidP="00AF58D1">
            <w:pPr>
              <w:pStyle w:val="OGTabText"/>
              <w:rPr>
                <w:lang w:eastAsia="en-AU"/>
              </w:rPr>
            </w:pPr>
            <w:r w:rsidRPr="00D2618F">
              <w:rPr>
                <w:lang w:eastAsia="en-AU"/>
              </w:rPr>
              <w:t>Performance and grant agreements completed within agreed timeframes</w:t>
            </w:r>
          </w:p>
        </w:tc>
        <w:tc>
          <w:tcPr>
            <w:tcW w:w="907" w:type="dxa"/>
            <w:tcBorders>
              <w:top w:val="nil"/>
              <w:left w:val="nil"/>
              <w:right w:val="nil"/>
            </w:tcBorders>
          </w:tcPr>
          <w:p w:rsidR="00E25CC6" w:rsidRPr="00D2618F" w:rsidRDefault="00E25CC6" w:rsidP="00AF58D1">
            <w:pPr>
              <w:autoSpaceDE w:val="0"/>
              <w:autoSpaceDN w:val="0"/>
              <w:adjustRightInd w:val="0"/>
              <w:spacing w:after="0"/>
              <w:jc w:val="center"/>
              <w:rPr>
                <w:rFonts w:ascii="Calibri" w:hAnsi="Calibri" w:cs="Calibri"/>
                <w:color w:val="000000"/>
                <w:sz w:val="19"/>
                <w:szCs w:val="22"/>
                <w:lang w:eastAsia="en-AU"/>
              </w:rPr>
            </w:pPr>
            <w:r w:rsidRPr="00D2618F">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92"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7"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c>
          <w:tcPr>
            <w:tcW w:w="908" w:type="dxa"/>
            <w:tcBorders>
              <w:top w:val="nil"/>
              <w:left w:val="nil"/>
              <w:right w:val="nil"/>
            </w:tcBorders>
          </w:tcPr>
          <w:p w:rsidR="00E25CC6" w:rsidRPr="00D2618F" w:rsidRDefault="00E25CC6" w:rsidP="00AF58D1">
            <w:pPr>
              <w:autoSpaceDE w:val="0"/>
              <w:autoSpaceDN w:val="0"/>
              <w:adjustRightInd w:val="0"/>
              <w:spacing w:after="0"/>
              <w:jc w:val="right"/>
              <w:rPr>
                <w:rFonts w:ascii="Calibri" w:hAnsi="Calibri" w:cs="Calibri"/>
                <w:color w:val="000000"/>
                <w:sz w:val="19"/>
                <w:szCs w:val="22"/>
                <w:lang w:eastAsia="en-AU"/>
              </w:rPr>
            </w:pPr>
            <w:r w:rsidRPr="00D2618F">
              <w:rPr>
                <w:rFonts w:ascii="Calibri" w:hAnsi="Calibri" w:cs="Calibri"/>
                <w:color w:val="000000"/>
                <w:sz w:val="19"/>
                <w:szCs w:val="22"/>
                <w:lang w:eastAsia="en-AU"/>
              </w:rPr>
              <w:t>90</w:t>
            </w:r>
          </w:p>
        </w:tc>
      </w:tr>
      <w:tr w:rsidR="00E25CC6" w:rsidRPr="00D2618F" w:rsidTr="00A959A3">
        <w:trPr>
          <w:cantSplit/>
        </w:trPr>
        <w:tc>
          <w:tcPr>
            <w:tcW w:w="7767" w:type="dxa"/>
            <w:gridSpan w:val="6"/>
            <w:tcBorders>
              <w:top w:val="nil"/>
              <w:left w:val="nil"/>
              <w:bottom w:val="single" w:sz="6" w:space="0" w:color="auto"/>
              <w:right w:val="nil"/>
            </w:tcBorders>
          </w:tcPr>
          <w:p w:rsidR="00E25CC6" w:rsidRPr="00D2618F" w:rsidRDefault="00E25CC6" w:rsidP="00AF58D1">
            <w:pPr>
              <w:pStyle w:val="OGNotes"/>
            </w:pPr>
            <w:r w:rsidRPr="00D2618F">
              <w:t>This performance measure is proposed to be discontinued as it has been replaced by the 2016</w:t>
            </w:r>
            <w:r w:rsidRPr="00255F85">
              <w:noBreakHyphen/>
            </w:r>
            <w:r w:rsidRPr="00D2618F">
              <w:t xml:space="preserve">17 performance measure </w:t>
            </w:r>
            <w:r>
              <w:t>‘</w:t>
            </w:r>
            <w:r w:rsidRPr="00D2618F">
              <w:t>Cultural Facilities Maintenance fund projects delivered within agreed timeframes</w:t>
            </w:r>
            <w:r>
              <w:t>’</w:t>
            </w:r>
            <w:r w:rsidRPr="00D2618F">
              <w:t xml:space="preserve">. </w:t>
            </w:r>
          </w:p>
        </w:tc>
      </w:tr>
      <w:tr w:rsidR="00E25CC6" w:rsidRPr="00D46F67" w:rsidTr="00A959A3">
        <w:trPr>
          <w:cantSplit/>
        </w:trPr>
        <w:tc>
          <w:tcPr>
            <w:tcW w:w="7767" w:type="dxa"/>
            <w:gridSpan w:val="6"/>
            <w:tcBorders>
              <w:top w:val="single" w:sz="6" w:space="0" w:color="auto"/>
              <w:left w:val="nil"/>
              <w:bottom w:val="single" w:sz="6" w:space="0" w:color="auto"/>
              <w:right w:val="nil"/>
            </w:tcBorders>
          </w:tcPr>
          <w:p w:rsidR="00E25CC6" w:rsidRPr="00D46F67" w:rsidRDefault="00E25CC6" w:rsidP="00ED6231">
            <w:pPr>
              <w:pStyle w:val="OGHeading2"/>
              <w:rPr>
                <w:lang w:eastAsia="en-AU"/>
              </w:rPr>
            </w:pPr>
            <w:r w:rsidRPr="00D46F67">
              <w:rPr>
                <w:lang w:eastAsia="en-AU"/>
              </w:rPr>
              <w:t>Industry and Enterprise Innovation</w:t>
            </w:r>
          </w:p>
        </w:tc>
      </w:tr>
      <w:tr w:rsidR="00E25CC6" w:rsidRPr="00D46F67" w:rsidTr="00A959A3">
        <w:trPr>
          <w:cantSplit/>
        </w:trPr>
        <w:tc>
          <w:tcPr>
            <w:tcW w:w="3146" w:type="dxa"/>
            <w:tcBorders>
              <w:top w:val="single" w:sz="6" w:space="0" w:color="auto"/>
              <w:left w:val="nil"/>
              <w:bottom w:val="nil"/>
              <w:right w:val="nil"/>
            </w:tcBorders>
          </w:tcPr>
          <w:p w:rsidR="00E25CC6" w:rsidRPr="00D46F67" w:rsidRDefault="00E25CC6" w:rsidP="00ED6231">
            <w:pPr>
              <w:keepNext/>
              <w:autoSpaceDE w:val="0"/>
              <w:autoSpaceDN w:val="0"/>
              <w:adjustRightInd w:val="0"/>
              <w:spacing w:after="0"/>
              <w:ind w:left="227" w:hanging="227"/>
              <w:rPr>
                <w:rFonts w:ascii="Calibri" w:hAnsi="Calibri" w:cs="Calibri"/>
                <w:i/>
                <w:iCs/>
                <w:color w:val="000000"/>
                <w:sz w:val="19"/>
                <w:szCs w:val="22"/>
                <w:lang w:eastAsia="en-AU"/>
              </w:rPr>
            </w:pPr>
            <w:r w:rsidRPr="00D46F67">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D46F67" w:rsidRDefault="00E25CC6" w:rsidP="00ED6231">
            <w:pPr>
              <w:keepNext/>
              <w:autoSpaceDE w:val="0"/>
              <w:autoSpaceDN w:val="0"/>
              <w:adjustRightInd w:val="0"/>
              <w:spacing w:after="0"/>
              <w:jc w:val="center"/>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46F6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46F6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46F6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46F6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r>
      <w:tr w:rsidR="00E25CC6" w:rsidRPr="00D46F67" w:rsidTr="00ED6231">
        <w:trPr>
          <w:cantSplit/>
        </w:trPr>
        <w:tc>
          <w:tcPr>
            <w:tcW w:w="3146" w:type="dxa"/>
            <w:tcBorders>
              <w:top w:val="nil"/>
              <w:left w:val="nil"/>
              <w:right w:val="nil"/>
            </w:tcBorders>
          </w:tcPr>
          <w:p w:rsidR="00E25CC6" w:rsidRPr="00D46F67" w:rsidRDefault="00E25CC6" w:rsidP="00ED6231">
            <w:pPr>
              <w:pStyle w:val="OGTabText"/>
              <w:keepNext/>
              <w:rPr>
                <w:lang w:eastAsia="en-AU"/>
              </w:rPr>
            </w:pPr>
            <w:r w:rsidRPr="00D46F67">
              <w:rPr>
                <w:lang w:eastAsia="en-AU"/>
              </w:rPr>
              <w:t>Future industry sector strategies delivered</w:t>
            </w:r>
          </w:p>
        </w:tc>
        <w:tc>
          <w:tcPr>
            <w:tcW w:w="907" w:type="dxa"/>
            <w:tcBorders>
              <w:top w:val="nil"/>
              <w:left w:val="nil"/>
              <w:right w:val="nil"/>
            </w:tcBorders>
          </w:tcPr>
          <w:p w:rsidR="00E25CC6" w:rsidRPr="00D46F67" w:rsidRDefault="00E25CC6" w:rsidP="00ED6231">
            <w:pPr>
              <w:keepNext/>
              <w:autoSpaceDE w:val="0"/>
              <w:autoSpaceDN w:val="0"/>
              <w:adjustRightInd w:val="0"/>
              <w:spacing w:after="0"/>
              <w:jc w:val="center"/>
              <w:rPr>
                <w:rFonts w:ascii="Calibri" w:hAnsi="Calibri" w:cs="Calibri"/>
                <w:color w:val="000000"/>
                <w:sz w:val="19"/>
                <w:szCs w:val="22"/>
                <w:lang w:eastAsia="en-AU"/>
              </w:rPr>
            </w:pPr>
            <w:r w:rsidRPr="00D46F67">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D46F67" w:rsidRDefault="00E25CC6" w:rsidP="00920BEF">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na</w:t>
            </w:r>
          </w:p>
        </w:tc>
        <w:tc>
          <w:tcPr>
            <w:tcW w:w="992" w:type="dxa"/>
            <w:tcBorders>
              <w:top w:val="nil"/>
              <w:left w:val="nil"/>
              <w:right w:val="nil"/>
            </w:tcBorders>
          </w:tcPr>
          <w:p w:rsidR="00E25CC6" w:rsidRPr="00D46F6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8</w:t>
            </w:r>
          </w:p>
        </w:tc>
        <w:tc>
          <w:tcPr>
            <w:tcW w:w="907" w:type="dxa"/>
            <w:tcBorders>
              <w:top w:val="nil"/>
              <w:left w:val="nil"/>
              <w:right w:val="nil"/>
            </w:tcBorders>
          </w:tcPr>
          <w:p w:rsidR="00E25CC6" w:rsidRPr="00D46F6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6</w:t>
            </w:r>
          </w:p>
        </w:tc>
        <w:tc>
          <w:tcPr>
            <w:tcW w:w="908" w:type="dxa"/>
            <w:tcBorders>
              <w:top w:val="nil"/>
              <w:left w:val="nil"/>
              <w:right w:val="nil"/>
            </w:tcBorders>
          </w:tcPr>
          <w:p w:rsidR="00E25CC6" w:rsidRPr="00D46F6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nm</w:t>
            </w:r>
          </w:p>
        </w:tc>
      </w:tr>
      <w:tr w:rsidR="00E25CC6" w:rsidRPr="00D46F67" w:rsidTr="00A959A3">
        <w:trPr>
          <w:cantSplit/>
        </w:trPr>
        <w:tc>
          <w:tcPr>
            <w:tcW w:w="7767" w:type="dxa"/>
            <w:gridSpan w:val="6"/>
            <w:tcBorders>
              <w:top w:val="nil"/>
              <w:left w:val="nil"/>
              <w:bottom w:val="single" w:sz="6" w:space="0" w:color="auto"/>
              <w:right w:val="nil"/>
            </w:tcBorders>
          </w:tcPr>
          <w:p w:rsidR="00E25CC6" w:rsidRPr="00D46F67" w:rsidRDefault="00E25CC6" w:rsidP="00AF58D1">
            <w:pPr>
              <w:pStyle w:val="OGNotes"/>
            </w:pPr>
            <w:r w:rsidRPr="00D46F67">
              <w:t xml:space="preserve">This performance measure is proposed to be discontinued as the Sector Strategies were released in March 2016. </w:t>
            </w:r>
          </w:p>
        </w:tc>
      </w:tr>
      <w:tr w:rsidR="00E25CC6" w:rsidRPr="00D46F67" w:rsidTr="00A959A3">
        <w:trPr>
          <w:cantSplit/>
        </w:trPr>
        <w:tc>
          <w:tcPr>
            <w:tcW w:w="7767" w:type="dxa"/>
            <w:gridSpan w:val="6"/>
            <w:tcBorders>
              <w:top w:val="single" w:sz="6" w:space="0" w:color="auto"/>
              <w:left w:val="nil"/>
              <w:bottom w:val="single" w:sz="6" w:space="0" w:color="auto"/>
              <w:right w:val="nil"/>
            </w:tcBorders>
          </w:tcPr>
          <w:p w:rsidR="00E25CC6" w:rsidRPr="00D46F67" w:rsidRDefault="00E25CC6" w:rsidP="00AF58D1">
            <w:pPr>
              <w:pStyle w:val="OGHeading2"/>
              <w:rPr>
                <w:lang w:eastAsia="en-AU"/>
              </w:rPr>
            </w:pPr>
            <w:r w:rsidRPr="00D46F67">
              <w:rPr>
                <w:lang w:eastAsia="en-AU"/>
              </w:rPr>
              <w:t xml:space="preserve">Major Projects </w:t>
            </w:r>
          </w:p>
        </w:tc>
      </w:tr>
      <w:tr w:rsidR="00E25CC6" w:rsidRPr="00D46F67" w:rsidTr="00A959A3">
        <w:trPr>
          <w:cantSplit/>
        </w:trPr>
        <w:tc>
          <w:tcPr>
            <w:tcW w:w="3146" w:type="dxa"/>
            <w:tcBorders>
              <w:top w:val="single" w:sz="6" w:space="0" w:color="auto"/>
              <w:left w:val="nil"/>
              <w:bottom w:val="nil"/>
              <w:right w:val="nil"/>
            </w:tcBorders>
          </w:tcPr>
          <w:p w:rsidR="00E25CC6" w:rsidRPr="00D46F67" w:rsidRDefault="00E25CC6" w:rsidP="00AF58D1">
            <w:pPr>
              <w:autoSpaceDE w:val="0"/>
              <w:autoSpaceDN w:val="0"/>
              <w:adjustRightInd w:val="0"/>
              <w:spacing w:after="0"/>
              <w:ind w:left="227" w:hanging="227"/>
              <w:rPr>
                <w:rFonts w:ascii="Calibri" w:hAnsi="Calibri" w:cs="Calibri"/>
                <w:i/>
                <w:iCs/>
                <w:color w:val="000000"/>
                <w:sz w:val="19"/>
                <w:szCs w:val="22"/>
                <w:lang w:eastAsia="en-AU"/>
              </w:rPr>
            </w:pPr>
            <w:r w:rsidRPr="00D46F67">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D46F67" w:rsidRDefault="00E25CC6" w:rsidP="00AF58D1">
            <w:pPr>
              <w:autoSpaceDE w:val="0"/>
              <w:autoSpaceDN w:val="0"/>
              <w:adjustRightInd w:val="0"/>
              <w:spacing w:after="0"/>
              <w:jc w:val="center"/>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 xml:space="preserve"> </w:t>
            </w:r>
          </w:p>
        </w:tc>
      </w:tr>
      <w:tr w:rsidR="00E25CC6" w:rsidRPr="00D46F67" w:rsidTr="00AF58D1">
        <w:trPr>
          <w:cantSplit/>
        </w:trPr>
        <w:tc>
          <w:tcPr>
            <w:tcW w:w="3146" w:type="dxa"/>
            <w:tcBorders>
              <w:top w:val="nil"/>
              <w:left w:val="nil"/>
              <w:bottom w:val="nil"/>
              <w:right w:val="nil"/>
            </w:tcBorders>
          </w:tcPr>
          <w:p w:rsidR="00E25CC6" w:rsidRPr="00D46F67" w:rsidRDefault="00E25CC6" w:rsidP="00AB4EBA">
            <w:pPr>
              <w:pStyle w:val="OGTabText"/>
              <w:rPr>
                <w:lang w:eastAsia="en-AU"/>
              </w:rPr>
            </w:pPr>
            <w:r w:rsidRPr="00D46F67">
              <w:rPr>
                <w:lang w:eastAsia="en-AU"/>
              </w:rPr>
              <w:t xml:space="preserve">Melbourne Markets Project </w:t>
            </w:r>
            <w:r>
              <w:rPr>
                <w:lang w:eastAsia="en-AU"/>
              </w:rPr>
              <w:t>–</w:t>
            </w:r>
            <w:r w:rsidRPr="00D46F67">
              <w:rPr>
                <w:lang w:eastAsia="en-AU"/>
              </w:rPr>
              <w:t xml:space="preserve"> less than 5</w:t>
            </w:r>
            <w:r>
              <w:rPr>
                <w:lang w:eastAsia="en-AU"/>
              </w:rPr>
              <w:t> </w:t>
            </w:r>
            <w:r w:rsidRPr="00D46F67">
              <w:rPr>
                <w:lang w:eastAsia="en-AU"/>
              </w:rPr>
              <w:t>per cent variation in contracted time and budget from 1</w:t>
            </w:r>
            <w:r>
              <w:rPr>
                <w:lang w:eastAsia="en-AU"/>
              </w:rPr>
              <w:t> </w:t>
            </w:r>
            <w:r w:rsidRPr="00D46F67">
              <w:rPr>
                <w:lang w:eastAsia="en-AU"/>
              </w:rPr>
              <w:t>July and no material variation in contracted scope from 1 July</w:t>
            </w:r>
          </w:p>
        </w:tc>
        <w:tc>
          <w:tcPr>
            <w:tcW w:w="907" w:type="dxa"/>
            <w:tcBorders>
              <w:top w:val="nil"/>
              <w:left w:val="nil"/>
              <w:bottom w:val="nil"/>
              <w:right w:val="nil"/>
            </w:tcBorders>
          </w:tcPr>
          <w:p w:rsidR="00E25CC6" w:rsidRPr="00D46F67" w:rsidRDefault="00E25CC6" w:rsidP="00AF58D1">
            <w:pPr>
              <w:autoSpaceDE w:val="0"/>
              <w:autoSpaceDN w:val="0"/>
              <w:adjustRightInd w:val="0"/>
              <w:spacing w:after="0"/>
              <w:jc w:val="center"/>
              <w:rPr>
                <w:rFonts w:ascii="Calibri" w:hAnsi="Calibri" w:cs="Calibri"/>
                <w:color w:val="000000"/>
                <w:sz w:val="19"/>
                <w:szCs w:val="22"/>
                <w:lang w:eastAsia="en-AU"/>
              </w:rPr>
            </w:pPr>
            <w:r w:rsidRPr="00D46F67">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3</w:t>
            </w:r>
          </w:p>
        </w:tc>
        <w:tc>
          <w:tcPr>
            <w:tcW w:w="992" w:type="dxa"/>
            <w:tcBorders>
              <w:top w:val="nil"/>
              <w:left w:val="nil"/>
              <w:bottom w:val="nil"/>
              <w:right w:val="nil"/>
            </w:tcBorders>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3</w:t>
            </w:r>
          </w:p>
        </w:tc>
        <w:tc>
          <w:tcPr>
            <w:tcW w:w="907" w:type="dxa"/>
            <w:tcBorders>
              <w:top w:val="nil"/>
              <w:left w:val="nil"/>
              <w:bottom w:val="nil"/>
              <w:right w:val="nil"/>
            </w:tcBorders>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3</w:t>
            </w:r>
          </w:p>
        </w:tc>
        <w:tc>
          <w:tcPr>
            <w:tcW w:w="908" w:type="dxa"/>
            <w:tcBorders>
              <w:top w:val="nil"/>
              <w:left w:val="nil"/>
              <w:bottom w:val="nil"/>
              <w:right w:val="nil"/>
            </w:tcBorders>
          </w:tcPr>
          <w:p w:rsidR="00E25CC6" w:rsidRPr="00D46F67" w:rsidRDefault="00E25CC6" w:rsidP="00AF58D1">
            <w:pPr>
              <w:autoSpaceDE w:val="0"/>
              <w:autoSpaceDN w:val="0"/>
              <w:adjustRightInd w:val="0"/>
              <w:spacing w:after="0"/>
              <w:jc w:val="right"/>
              <w:rPr>
                <w:rFonts w:ascii="Calibri" w:hAnsi="Calibri" w:cs="Calibri"/>
                <w:color w:val="000000"/>
                <w:sz w:val="19"/>
                <w:szCs w:val="22"/>
                <w:lang w:eastAsia="en-AU"/>
              </w:rPr>
            </w:pPr>
            <w:r w:rsidRPr="00D46F67">
              <w:rPr>
                <w:rFonts w:ascii="Calibri" w:hAnsi="Calibri" w:cs="Calibri"/>
                <w:color w:val="000000"/>
                <w:sz w:val="19"/>
                <w:szCs w:val="22"/>
                <w:lang w:eastAsia="en-AU"/>
              </w:rPr>
              <w:t>3:3</w:t>
            </w:r>
          </w:p>
        </w:tc>
      </w:tr>
      <w:tr w:rsidR="00E25CC6" w:rsidRPr="00D46F67" w:rsidTr="00A959A3">
        <w:trPr>
          <w:cantSplit/>
        </w:trPr>
        <w:tc>
          <w:tcPr>
            <w:tcW w:w="7767" w:type="dxa"/>
            <w:gridSpan w:val="6"/>
            <w:tcBorders>
              <w:top w:val="nil"/>
              <w:left w:val="nil"/>
              <w:bottom w:val="single" w:sz="6" w:space="0" w:color="auto"/>
              <w:right w:val="nil"/>
            </w:tcBorders>
          </w:tcPr>
          <w:p w:rsidR="00E25CC6" w:rsidRPr="00D46F67" w:rsidRDefault="00E25CC6" w:rsidP="00AF58D1">
            <w:pPr>
              <w:pStyle w:val="OGNotes"/>
            </w:pPr>
            <w:r w:rsidRPr="00D46F67">
              <w:t>This performance measure is proposed to be discontinued as the Melbourne Markets project has now been delivered.</w:t>
            </w:r>
          </w:p>
        </w:tc>
      </w:tr>
      <w:tr w:rsidR="00E25CC6" w:rsidRPr="000000FB" w:rsidTr="00A959A3">
        <w:trPr>
          <w:cantSplit/>
        </w:trPr>
        <w:tc>
          <w:tcPr>
            <w:tcW w:w="7767" w:type="dxa"/>
            <w:gridSpan w:val="6"/>
            <w:tcBorders>
              <w:top w:val="single" w:sz="6" w:space="0" w:color="auto"/>
              <w:left w:val="nil"/>
              <w:bottom w:val="single" w:sz="6" w:space="0" w:color="auto"/>
              <w:right w:val="nil"/>
            </w:tcBorders>
          </w:tcPr>
          <w:p w:rsidR="00E25CC6" w:rsidRPr="000000FB" w:rsidRDefault="00E25CC6" w:rsidP="000000FB">
            <w:pPr>
              <w:pStyle w:val="OGHeading2"/>
              <w:rPr>
                <w:lang w:eastAsia="en-AU"/>
              </w:rPr>
            </w:pPr>
            <w:r w:rsidRPr="000000FB">
              <w:rPr>
                <w:lang w:eastAsia="en-AU"/>
              </w:rPr>
              <w:t>Energy and Resources</w:t>
            </w:r>
          </w:p>
        </w:tc>
      </w:tr>
      <w:tr w:rsidR="00E25CC6" w:rsidRPr="000000FB" w:rsidTr="00A959A3">
        <w:trPr>
          <w:cantSplit/>
        </w:trPr>
        <w:tc>
          <w:tcPr>
            <w:tcW w:w="3146" w:type="dxa"/>
            <w:tcBorders>
              <w:top w:val="single" w:sz="6" w:space="0" w:color="auto"/>
              <w:left w:val="nil"/>
              <w:bottom w:val="nil"/>
              <w:right w:val="nil"/>
            </w:tcBorders>
          </w:tcPr>
          <w:p w:rsidR="00E25CC6" w:rsidRPr="000000FB" w:rsidRDefault="00E25CC6" w:rsidP="000000FB">
            <w:pPr>
              <w:autoSpaceDE w:val="0"/>
              <w:autoSpaceDN w:val="0"/>
              <w:adjustRightInd w:val="0"/>
              <w:spacing w:after="0"/>
              <w:ind w:left="227" w:hanging="227"/>
              <w:rPr>
                <w:rFonts w:ascii="Calibri" w:hAnsi="Calibri" w:cs="Calibri"/>
                <w:i/>
                <w:iCs/>
                <w:color w:val="000000"/>
                <w:sz w:val="19"/>
                <w:szCs w:val="22"/>
                <w:lang w:eastAsia="en-AU"/>
              </w:rPr>
            </w:pPr>
            <w:r w:rsidRPr="000000FB">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center"/>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r>
      <w:tr w:rsidR="00E25CC6" w:rsidRPr="000000FB" w:rsidTr="00ED6231">
        <w:trPr>
          <w:cantSplit/>
        </w:trPr>
        <w:tc>
          <w:tcPr>
            <w:tcW w:w="3146" w:type="dxa"/>
            <w:tcBorders>
              <w:top w:val="nil"/>
              <w:left w:val="nil"/>
              <w:right w:val="nil"/>
            </w:tcBorders>
          </w:tcPr>
          <w:p w:rsidR="00E25CC6" w:rsidRPr="000000FB" w:rsidRDefault="00E25CC6" w:rsidP="000000FB">
            <w:pPr>
              <w:pStyle w:val="OGTabText"/>
              <w:rPr>
                <w:lang w:eastAsia="en-AU"/>
              </w:rPr>
            </w:pPr>
            <w:r w:rsidRPr="000000FB">
              <w:rPr>
                <w:lang w:eastAsia="en-AU"/>
              </w:rPr>
              <w:t>Delivery of Advanced Metering Infrastructure program in line with planned project milestones</w:t>
            </w:r>
          </w:p>
        </w:tc>
        <w:tc>
          <w:tcPr>
            <w:tcW w:w="907" w:type="dxa"/>
            <w:tcBorders>
              <w:top w:val="nil"/>
              <w:left w:val="nil"/>
              <w:right w:val="nil"/>
            </w:tcBorders>
          </w:tcPr>
          <w:p w:rsidR="00E25CC6" w:rsidRPr="000000FB" w:rsidRDefault="00E25CC6" w:rsidP="000000FB">
            <w:pPr>
              <w:autoSpaceDE w:val="0"/>
              <w:autoSpaceDN w:val="0"/>
              <w:adjustRightInd w:val="0"/>
              <w:spacing w:after="0"/>
              <w:jc w:val="center"/>
              <w:rPr>
                <w:rFonts w:ascii="Calibri" w:hAnsi="Calibri" w:cs="Calibri"/>
                <w:color w:val="000000"/>
                <w:sz w:val="19"/>
                <w:szCs w:val="22"/>
                <w:lang w:eastAsia="en-AU"/>
              </w:rPr>
            </w:pPr>
            <w:r w:rsidRPr="000000FB">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100</w:t>
            </w:r>
          </w:p>
        </w:tc>
        <w:tc>
          <w:tcPr>
            <w:tcW w:w="992" w:type="dxa"/>
            <w:tcBorders>
              <w:top w:val="nil"/>
              <w:left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100</w:t>
            </w:r>
          </w:p>
        </w:tc>
        <w:tc>
          <w:tcPr>
            <w:tcW w:w="907" w:type="dxa"/>
            <w:tcBorders>
              <w:top w:val="nil"/>
              <w:left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100</w:t>
            </w:r>
          </w:p>
        </w:tc>
        <w:tc>
          <w:tcPr>
            <w:tcW w:w="908" w:type="dxa"/>
            <w:tcBorders>
              <w:top w:val="nil"/>
              <w:left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100</w:t>
            </w:r>
          </w:p>
        </w:tc>
      </w:tr>
      <w:tr w:rsidR="00E25CC6" w:rsidRPr="000000FB" w:rsidTr="00A959A3">
        <w:trPr>
          <w:cantSplit/>
        </w:trPr>
        <w:tc>
          <w:tcPr>
            <w:tcW w:w="7767" w:type="dxa"/>
            <w:gridSpan w:val="6"/>
            <w:tcBorders>
              <w:top w:val="nil"/>
              <w:left w:val="nil"/>
              <w:bottom w:val="single" w:sz="6" w:space="0" w:color="auto"/>
              <w:right w:val="nil"/>
            </w:tcBorders>
          </w:tcPr>
          <w:p w:rsidR="00E25CC6" w:rsidRPr="000000FB" w:rsidRDefault="00E25CC6" w:rsidP="000000FB">
            <w:pPr>
              <w:pStyle w:val="OGNotes"/>
            </w:pPr>
            <w:r w:rsidRPr="000000FB">
              <w:t>This performance measure is proposed to be discontinued on the basis that the Advanced Metering Infrastructure program initiative lapses at the end of June 2016.</w:t>
            </w:r>
          </w:p>
        </w:tc>
      </w:tr>
      <w:tr w:rsidR="00E25CC6" w:rsidRPr="000000FB" w:rsidTr="00A959A3">
        <w:trPr>
          <w:cantSplit/>
        </w:trPr>
        <w:tc>
          <w:tcPr>
            <w:tcW w:w="7767" w:type="dxa"/>
            <w:gridSpan w:val="6"/>
            <w:tcBorders>
              <w:top w:val="single" w:sz="6" w:space="0" w:color="auto"/>
              <w:left w:val="nil"/>
              <w:bottom w:val="single" w:sz="6" w:space="0" w:color="auto"/>
              <w:right w:val="nil"/>
            </w:tcBorders>
          </w:tcPr>
          <w:p w:rsidR="00E25CC6" w:rsidRPr="000000FB" w:rsidRDefault="00E25CC6" w:rsidP="000000FB">
            <w:pPr>
              <w:pStyle w:val="OGHeading2"/>
              <w:rPr>
                <w:lang w:eastAsia="en-AU"/>
              </w:rPr>
            </w:pPr>
            <w:r w:rsidRPr="000000FB">
              <w:rPr>
                <w:lang w:eastAsia="en-AU"/>
              </w:rPr>
              <w:t>Sustainably Manage Fish, Game and Forest Resources</w:t>
            </w:r>
          </w:p>
        </w:tc>
      </w:tr>
      <w:tr w:rsidR="00E25CC6" w:rsidRPr="000000FB" w:rsidTr="00A959A3">
        <w:trPr>
          <w:cantSplit/>
        </w:trPr>
        <w:tc>
          <w:tcPr>
            <w:tcW w:w="3146" w:type="dxa"/>
            <w:tcBorders>
              <w:top w:val="single" w:sz="6" w:space="0" w:color="auto"/>
              <w:left w:val="nil"/>
              <w:bottom w:val="nil"/>
              <w:right w:val="nil"/>
            </w:tcBorders>
          </w:tcPr>
          <w:p w:rsidR="00E25CC6" w:rsidRPr="000000FB" w:rsidRDefault="00E25CC6" w:rsidP="000000FB">
            <w:pPr>
              <w:autoSpaceDE w:val="0"/>
              <w:autoSpaceDN w:val="0"/>
              <w:adjustRightInd w:val="0"/>
              <w:spacing w:after="0"/>
              <w:ind w:left="227" w:hanging="227"/>
              <w:rPr>
                <w:rFonts w:ascii="Calibri" w:hAnsi="Calibri" w:cs="Calibri"/>
                <w:i/>
                <w:iCs/>
                <w:color w:val="000000"/>
                <w:sz w:val="19"/>
                <w:szCs w:val="22"/>
                <w:lang w:eastAsia="en-AU"/>
              </w:rPr>
            </w:pPr>
            <w:r w:rsidRPr="000000FB">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center"/>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 xml:space="preserve"> </w:t>
            </w:r>
          </w:p>
        </w:tc>
      </w:tr>
      <w:tr w:rsidR="00E25CC6" w:rsidRPr="000000FB" w:rsidTr="000000FB">
        <w:trPr>
          <w:cantSplit/>
        </w:trPr>
        <w:tc>
          <w:tcPr>
            <w:tcW w:w="3146" w:type="dxa"/>
            <w:tcBorders>
              <w:top w:val="nil"/>
              <w:left w:val="nil"/>
              <w:bottom w:val="nil"/>
              <w:right w:val="nil"/>
            </w:tcBorders>
          </w:tcPr>
          <w:p w:rsidR="00E25CC6" w:rsidRPr="000000FB" w:rsidRDefault="00E25CC6" w:rsidP="000000FB">
            <w:pPr>
              <w:pStyle w:val="OGTabText"/>
              <w:rPr>
                <w:lang w:eastAsia="en-AU"/>
              </w:rPr>
            </w:pPr>
            <w:r w:rsidRPr="000000FB">
              <w:rPr>
                <w:lang w:eastAsia="en-AU"/>
              </w:rPr>
              <w:t>Proportion of uniformed fisheries officers maintaining operational coverage for priority fishing activity periods, as defined by the Compliance Strategic Assessment</w:t>
            </w:r>
          </w:p>
        </w:tc>
        <w:tc>
          <w:tcPr>
            <w:tcW w:w="907" w:type="dxa"/>
            <w:tcBorders>
              <w:top w:val="nil"/>
              <w:left w:val="nil"/>
              <w:bottom w:val="nil"/>
              <w:right w:val="nil"/>
            </w:tcBorders>
          </w:tcPr>
          <w:p w:rsidR="00E25CC6" w:rsidRPr="000000FB" w:rsidRDefault="00E25CC6" w:rsidP="000000FB">
            <w:pPr>
              <w:autoSpaceDE w:val="0"/>
              <w:autoSpaceDN w:val="0"/>
              <w:adjustRightInd w:val="0"/>
              <w:spacing w:after="0"/>
              <w:jc w:val="center"/>
              <w:rPr>
                <w:rFonts w:ascii="Calibri" w:hAnsi="Calibri" w:cs="Calibri"/>
                <w:color w:val="000000"/>
                <w:sz w:val="19"/>
                <w:szCs w:val="22"/>
                <w:lang w:eastAsia="en-AU"/>
              </w:rPr>
            </w:pPr>
            <w:r w:rsidRPr="000000FB">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25</w:t>
            </w:r>
          </w:p>
        </w:tc>
        <w:tc>
          <w:tcPr>
            <w:tcW w:w="992" w:type="dxa"/>
            <w:tcBorders>
              <w:top w:val="nil"/>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25</w:t>
            </w:r>
          </w:p>
        </w:tc>
        <w:tc>
          <w:tcPr>
            <w:tcW w:w="907" w:type="dxa"/>
            <w:tcBorders>
              <w:top w:val="nil"/>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25</w:t>
            </w:r>
          </w:p>
        </w:tc>
        <w:tc>
          <w:tcPr>
            <w:tcW w:w="908" w:type="dxa"/>
            <w:tcBorders>
              <w:top w:val="nil"/>
              <w:left w:val="nil"/>
              <w:bottom w:val="nil"/>
              <w:right w:val="nil"/>
            </w:tcBorders>
          </w:tcPr>
          <w:p w:rsidR="00E25CC6" w:rsidRPr="000000FB" w:rsidRDefault="00E25CC6" w:rsidP="000000FB">
            <w:pPr>
              <w:autoSpaceDE w:val="0"/>
              <w:autoSpaceDN w:val="0"/>
              <w:adjustRightInd w:val="0"/>
              <w:spacing w:after="0"/>
              <w:jc w:val="right"/>
              <w:rPr>
                <w:rFonts w:ascii="Calibri" w:hAnsi="Calibri" w:cs="Calibri"/>
                <w:color w:val="000000"/>
                <w:sz w:val="19"/>
                <w:szCs w:val="22"/>
                <w:lang w:eastAsia="en-AU"/>
              </w:rPr>
            </w:pPr>
            <w:r w:rsidRPr="000000FB">
              <w:rPr>
                <w:rFonts w:ascii="Calibri" w:hAnsi="Calibri" w:cs="Calibri"/>
                <w:color w:val="000000"/>
                <w:sz w:val="19"/>
                <w:szCs w:val="22"/>
                <w:lang w:eastAsia="en-AU"/>
              </w:rPr>
              <w:t>nm</w:t>
            </w:r>
          </w:p>
        </w:tc>
      </w:tr>
      <w:tr w:rsidR="00E25CC6" w:rsidRPr="000000FB" w:rsidTr="00A959A3">
        <w:trPr>
          <w:cantSplit/>
        </w:trPr>
        <w:tc>
          <w:tcPr>
            <w:tcW w:w="7767" w:type="dxa"/>
            <w:gridSpan w:val="6"/>
            <w:tcBorders>
              <w:top w:val="nil"/>
              <w:left w:val="nil"/>
              <w:bottom w:val="single" w:sz="6" w:space="0" w:color="auto"/>
              <w:right w:val="nil"/>
            </w:tcBorders>
          </w:tcPr>
          <w:p w:rsidR="00E25CC6" w:rsidRPr="00C33E44" w:rsidRDefault="00E25CC6" w:rsidP="000000FB">
            <w:pPr>
              <w:pStyle w:val="OGNotes"/>
            </w:pPr>
            <w:r w:rsidRPr="00C33E44">
              <w:t>This performance measure is proposed to be discontinued as it has been replaced by the 2016</w:t>
            </w:r>
            <w:r w:rsidRPr="00C33E44">
              <w:noBreakHyphen/>
              <w:t xml:space="preserve">17 performance measure </w:t>
            </w:r>
            <w:r>
              <w:t>‘</w:t>
            </w:r>
            <w:r w:rsidRPr="00C33E44">
              <w:t>Minimum number of Uniformed Fisheries Officers maintaining operational coverage for priority fishing activity periods, as defined by the Compliance Strategic Assessment</w:t>
            </w:r>
            <w:r>
              <w:t>’</w:t>
            </w:r>
            <w:r w:rsidRPr="00C33E44">
              <w:t>.</w:t>
            </w:r>
          </w:p>
          <w:p w:rsidR="00E25CC6" w:rsidRPr="00C33E44" w:rsidRDefault="00E25CC6" w:rsidP="00760D70">
            <w:pPr>
              <w:pStyle w:val="OGNotes"/>
            </w:pPr>
            <w:r w:rsidRPr="00C33E44">
              <w:t>The performance measure is proposed to be discontinued on the advice of the Public Accounts and Estimates Committee.</w:t>
            </w:r>
          </w:p>
        </w:tc>
      </w:tr>
      <w:tr w:rsidR="00E25CC6" w:rsidRPr="00EB6507" w:rsidTr="00A959A3">
        <w:trPr>
          <w:cantSplit/>
        </w:trPr>
        <w:tc>
          <w:tcPr>
            <w:tcW w:w="7767" w:type="dxa"/>
            <w:gridSpan w:val="6"/>
            <w:tcBorders>
              <w:top w:val="single" w:sz="6" w:space="0" w:color="auto"/>
              <w:left w:val="nil"/>
              <w:bottom w:val="single" w:sz="6" w:space="0" w:color="auto"/>
              <w:right w:val="nil"/>
            </w:tcBorders>
          </w:tcPr>
          <w:p w:rsidR="00E25CC6" w:rsidRPr="00C33E44" w:rsidRDefault="00E25CC6" w:rsidP="00EB6507">
            <w:pPr>
              <w:pStyle w:val="OGHeading2"/>
              <w:rPr>
                <w:lang w:eastAsia="en-AU"/>
              </w:rPr>
            </w:pPr>
            <w:r w:rsidRPr="00C33E44">
              <w:rPr>
                <w:lang w:eastAsia="en-AU"/>
              </w:rPr>
              <w:t>Road Asset Management</w:t>
            </w:r>
          </w:p>
        </w:tc>
      </w:tr>
      <w:tr w:rsidR="00E25CC6" w:rsidRPr="00EB6507" w:rsidTr="00A959A3">
        <w:trPr>
          <w:cantSplit/>
        </w:trPr>
        <w:tc>
          <w:tcPr>
            <w:tcW w:w="3146" w:type="dxa"/>
            <w:tcBorders>
              <w:top w:val="single" w:sz="6" w:space="0" w:color="auto"/>
              <w:left w:val="nil"/>
              <w:bottom w:val="nil"/>
              <w:right w:val="nil"/>
            </w:tcBorders>
          </w:tcPr>
          <w:p w:rsidR="00E25CC6" w:rsidRPr="00C33E44" w:rsidRDefault="00E25CC6" w:rsidP="008950E4">
            <w:pPr>
              <w:autoSpaceDE w:val="0"/>
              <w:autoSpaceDN w:val="0"/>
              <w:adjustRightInd w:val="0"/>
              <w:spacing w:after="0"/>
              <w:ind w:left="227" w:hanging="227"/>
              <w:rPr>
                <w:rFonts w:ascii="Calibri" w:hAnsi="Calibri" w:cs="Calibri"/>
                <w:i/>
                <w:iCs/>
                <w:sz w:val="19"/>
                <w:szCs w:val="22"/>
                <w:lang w:eastAsia="en-AU"/>
              </w:rPr>
            </w:pPr>
            <w:r w:rsidRPr="00C33E44">
              <w:rPr>
                <w:rFonts w:ascii="Calibri" w:hAnsi="Calibri" w:cs="Calibri"/>
                <w:i/>
                <w:iCs/>
                <w:sz w:val="19"/>
                <w:szCs w:val="22"/>
                <w:lang w:eastAsia="en-AU"/>
              </w:rPr>
              <w:t>Quality</w:t>
            </w:r>
          </w:p>
        </w:tc>
        <w:tc>
          <w:tcPr>
            <w:tcW w:w="907"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8"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r>
      <w:tr w:rsidR="00E25CC6" w:rsidRPr="00EB6507" w:rsidTr="00ED6231">
        <w:trPr>
          <w:cantSplit/>
        </w:trPr>
        <w:tc>
          <w:tcPr>
            <w:tcW w:w="3146" w:type="dxa"/>
            <w:tcBorders>
              <w:top w:val="nil"/>
              <w:left w:val="nil"/>
              <w:right w:val="nil"/>
            </w:tcBorders>
          </w:tcPr>
          <w:p w:rsidR="00E25CC6" w:rsidRPr="00C33E44" w:rsidRDefault="00E25CC6" w:rsidP="00EB6507">
            <w:pPr>
              <w:pStyle w:val="OGTabText"/>
              <w:rPr>
                <w:lang w:eastAsia="en-AU"/>
              </w:rPr>
            </w:pPr>
            <w:r w:rsidRPr="00C33E44">
              <w:rPr>
                <w:lang w:eastAsia="en-AU"/>
              </w:rPr>
              <w:t>Proportion of distressed road pavements: metropolitan</w:t>
            </w:r>
          </w:p>
        </w:tc>
        <w:tc>
          <w:tcPr>
            <w:tcW w:w="907" w:type="dxa"/>
            <w:tcBorders>
              <w:top w:val="nil"/>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top w:val="nil"/>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7.5</w:t>
            </w:r>
          </w:p>
        </w:tc>
        <w:tc>
          <w:tcPr>
            <w:tcW w:w="992" w:type="dxa"/>
            <w:tcBorders>
              <w:top w:val="nil"/>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7.6</w:t>
            </w:r>
          </w:p>
        </w:tc>
        <w:tc>
          <w:tcPr>
            <w:tcW w:w="907" w:type="dxa"/>
            <w:tcBorders>
              <w:top w:val="nil"/>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7.5</w:t>
            </w:r>
          </w:p>
        </w:tc>
        <w:tc>
          <w:tcPr>
            <w:tcW w:w="908" w:type="dxa"/>
            <w:tcBorders>
              <w:top w:val="nil"/>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7.5</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EB6507">
            <w:pPr>
              <w:pStyle w:val="OGNotes"/>
            </w:pPr>
            <w:r w:rsidRPr="00C33E44">
              <w:t>This performance measure is proposed to be discontinued as it has been replaced by the 2016</w:t>
            </w:r>
            <w:r w:rsidRPr="00C33E44">
              <w:noBreakHyphen/>
              <w:t xml:space="preserve">17 performance measure </w:t>
            </w:r>
            <w:r>
              <w:t>‘</w:t>
            </w:r>
            <w:r w:rsidRPr="00C33E44">
              <w:t>Proportion of road pavements not distressed: metropolitan</w:t>
            </w:r>
            <w:r>
              <w:t>’</w:t>
            </w:r>
            <w:r w:rsidRPr="00C33E44">
              <w:t xml:space="preserve"> in order to provide increased clarity on what is being measured.</w:t>
            </w:r>
          </w:p>
        </w:tc>
      </w:tr>
      <w:tr w:rsidR="00E25CC6" w:rsidRPr="00EB6507" w:rsidTr="00ED6231">
        <w:trPr>
          <w:cantSplit/>
        </w:trPr>
        <w:tc>
          <w:tcPr>
            <w:tcW w:w="3146" w:type="dxa"/>
            <w:tcBorders>
              <w:top w:val="single" w:sz="6" w:space="0" w:color="auto"/>
              <w:left w:val="nil"/>
              <w:right w:val="nil"/>
            </w:tcBorders>
          </w:tcPr>
          <w:p w:rsidR="00E25CC6" w:rsidRPr="00EB6507" w:rsidRDefault="00E25CC6" w:rsidP="00EB6507">
            <w:pPr>
              <w:pStyle w:val="OGTabText"/>
              <w:rPr>
                <w:lang w:eastAsia="en-AU"/>
              </w:rPr>
            </w:pPr>
            <w:r w:rsidRPr="00EB6507">
              <w:rPr>
                <w:lang w:eastAsia="en-AU"/>
              </w:rPr>
              <w:t>Proportion of distressed road pavements: regional</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w:t>
            </w:r>
          </w:p>
        </w:tc>
        <w:tc>
          <w:tcPr>
            <w:tcW w:w="992"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8.3</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8.3</w:t>
            </w:r>
          </w:p>
        </w:tc>
        <w:tc>
          <w:tcPr>
            <w:tcW w:w="908"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7.5</w:t>
            </w:r>
          </w:p>
        </w:tc>
      </w:tr>
      <w:tr w:rsidR="00E25CC6" w:rsidRPr="00EB6507" w:rsidTr="00A959A3">
        <w:trPr>
          <w:cantSplit/>
        </w:trPr>
        <w:tc>
          <w:tcPr>
            <w:tcW w:w="7767" w:type="dxa"/>
            <w:gridSpan w:val="6"/>
            <w:tcBorders>
              <w:top w:val="nil"/>
              <w:left w:val="nil"/>
              <w:bottom w:val="single" w:sz="6" w:space="0" w:color="auto"/>
              <w:right w:val="nil"/>
            </w:tcBorders>
          </w:tcPr>
          <w:p w:rsidR="00E25CC6" w:rsidRPr="00C33E44" w:rsidRDefault="00E25CC6" w:rsidP="00EB6507">
            <w:pPr>
              <w:pStyle w:val="OGNotes"/>
            </w:pPr>
            <w:r w:rsidRPr="00C33E44">
              <w:t>This performance measure is proposed to be discontinued as it has been replaced by the 2016</w:t>
            </w:r>
            <w:r w:rsidRPr="00C33E44">
              <w:noBreakHyphen/>
              <w:t xml:space="preserve">17 performance measure </w:t>
            </w:r>
            <w:r>
              <w:t>‘</w:t>
            </w:r>
            <w:r w:rsidRPr="00C33E44">
              <w:t>Proportion of road pavements not distressed: regional</w:t>
            </w:r>
            <w:r>
              <w:t>’</w:t>
            </w:r>
            <w:r w:rsidRPr="00C33E44">
              <w:t xml:space="preserve"> in order to provide increased clarity on what is being measured.</w:t>
            </w:r>
          </w:p>
        </w:tc>
      </w:tr>
      <w:tr w:rsidR="00E25CC6" w:rsidRPr="00EB6507" w:rsidTr="00A959A3">
        <w:trPr>
          <w:cantSplit/>
        </w:trPr>
        <w:tc>
          <w:tcPr>
            <w:tcW w:w="7767" w:type="dxa"/>
            <w:gridSpan w:val="6"/>
            <w:tcBorders>
              <w:top w:val="single" w:sz="6" w:space="0" w:color="auto"/>
              <w:left w:val="nil"/>
              <w:bottom w:val="single" w:sz="6" w:space="0" w:color="auto"/>
              <w:right w:val="nil"/>
            </w:tcBorders>
          </w:tcPr>
          <w:p w:rsidR="00E25CC6" w:rsidRPr="00C33E44" w:rsidRDefault="00E25CC6" w:rsidP="00EB6507">
            <w:pPr>
              <w:pStyle w:val="OGHeading2"/>
              <w:rPr>
                <w:lang w:eastAsia="en-AU"/>
              </w:rPr>
            </w:pPr>
            <w:r w:rsidRPr="00C33E44">
              <w:rPr>
                <w:lang w:eastAsia="en-AU"/>
              </w:rPr>
              <w:t xml:space="preserve">Taxi and Hire Vehicle Services </w:t>
            </w:r>
          </w:p>
        </w:tc>
      </w:tr>
      <w:tr w:rsidR="00E25CC6" w:rsidRPr="00EB6507" w:rsidTr="00A959A3">
        <w:trPr>
          <w:cantSplit/>
        </w:trPr>
        <w:tc>
          <w:tcPr>
            <w:tcW w:w="3146" w:type="dxa"/>
            <w:tcBorders>
              <w:top w:val="single" w:sz="6" w:space="0" w:color="auto"/>
              <w:left w:val="nil"/>
              <w:bottom w:val="nil"/>
              <w:right w:val="nil"/>
            </w:tcBorders>
          </w:tcPr>
          <w:p w:rsidR="00E25CC6" w:rsidRPr="00EB6507" w:rsidRDefault="00E25CC6" w:rsidP="00EB6507">
            <w:pPr>
              <w:autoSpaceDE w:val="0"/>
              <w:autoSpaceDN w:val="0"/>
              <w:adjustRightInd w:val="0"/>
              <w:spacing w:after="0"/>
              <w:ind w:left="227" w:hanging="227"/>
              <w:rPr>
                <w:rFonts w:ascii="Calibri" w:hAnsi="Calibri" w:cs="Calibri"/>
                <w:i/>
                <w:iCs/>
                <w:color w:val="000000"/>
                <w:sz w:val="19"/>
                <w:szCs w:val="22"/>
                <w:lang w:eastAsia="en-AU"/>
              </w:rPr>
            </w:pPr>
            <w:r w:rsidRPr="00EB6507">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r>
      <w:tr w:rsidR="00E25CC6" w:rsidRPr="00EB6507" w:rsidTr="00ED6231">
        <w:trPr>
          <w:cantSplit/>
        </w:trPr>
        <w:tc>
          <w:tcPr>
            <w:tcW w:w="3146" w:type="dxa"/>
            <w:tcBorders>
              <w:top w:val="nil"/>
              <w:left w:val="nil"/>
              <w:right w:val="nil"/>
            </w:tcBorders>
          </w:tcPr>
          <w:p w:rsidR="00E25CC6" w:rsidRPr="00EB6507" w:rsidRDefault="00E25CC6" w:rsidP="00EB6507">
            <w:pPr>
              <w:pStyle w:val="OGTabText"/>
              <w:rPr>
                <w:lang w:eastAsia="en-AU"/>
              </w:rPr>
            </w:pPr>
            <w:r w:rsidRPr="00EB6507">
              <w:rPr>
                <w:lang w:eastAsia="en-AU"/>
              </w:rPr>
              <w:t>Average occupancy rate of metropolitan taxis in December (period of high service demand)</w:t>
            </w:r>
          </w:p>
        </w:tc>
        <w:tc>
          <w:tcPr>
            <w:tcW w:w="907" w:type="dxa"/>
            <w:tcBorders>
              <w:top w:val="nil"/>
              <w:left w:val="nil"/>
              <w:right w:val="nil"/>
            </w:tcBorders>
          </w:tcPr>
          <w:p w:rsidR="00E25CC6" w:rsidRPr="00EB6507" w:rsidRDefault="00E25CC6" w:rsidP="00EB6507">
            <w:pPr>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31</w:t>
            </w:r>
          </w:p>
        </w:tc>
        <w:tc>
          <w:tcPr>
            <w:tcW w:w="992"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33</w:t>
            </w:r>
          </w:p>
        </w:tc>
        <w:tc>
          <w:tcPr>
            <w:tcW w:w="907"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33</w:t>
            </w:r>
          </w:p>
        </w:tc>
        <w:tc>
          <w:tcPr>
            <w:tcW w:w="908"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32</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EB6507" w:rsidRDefault="00E25CC6" w:rsidP="00EB6507">
            <w:pPr>
              <w:pStyle w:val="OGNotes"/>
            </w:pPr>
            <w:r w:rsidRPr="00EB6507">
              <w:t>This measure is proposed to be discontinued as occupancy is subject to external factors outside the control of the Taxi Services Commission</w:t>
            </w:r>
            <w:r>
              <w:t>.</w:t>
            </w:r>
          </w:p>
        </w:tc>
      </w:tr>
      <w:tr w:rsidR="00E25CC6" w:rsidRPr="00EB6507" w:rsidTr="008950E4">
        <w:trPr>
          <w:cantSplit/>
        </w:trPr>
        <w:tc>
          <w:tcPr>
            <w:tcW w:w="3146" w:type="dxa"/>
            <w:tcBorders>
              <w:top w:val="single" w:sz="6" w:space="0" w:color="auto"/>
              <w:left w:val="nil"/>
              <w:right w:val="nil"/>
            </w:tcBorders>
          </w:tcPr>
          <w:p w:rsidR="00E25CC6" w:rsidRPr="00EB6507" w:rsidRDefault="00E25CC6" w:rsidP="00EB6507">
            <w:pPr>
              <w:pStyle w:val="OGTabText"/>
              <w:rPr>
                <w:lang w:eastAsia="en-AU"/>
              </w:rPr>
            </w:pPr>
            <w:r w:rsidRPr="00EB6507">
              <w:rPr>
                <w:lang w:eastAsia="en-AU"/>
              </w:rPr>
              <w:t>Average occupancy rate of metropolitan taxis in June (period of low service demand)</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28</w:t>
            </w:r>
          </w:p>
        </w:tc>
        <w:tc>
          <w:tcPr>
            <w:tcW w:w="992"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28.3</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30</w:t>
            </w:r>
          </w:p>
        </w:tc>
        <w:tc>
          <w:tcPr>
            <w:tcW w:w="908"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30</w:t>
            </w:r>
          </w:p>
        </w:tc>
      </w:tr>
      <w:tr w:rsidR="00E25CC6" w:rsidRPr="00EB6507" w:rsidTr="008950E4">
        <w:trPr>
          <w:cantSplit/>
        </w:trPr>
        <w:tc>
          <w:tcPr>
            <w:tcW w:w="7767" w:type="dxa"/>
            <w:gridSpan w:val="6"/>
            <w:tcBorders>
              <w:top w:val="nil"/>
              <w:left w:val="nil"/>
              <w:bottom w:val="single" w:sz="4" w:space="0" w:color="auto"/>
              <w:right w:val="nil"/>
            </w:tcBorders>
          </w:tcPr>
          <w:p w:rsidR="00E25CC6" w:rsidRPr="00EB6507" w:rsidRDefault="00E25CC6" w:rsidP="00EB6507">
            <w:pPr>
              <w:pStyle w:val="OGNotes"/>
            </w:pPr>
            <w:r w:rsidRPr="00EB6507">
              <w:t>This measure is proposed to be discontinued as occupancy is subject to external factors outside the control of the Taxi Services Commission</w:t>
            </w:r>
            <w:r>
              <w:t>.</w:t>
            </w:r>
            <w:r w:rsidRPr="00EB6507">
              <w:t xml:space="preserve"> </w:t>
            </w:r>
          </w:p>
        </w:tc>
      </w:tr>
      <w:tr w:rsidR="00E25CC6" w:rsidRPr="00EB6507" w:rsidTr="008950E4">
        <w:trPr>
          <w:cantSplit/>
        </w:trPr>
        <w:tc>
          <w:tcPr>
            <w:tcW w:w="3146" w:type="dxa"/>
            <w:tcBorders>
              <w:top w:val="single" w:sz="4" w:space="0" w:color="auto"/>
              <w:left w:val="nil"/>
              <w:right w:val="nil"/>
            </w:tcBorders>
          </w:tcPr>
          <w:p w:rsidR="00E25CC6" w:rsidRPr="00C33E44" w:rsidRDefault="00E25CC6" w:rsidP="00255F85">
            <w:pPr>
              <w:pStyle w:val="OGTabText"/>
              <w:rPr>
                <w:lang w:eastAsia="en-AU"/>
              </w:rPr>
            </w:pPr>
            <w:r w:rsidRPr="00C33E44">
              <w:rPr>
                <w:lang w:eastAsia="en-AU"/>
              </w:rPr>
              <w:t>Multi</w:t>
            </w:r>
            <w:r w:rsidRPr="00C33E44">
              <w:rPr>
                <w:lang w:eastAsia="en-AU"/>
              </w:rPr>
              <w:noBreakHyphen/>
              <w:t>Purpose Taxi Program: passenger-only trips</w:t>
            </w:r>
          </w:p>
        </w:tc>
        <w:tc>
          <w:tcPr>
            <w:tcW w:w="907" w:type="dxa"/>
            <w:tcBorders>
              <w:top w:val="single" w:sz="4"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number </w:t>
            </w:r>
            <w:r w:rsidRPr="00C33E44">
              <w:rPr>
                <w:rFonts w:ascii="Calibri" w:hAnsi="Calibri" w:cs="Calibri"/>
                <w:sz w:val="19"/>
                <w:szCs w:val="19"/>
                <w:lang w:eastAsia="en-AU"/>
              </w:rPr>
              <w:t>(000)</w:t>
            </w:r>
          </w:p>
        </w:tc>
        <w:tc>
          <w:tcPr>
            <w:tcW w:w="907" w:type="dxa"/>
            <w:tcBorders>
              <w:top w:val="single" w:sz="4"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3 500</w:t>
            </w:r>
          </w:p>
        </w:tc>
        <w:tc>
          <w:tcPr>
            <w:tcW w:w="992" w:type="dxa"/>
            <w:tcBorders>
              <w:top w:val="single" w:sz="4"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3 800</w:t>
            </w:r>
          </w:p>
        </w:tc>
        <w:tc>
          <w:tcPr>
            <w:tcW w:w="907" w:type="dxa"/>
            <w:tcBorders>
              <w:top w:val="single" w:sz="4"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3 800</w:t>
            </w:r>
          </w:p>
        </w:tc>
        <w:tc>
          <w:tcPr>
            <w:tcW w:w="908" w:type="dxa"/>
            <w:tcBorders>
              <w:top w:val="single" w:sz="4"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3 670</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0E381C">
            <w:pPr>
              <w:pStyle w:val="OGNotes"/>
            </w:pPr>
            <w:r w:rsidRPr="00C33E44">
              <w:t>This performance measure is proposed to be discontinued as it has been replaced by the 2016</w:t>
            </w:r>
            <w:r w:rsidRPr="00C33E44">
              <w:noBreakHyphen/>
              <w:t xml:space="preserve">17 performance measure </w:t>
            </w:r>
            <w:r>
              <w:t>‘</w:t>
            </w:r>
            <w:r w:rsidRPr="00C33E44">
              <w:t>Number of Multi</w:t>
            </w:r>
            <w:r w:rsidRPr="00C33E44">
              <w:noBreakHyphen/>
              <w:t>Purpose Taxi Program: trips subsidised</w:t>
            </w:r>
            <w:r>
              <w:t>’</w:t>
            </w:r>
            <w:r w:rsidRPr="00C33E44">
              <w:t xml:space="preserve"> which is a more comprehensive indication of taxi use by the Multi-Purpose Taxi Program and conveys more meaningful information about service delivery.</w:t>
            </w:r>
          </w:p>
        </w:tc>
      </w:tr>
      <w:tr w:rsidR="00E25CC6" w:rsidRPr="00EB6507" w:rsidTr="00ED6231">
        <w:trPr>
          <w:cantSplit/>
        </w:trPr>
        <w:tc>
          <w:tcPr>
            <w:tcW w:w="3146" w:type="dxa"/>
            <w:tcBorders>
              <w:top w:val="single" w:sz="6" w:space="0" w:color="auto"/>
              <w:left w:val="nil"/>
              <w:right w:val="nil"/>
            </w:tcBorders>
          </w:tcPr>
          <w:p w:rsidR="00E25CC6" w:rsidRPr="00C33E44" w:rsidRDefault="00E25CC6" w:rsidP="00255F85">
            <w:pPr>
              <w:pStyle w:val="OGTabText"/>
              <w:rPr>
                <w:lang w:eastAsia="en-AU"/>
              </w:rPr>
            </w:pPr>
            <w:r w:rsidRPr="00C33E44">
              <w:rPr>
                <w:lang w:eastAsia="en-AU"/>
              </w:rPr>
              <w:t>Multi</w:t>
            </w:r>
            <w:r w:rsidRPr="00C33E44">
              <w:rPr>
                <w:lang w:eastAsia="en-AU"/>
              </w:rPr>
              <w:noBreakHyphen/>
              <w:t>Purpose Taxi Program: with wheelchair trips</w:t>
            </w:r>
          </w:p>
        </w:tc>
        <w:tc>
          <w:tcPr>
            <w:tcW w:w="907" w:type="dxa"/>
            <w:tcBorders>
              <w:top w:val="single" w:sz="6" w:space="0" w:color="auto"/>
              <w:left w:val="nil"/>
              <w:right w:val="nil"/>
            </w:tcBorders>
          </w:tcPr>
          <w:p w:rsidR="00E25CC6" w:rsidRPr="00C33E44" w:rsidRDefault="00E25CC6" w:rsidP="00920BEF">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number </w:t>
            </w:r>
            <w:r w:rsidRPr="00C33E44">
              <w:rPr>
                <w:rFonts w:ascii="Calibri" w:hAnsi="Calibri" w:cs="Calibri"/>
                <w:sz w:val="19"/>
                <w:szCs w:val="19"/>
                <w:lang w:eastAsia="en-AU"/>
              </w:rPr>
              <w:t>(000)</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950</w:t>
            </w:r>
          </w:p>
        </w:tc>
        <w:tc>
          <w:tcPr>
            <w:tcW w:w="992"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1 020</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1 020</w:t>
            </w:r>
          </w:p>
        </w:tc>
        <w:tc>
          <w:tcPr>
            <w:tcW w:w="908"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941</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AB4EBA">
            <w:pPr>
              <w:pStyle w:val="OGNotes"/>
            </w:pPr>
            <w:r w:rsidRPr="00C33E44">
              <w:t>This performance measure is proposed to be discontinued as it has been replaced by the 2016</w:t>
            </w:r>
            <w:r w:rsidRPr="00C33E44">
              <w:noBreakHyphen/>
              <w:t xml:space="preserve">17 performance measure </w:t>
            </w:r>
            <w:r>
              <w:t>‘</w:t>
            </w:r>
            <w:r w:rsidRPr="00C33E44">
              <w:t>Number of Multi</w:t>
            </w:r>
            <w:r w:rsidRPr="00C33E44">
              <w:noBreakHyphen/>
              <w:t>Purpose Taxi Program: wheelchair and scooter lifting fees paid</w:t>
            </w:r>
            <w:r>
              <w:t>’</w:t>
            </w:r>
            <w:r w:rsidRPr="00C33E44">
              <w:t>, which is a more comprehensive indication of taxi use by the Multi</w:t>
            </w:r>
            <w:r>
              <w:noBreakHyphen/>
            </w:r>
            <w:r w:rsidRPr="00C33E44">
              <w:t>Purpose Taxi Program and conveys more meaningful information about service delivery.</w:t>
            </w:r>
          </w:p>
        </w:tc>
      </w:tr>
      <w:tr w:rsidR="00E25CC6" w:rsidRPr="00EB6507" w:rsidTr="00ED6231">
        <w:trPr>
          <w:cantSplit/>
        </w:trPr>
        <w:tc>
          <w:tcPr>
            <w:tcW w:w="3146" w:type="dxa"/>
            <w:tcBorders>
              <w:top w:val="single" w:sz="6" w:space="0" w:color="auto"/>
              <w:left w:val="nil"/>
              <w:right w:val="nil"/>
            </w:tcBorders>
          </w:tcPr>
          <w:p w:rsidR="00E25CC6" w:rsidRPr="00C33E44" w:rsidRDefault="00E25CC6" w:rsidP="00EB6507">
            <w:pPr>
              <w:pStyle w:val="OGTabText"/>
              <w:rPr>
                <w:lang w:eastAsia="en-AU"/>
              </w:rPr>
            </w:pPr>
            <w:r w:rsidRPr="00C33E44">
              <w:rPr>
                <w:lang w:eastAsia="en-AU"/>
              </w:rPr>
              <w:t>Taxi and hire vehicle reform recommendations implemented and completed</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28</w:t>
            </w:r>
          </w:p>
        </w:tc>
        <w:tc>
          <w:tcPr>
            <w:tcW w:w="992"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28</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28</w:t>
            </w:r>
          </w:p>
        </w:tc>
        <w:tc>
          <w:tcPr>
            <w:tcW w:w="908"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24</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0C1B0D">
            <w:pPr>
              <w:pStyle w:val="OGNotes"/>
            </w:pPr>
            <w:r w:rsidRPr="00C33E44">
              <w:t>This measure is proposed to be discontinued as the taxi and hire vehicle industry reform program will be completed in June 2016.</w:t>
            </w:r>
          </w:p>
        </w:tc>
      </w:tr>
      <w:tr w:rsidR="00E25CC6" w:rsidRPr="00EB6507" w:rsidTr="00ED6231">
        <w:trPr>
          <w:cantSplit/>
        </w:trPr>
        <w:tc>
          <w:tcPr>
            <w:tcW w:w="3146" w:type="dxa"/>
            <w:tcBorders>
              <w:top w:val="single" w:sz="6" w:space="0" w:color="auto"/>
              <w:left w:val="nil"/>
              <w:bottom w:val="nil"/>
              <w:right w:val="nil"/>
            </w:tcBorders>
          </w:tcPr>
          <w:p w:rsidR="00E25CC6" w:rsidRPr="00C33E44" w:rsidRDefault="00E25CC6" w:rsidP="00EB6507">
            <w:pPr>
              <w:autoSpaceDE w:val="0"/>
              <w:autoSpaceDN w:val="0"/>
              <w:adjustRightInd w:val="0"/>
              <w:spacing w:after="0"/>
              <w:ind w:left="227" w:hanging="227"/>
              <w:rPr>
                <w:rFonts w:ascii="Calibri" w:hAnsi="Calibri" w:cs="Calibri"/>
                <w:i/>
                <w:iCs/>
                <w:sz w:val="19"/>
                <w:szCs w:val="22"/>
                <w:lang w:eastAsia="en-AU"/>
              </w:rPr>
            </w:pPr>
            <w:r w:rsidRPr="00C33E44">
              <w:rPr>
                <w:rFonts w:ascii="Calibri" w:hAnsi="Calibri" w:cs="Calibri"/>
                <w:i/>
                <w:iCs/>
                <w:sz w:val="19"/>
                <w:szCs w:val="22"/>
                <w:lang w:eastAsia="en-AU"/>
              </w:rPr>
              <w:t>Quality</w:t>
            </w:r>
          </w:p>
        </w:tc>
        <w:tc>
          <w:tcPr>
            <w:tcW w:w="907"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r>
      <w:tr w:rsidR="00E25CC6" w:rsidRPr="00EB6507" w:rsidTr="00ED6231">
        <w:trPr>
          <w:cantSplit/>
        </w:trPr>
        <w:tc>
          <w:tcPr>
            <w:tcW w:w="3146" w:type="dxa"/>
            <w:tcBorders>
              <w:top w:val="nil"/>
              <w:left w:val="nil"/>
              <w:right w:val="nil"/>
            </w:tcBorders>
          </w:tcPr>
          <w:p w:rsidR="00E25CC6" w:rsidRPr="00EB6507" w:rsidRDefault="00E25CC6" w:rsidP="00EB6507">
            <w:pPr>
              <w:pStyle w:val="OGTabText"/>
              <w:rPr>
                <w:lang w:eastAsia="en-AU"/>
              </w:rPr>
            </w:pPr>
            <w:r w:rsidRPr="00EB6507">
              <w:rPr>
                <w:lang w:eastAsia="en-AU"/>
              </w:rPr>
              <w:t>Taxi services online customer rating: information in taxis</w:t>
            </w:r>
          </w:p>
        </w:tc>
        <w:tc>
          <w:tcPr>
            <w:tcW w:w="907" w:type="dxa"/>
            <w:tcBorders>
              <w:top w:val="nil"/>
              <w:left w:val="nil"/>
              <w:right w:val="nil"/>
            </w:tcBorders>
          </w:tcPr>
          <w:p w:rsidR="00E25CC6" w:rsidRPr="00EB6507" w:rsidRDefault="00E25CC6" w:rsidP="00EB6507">
            <w:pPr>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score</w:t>
            </w:r>
          </w:p>
        </w:tc>
        <w:tc>
          <w:tcPr>
            <w:tcW w:w="907" w:type="dxa"/>
            <w:tcBorders>
              <w:top w:val="nil"/>
              <w:left w:val="nil"/>
              <w:right w:val="nil"/>
            </w:tcBorders>
            <w:shd w:val="clear" w:color="auto" w:fill="DCDCDC"/>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59.2</w:t>
            </w:r>
          </w:p>
        </w:tc>
        <w:tc>
          <w:tcPr>
            <w:tcW w:w="992"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59.2</w:t>
            </w:r>
          </w:p>
        </w:tc>
        <w:tc>
          <w:tcPr>
            <w:tcW w:w="907"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59.2</w:t>
            </w:r>
          </w:p>
        </w:tc>
        <w:tc>
          <w:tcPr>
            <w:tcW w:w="908"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66</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EB6507" w:rsidRDefault="00E25CC6" w:rsidP="000C1B0D">
            <w:pPr>
              <w:pStyle w:val="OGNotes"/>
            </w:pPr>
            <w:r w:rsidRPr="00EB6507">
              <w:t xml:space="preserve">This measure is proposed to be discontinued as Information requirements under the Taxi and Hire Vehicle Industry Reform </w:t>
            </w:r>
            <w:r w:rsidRPr="00C33E44">
              <w:t xml:space="preserve">Program about the taxi driver, operator, industry and performance standards and requirements for customer access in transit have all been fully implemented as </w:t>
            </w:r>
            <w:r w:rsidRPr="00EB6507">
              <w:t>part of the reforms.</w:t>
            </w:r>
          </w:p>
        </w:tc>
      </w:tr>
      <w:tr w:rsidR="00E25CC6" w:rsidRPr="00EB6507" w:rsidTr="00ED6231">
        <w:trPr>
          <w:cantSplit/>
        </w:trPr>
        <w:tc>
          <w:tcPr>
            <w:tcW w:w="3146" w:type="dxa"/>
            <w:tcBorders>
              <w:top w:val="single" w:sz="6" w:space="0" w:color="auto"/>
              <w:left w:val="nil"/>
              <w:bottom w:val="nil"/>
              <w:right w:val="nil"/>
            </w:tcBorders>
          </w:tcPr>
          <w:p w:rsidR="00E25CC6" w:rsidRPr="00EB6507" w:rsidRDefault="00E25CC6" w:rsidP="00ED6231">
            <w:pPr>
              <w:keepNext/>
              <w:autoSpaceDE w:val="0"/>
              <w:autoSpaceDN w:val="0"/>
              <w:adjustRightInd w:val="0"/>
              <w:spacing w:after="0"/>
              <w:ind w:left="227" w:hanging="227"/>
              <w:rPr>
                <w:rFonts w:ascii="Calibri" w:hAnsi="Calibri" w:cs="Calibri"/>
                <w:i/>
                <w:iCs/>
                <w:color w:val="000000"/>
                <w:sz w:val="19"/>
                <w:szCs w:val="22"/>
                <w:lang w:eastAsia="en-AU"/>
              </w:rPr>
            </w:pPr>
            <w:r w:rsidRPr="00EB6507">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EB6507" w:rsidRDefault="00E25CC6" w:rsidP="00ED6231">
            <w:pPr>
              <w:keepNext/>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EB650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EB650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EB650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EB6507" w:rsidRDefault="00E25CC6" w:rsidP="00ED6231">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r>
      <w:tr w:rsidR="00E25CC6" w:rsidRPr="00EB6507" w:rsidTr="00ED6231">
        <w:trPr>
          <w:cantSplit/>
        </w:trPr>
        <w:tc>
          <w:tcPr>
            <w:tcW w:w="3146" w:type="dxa"/>
            <w:tcBorders>
              <w:top w:val="nil"/>
              <w:left w:val="nil"/>
              <w:right w:val="nil"/>
            </w:tcBorders>
          </w:tcPr>
          <w:p w:rsidR="00E25CC6" w:rsidRPr="00C33E44" w:rsidRDefault="00E25CC6" w:rsidP="0046306A">
            <w:pPr>
              <w:pStyle w:val="OGTabText"/>
              <w:keepNext/>
              <w:rPr>
                <w:lang w:eastAsia="en-AU"/>
              </w:rPr>
            </w:pPr>
            <w:r w:rsidRPr="00C33E44">
              <w:rPr>
                <w:lang w:eastAsia="en-AU"/>
              </w:rPr>
              <w:t>Taxi and hire vehicle: calls to the Taxi Services Commission call centre answered within 20</w:t>
            </w:r>
            <w:r>
              <w:rPr>
                <w:lang w:eastAsia="en-AU"/>
              </w:rPr>
              <w:t> </w:t>
            </w:r>
            <w:r w:rsidRPr="00C33E44">
              <w:rPr>
                <w:lang w:eastAsia="en-AU"/>
              </w:rPr>
              <w:t>seconds</w:t>
            </w:r>
          </w:p>
        </w:tc>
        <w:tc>
          <w:tcPr>
            <w:tcW w:w="907" w:type="dxa"/>
            <w:tcBorders>
              <w:top w:val="nil"/>
              <w:left w:val="nil"/>
              <w:right w:val="nil"/>
            </w:tcBorders>
          </w:tcPr>
          <w:p w:rsidR="00E25CC6" w:rsidRPr="00C33E44" w:rsidRDefault="00E25CC6" w:rsidP="00ED6231">
            <w:pPr>
              <w:keepNext/>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top w:val="nil"/>
              <w:left w:val="nil"/>
              <w:right w:val="nil"/>
            </w:tcBorders>
            <w:shd w:val="clear" w:color="auto" w:fill="DCDCDC"/>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54.0</w:t>
            </w:r>
          </w:p>
        </w:tc>
        <w:tc>
          <w:tcPr>
            <w:tcW w:w="992" w:type="dxa"/>
            <w:tcBorders>
              <w:top w:val="nil"/>
              <w:left w:val="nil"/>
              <w:right w:val="nil"/>
            </w:tcBorders>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49.0</w:t>
            </w:r>
          </w:p>
        </w:tc>
        <w:tc>
          <w:tcPr>
            <w:tcW w:w="907" w:type="dxa"/>
            <w:tcBorders>
              <w:top w:val="nil"/>
              <w:left w:val="nil"/>
              <w:right w:val="nil"/>
            </w:tcBorders>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54.0</w:t>
            </w:r>
          </w:p>
        </w:tc>
        <w:tc>
          <w:tcPr>
            <w:tcW w:w="908" w:type="dxa"/>
            <w:tcBorders>
              <w:top w:val="nil"/>
              <w:left w:val="nil"/>
              <w:right w:val="nil"/>
            </w:tcBorders>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nm</w:t>
            </w:r>
          </w:p>
        </w:tc>
      </w:tr>
      <w:tr w:rsidR="00E25CC6" w:rsidRPr="00EB6507" w:rsidTr="00A959A3">
        <w:trPr>
          <w:cantSplit/>
        </w:trPr>
        <w:tc>
          <w:tcPr>
            <w:tcW w:w="7767" w:type="dxa"/>
            <w:gridSpan w:val="6"/>
            <w:tcBorders>
              <w:top w:val="nil"/>
              <w:left w:val="nil"/>
              <w:bottom w:val="single" w:sz="6" w:space="0" w:color="auto"/>
              <w:right w:val="nil"/>
            </w:tcBorders>
          </w:tcPr>
          <w:p w:rsidR="00E25CC6" w:rsidRPr="00C33E44" w:rsidRDefault="00E25CC6" w:rsidP="00EB6507">
            <w:pPr>
              <w:pStyle w:val="OGNotes"/>
            </w:pPr>
            <w:r w:rsidRPr="00C33E44">
              <w:t xml:space="preserve">This measure is proposed to be discontinued as it has been replaced by </w:t>
            </w:r>
            <w:r>
              <w:t>‘</w:t>
            </w:r>
            <w:r w:rsidRPr="00C33E44">
              <w:t>Taxi and hire vehicle: average speed of calls answered in the Taxi Services Commission call centre</w:t>
            </w:r>
            <w:r>
              <w:t>’</w:t>
            </w:r>
            <w:r w:rsidRPr="00C33E44">
              <w:t>. The proposed new measure better reflects the core focus of Taxi Services Commission on resolving calls promptly at the first point of contact.</w:t>
            </w:r>
          </w:p>
          <w:p w:rsidR="00E25CC6" w:rsidRPr="00C33E44" w:rsidRDefault="00E25CC6" w:rsidP="00396AD7">
            <w:pPr>
              <w:pStyle w:val="OGNotes"/>
            </w:pPr>
            <w:r w:rsidRPr="00C33E44">
              <w:t>The 2015</w:t>
            </w:r>
            <w:r w:rsidRPr="00C33E44">
              <w:noBreakHyphen/>
              <w:t>16 expected outcome is lower than the 2015</w:t>
            </w:r>
            <w:r w:rsidRPr="00C33E44">
              <w:noBreakHyphen/>
              <w:t xml:space="preserve">16 target. Call numbers and </w:t>
            </w:r>
            <w:r>
              <w:t>complexity continue to be high</w:t>
            </w:r>
            <w:r w:rsidRPr="00C33E44">
              <w:t xml:space="preserve">. </w:t>
            </w:r>
          </w:p>
        </w:tc>
      </w:tr>
      <w:tr w:rsidR="00E25CC6" w:rsidRPr="00EB6507" w:rsidTr="004D19F7">
        <w:trPr>
          <w:cantSplit/>
        </w:trPr>
        <w:tc>
          <w:tcPr>
            <w:tcW w:w="7767" w:type="dxa"/>
            <w:gridSpan w:val="6"/>
            <w:tcBorders>
              <w:top w:val="single" w:sz="6" w:space="0" w:color="auto"/>
              <w:left w:val="nil"/>
              <w:bottom w:val="single" w:sz="6" w:space="0" w:color="auto"/>
              <w:right w:val="nil"/>
            </w:tcBorders>
          </w:tcPr>
          <w:p w:rsidR="00E25CC6" w:rsidRPr="00C33E44" w:rsidRDefault="00E25CC6" w:rsidP="00EB6507">
            <w:pPr>
              <w:pStyle w:val="OGHeading2"/>
              <w:rPr>
                <w:lang w:eastAsia="en-AU"/>
              </w:rPr>
            </w:pPr>
            <w:r w:rsidRPr="00C33E44">
              <w:rPr>
                <w:lang w:eastAsia="en-AU"/>
              </w:rPr>
              <w:t>Train Services</w:t>
            </w:r>
          </w:p>
        </w:tc>
      </w:tr>
      <w:tr w:rsidR="00E25CC6" w:rsidRPr="00EB6507" w:rsidTr="004D19F7">
        <w:trPr>
          <w:cantSplit/>
        </w:trPr>
        <w:tc>
          <w:tcPr>
            <w:tcW w:w="3146" w:type="dxa"/>
            <w:tcBorders>
              <w:top w:val="single" w:sz="6" w:space="0" w:color="auto"/>
              <w:left w:val="nil"/>
              <w:right w:val="nil"/>
            </w:tcBorders>
          </w:tcPr>
          <w:p w:rsidR="00E25CC6" w:rsidRPr="00C33E44" w:rsidRDefault="00E25CC6" w:rsidP="00920BEF">
            <w:pPr>
              <w:autoSpaceDE w:val="0"/>
              <w:autoSpaceDN w:val="0"/>
              <w:adjustRightInd w:val="0"/>
              <w:spacing w:after="0"/>
              <w:ind w:left="227" w:hanging="227"/>
              <w:rPr>
                <w:rFonts w:ascii="Calibri" w:hAnsi="Calibri" w:cs="Calibri"/>
                <w:i/>
                <w:iCs/>
                <w:sz w:val="19"/>
                <w:szCs w:val="22"/>
                <w:lang w:eastAsia="en-AU"/>
              </w:rPr>
            </w:pPr>
            <w:r w:rsidRPr="00C33E44">
              <w:rPr>
                <w:rFonts w:ascii="Calibri" w:hAnsi="Calibri" w:cs="Calibri"/>
                <w:i/>
                <w:iCs/>
                <w:sz w:val="19"/>
                <w:szCs w:val="22"/>
                <w:lang w:eastAsia="en-AU"/>
              </w:rPr>
              <w:t>Quantity</w:t>
            </w:r>
          </w:p>
        </w:tc>
        <w:tc>
          <w:tcPr>
            <w:tcW w:w="907" w:type="dxa"/>
            <w:tcBorders>
              <w:top w:val="single" w:sz="6" w:space="0" w:color="auto"/>
              <w:left w:val="nil"/>
              <w:right w:val="nil"/>
            </w:tcBorders>
          </w:tcPr>
          <w:p w:rsidR="00E25CC6" w:rsidRPr="00C33E44" w:rsidRDefault="00E25CC6" w:rsidP="00920BEF">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92" w:type="dxa"/>
            <w:tcBorders>
              <w:top w:val="single" w:sz="6" w:space="0" w:color="auto"/>
              <w:left w:val="nil"/>
              <w:right w:val="nil"/>
            </w:tcBorders>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8" w:type="dxa"/>
            <w:tcBorders>
              <w:top w:val="single" w:sz="6" w:space="0" w:color="auto"/>
              <w:left w:val="nil"/>
              <w:right w:val="nil"/>
            </w:tcBorders>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r>
      <w:tr w:rsidR="00E25CC6" w:rsidRPr="00EB6507" w:rsidTr="004D19F7">
        <w:trPr>
          <w:cantSplit/>
        </w:trPr>
        <w:tc>
          <w:tcPr>
            <w:tcW w:w="3146" w:type="dxa"/>
            <w:tcBorders>
              <w:left w:val="nil"/>
              <w:right w:val="nil"/>
            </w:tcBorders>
          </w:tcPr>
          <w:p w:rsidR="00E25CC6" w:rsidRPr="00C33E44" w:rsidRDefault="00E25CC6" w:rsidP="0046306A">
            <w:pPr>
              <w:pStyle w:val="OGTabText"/>
              <w:rPr>
                <w:lang w:eastAsia="en-AU"/>
              </w:rPr>
            </w:pPr>
            <w:r w:rsidRPr="00C33E44">
              <w:rPr>
                <w:lang w:eastAsia="en-AU"/>
              </w:rPr>
              <w:t xml:space="preserve">Progress of Regional Rail Link </w:t>
            </w:r>
            <w:r>
              <w:rPr>
                <w:lang w:eastAsia="en-AU"/>
              </w:rPr>
              <w:t>–</w:t>
            </w:r>
            <w:r w:rsidRPr="00C33E44">
              <w:rPr>
                <w:lang w:eastAsia="en-AU"/>
              </w:rPr>
              <w:t xml:space="preserve"> cumulative project expenditure</w:t>
            </w:r>
          </w:p>
        </w:tc>
        <w:tc>
          <w:tcPr>
            <w:tcW w:w="907" w:type="dxa"/>
            <w:tcBorders>
              <w:left w:val="nil"/>
              <w:right w:val="nil"/>
            </w:tcBorders>
          </w:tcPr>
          <w:p w:rsidR="00E25CC6" w:rsidRPr="00C33E44" w:rsidRDefault="00E25CC6" w:rsidP="00920BEF">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left w:val="nil"/>
              <w:right w:val="nil"/>
            </w:tcBorders>
            <w:shd w:val="clear" w:color="auto" w:fill="DCDCDC"/>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100</w:t>
            </w:r>
          </w:p>
        </w:tc>
        <w:tc>
          <w:tcPr>
            <w:tcW w:w="992" w:type="dxa"/>
            <w:tcBorders>
              <w:left w:val="nil"/>
              <w:right w:val="nil"/>
            </w:tcBorders>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99</w:t>
            </w:r>
          </w:p>
        </w:tc>
        <w:tc>
          <w:tcPr>
            <w:tcW w:w="907" w:type="dxa"/>
            <w:tcBorders>
              <w:left w:val="nil"/>
              <w:right w:val="nil"/>
            </w:tcBorders>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99</w:t>
            </w:r>
          </w:p>
        </w:tc>
        <w:tc>
          <w:tcPr>
            <w:tcW w:w="908" w:type="dxa"/>
            <w:tcBorders>
              <w:left w:val="nil"/>
              <w:right w:val="nil"/>
            </w:tcBorders>
          </w:tcPr>
          <w:p w:rsidR="00E25CC6" w:rsidRPr="00C33E44" w:rsidRDefault="00E25CC6" w:rsidP="00920BEF">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97</w:t>
            </w:r>
          </w:p>
        </w:tc>
      </w:tr>
      <w:tr w:rsidR="00E25CC6" w:rsidRPr="00EB6507" w:rsidTr="004D19F7">
        <w:trPr>
          <w:cantSplit/>
        </w:trPr>
        <w:tc>
          <w:tcPr>
            <w:tcW w:w="7767" w:type="dxa"/>
            <w:gridSpan w:val="6"/>
            <w:tcBorders>
              <w:left w:val="nil"/>
              <w:right w:val="nil"/>
            </w:tcBorders>
          </w:tcPr>
          <w:p w:rsidR="00E25CC6" w:rsidRPr="00C33E44" w:rsidRDefault="00E25CC6" w:rsidP="004D19F7">
            <w:pPr>
              <w:pStyle w:val="OGNotes"/>
            </w:pPr>
            <w:r w:rsidRPr="00C33E44">
              <w:t>This performance measure is proposed to be discontinued as the project has now been completed.</w:t>
            </w:r>
          </w:p>
        </w:tc>
      </w:tr>
      <w:tr w:rsidR="00E25CC6" w:rsidRPr="00EB6507" w:rsidTr="00A959A3">
        <w:trPr>
          <w:cantSplit/>
        </w:trPr>
        <w:tc>
          <w:tcPr>
            <w:tcW w:w="3146" w:type="dxa"/>
            <w:tcBorders>
              <w:top w:val="single" w:sz="6" w:space="0" w:color="auto"/>
              <w:left w:val="nil"/>
              <w:right w:val="nil"/>
            </w:tcBorders>
          </w:tcPr>
          <w:p w:rsidR="00E25CC6" w:rsidRPr="00C33E44" w:rsidRDefault="00E25CC6" w:rsidP="00EB6507">
            <w:pPr>
              <w:autoSpaceDE w:val="0"/>
              <w:autoSpaceDN w:val="0"/>
              <w:adjustRightInd w:val="0"/>
              <w:spacing w:after="0"/>
              <w:ind w:left="227" w:hanging="227"/>
              <w:rPr>
                <w:rFonts w:ascii="Calibri" w:hAnsi="Calibri" w:cs="Calibri"/>
                <w:i/>
                <w:iCs/>
                <w:sz w:val="19"/>
                <w:szCs w:val="22"/>
                <w:lang w:eastAsia="en-AU"/>
              </w:rPr>
            </w:pPr>
            <w:r w:rsidRPr="00C33E44">
              <w:rPr>
                <w:rFonts w:ascii="Calibri" w:hAnsi="Calibri" w:cs="Calibri"/>
                <w:i/>
                <w:iCs/>
                <w:sz w:val="19"/>
                <w:szCs w:val="22"/>
                <w:lang w:eastAsia="en-AU"/>
              </w:rPr>
              <w:t>Quality</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92"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8"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r>
      <w:tr w:rsidR="00E25CC6" w:rsidRPr="00EB6507" w:rsidTr="00ED6231">
        <w:trPr>
          <w:cantSplit/>
        </w:trPr>
        <w:tc>
          <w:tcPr>
            <w:tcW w:w="3146" w:type="dxa"/>
            <w:tcBorders>
              <w:left w:val="nil"/>
              <w:right w:val="nil"/>
            </w:tcBorders>
          </w:tcPr>
          <w:p w:rsidR="00E25CC6" w:rsidRPr="00C33E44" w:rsidRDefault="00E25CC6" w:rsidP="00EB6507">
            <w:pPr>
              <w:pStyle w:val="OGTabText"/>
              <w:rPr>
                <w:lang w:eastAsia="en-AU"/>
              </w:rPr>
            </w:pPr>
            <w:r w:rsidRPr="00C33E44">
              <w:rPr>
                <w:lang w:eastAsia="en-AU"/>
              </w:rPr>
              <w:t>Metropolitan fare evasion rate</w:t>
            </w:r>
          </w:p>
        </w:tc>
        <w:tc>
          <w:tcPr>
            <w:tcW w:w="907" w:type="dxa"/>
            <w:tcBorders>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3.5</w:t>
            </w:r>
          </w:p>
        </w:tc>
        <w:tc>
          <w:tcPr>
            <w:tcW w:w="992" w:type="dxa"/>
            <w:tcBorders>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3.5</w:t>
            </w:r>
          </w:p>
        </w:tc>
        <w:tc>
          <w:tcPr>
            <w:tcW w:w="907" w:type="dxa"/>
            <w:tcBorders>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6.5</w:t>
            </w:r>
          </w:p>
        </w:tc>
        <w:tc>
          <w:tcPr>
            <w:tcW w:w="908" w:type="dxa"/>
            <w:tcBorders>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5.0</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EB6507">
            <w:pPr>
              <w:pStyle w:val="OGNotes"/>
            </w:pPr>
            <w:r w:rsidRPr="00C33E44">
              <w:t>This performance measure is proposed to be discontinued as it has been replaced by the 2016</w:t>
            </w:r>
            <w:r w:rsidRPr="00C33E44">
              <w:noBreakHyphen/>
              <w:t xml:space="preserve">17 performance measure </w:t>
            </w:r>
            <w:r>
              <w:t>‘</w:t>
            </w:r>
            <w:r w:rsidRPr="00C33E44">
              <w:t>Metropolitan fare compliance rate</w:t>
            </w:r>
            <w:r>
              <w:t>’</w:t>
            </w:r>
            <w:r w:rsidRPr="00C33E44">
              <w:t xml:space="preserve"> as it provides more clarity on what is to be achieved.</w:t>
            </w:r>
          </w:p>
          <w:p w:rsidR="00E25CC6" w:rsidRPr="00C33E44" w:rsidRDefault="00E25CC6" w:rsidP="00EB6507">
            <w:pPr>
              <w:pStyle w:val="OGNotes"/>
            </w:pPr>
            <w:r w:rsidRPr="00C33E44">
              <w:t>The 2015</w:t>
            </w:r>
            <w:r w:rsidRPr="00C33E44">
              <w:noBreakHyphen/>
              <w:t>16 expected outcome is better than the 2015</w:t>
            </w:r>
            <w:r w:rsidRPr="00C33E44">
              <w:noBreakHyphen/>
              <w:t>16 target due to the continual reduction of fare evasion rates since the introduction of penalty fares and introduction of multi</w:t>
            </w:r>
            <w:r w:rsidRPr="00C33E44">
              <w:noBreakHyphen/>
              <w:t xml:space="preserve">modal authorised officers. </w:t>
            </w:r>
          </w:p>
        </w:tc>
      </w:tr>
      <w:tr w:rsidR="00E25CC6" w:rsidRPr="00EB6507" w:rsidTr="00FC6C57">
        <w:trPr>
          <w:cantSplit/>
        </w:trPr>
        <w:tc>
          <w:tcPr>
            <w:tcW w:w="7767" w:type="dxa"/>
            <w:gridSpan w:val="6"/>
            <w:tcBorders>
              <w:top w:val="single" w:sz="6" w:space="0" w:color="auto"/>
              <w:left w:val="nil"/>
              <w:bottom w:val="single" w:sz="6" w:space="0" w:color="auto"/>
              <w:right w:val="nil"/>
            </w:tcBorders>
          </w:tcPr>
          <w:p w:rsidR="00E25CC6" w:rsidRPr="00EB6507" w:rsidRDefault="00E25CC6" w:rsidP="00EB6507">
            <w:pPr>
              <w:pStyle w:val="OGHeading2"/>
              <w:rPr>
                <w:lang w:eastAsia="en-AU"/>
              </w:rPr>
            </w:pPr>
            <w:r w:rsidRPr="00EB6507">
              <w:rPr>
                <w:lang w:eastAsia="en-AU"/>
              </w:rPr>
              <w:t>Transport Safety, Security and Emergency Management</w:t>
            </w:r>
          </w:p>
        </w:tc>
      </w:tr>
      <w:tr w:rsidR="00E25CC6" w:rsidRPr="00EB6507" w:rsidTr="00FC6C57">
        <w:trPr>
          <w:cantSplit/>
        </w:trPr>
        <w:tc>
          <w:tcPr>
            <w:tcW w:w="3146" w:type="dxa"/>
            <w:tcBorders>
              <w:top w:val="single" w:sz="6" w:space="0" w:color="auto"/>
              <w:left w:val="nil"/>
              <w:right w:val="nil"/>
            </w:tcBorders>
          </w:tcPr>
          <w:p w:rsidR="00E25CC6" w:rsidRPr="00EB6507" w:rsidRDefault="00E25CC6" w:rsidP="00FC6C57">
            <w:pPr>
              <w:tabs>
                <w:tab w:val="center" w:pos="1528"/>
              </w:tabs>
              <w:autoSpaceDE w:val="0"/>
              <w:autoSpaceDN w:val="0"/>
              <w:adjustRightInd w:val="0"/>
              <w:spacing w:after="0"/>
              <w:ind w:left="227" w:hanging="227"/>
              <w:rPr>
                <w:rFonts w:ascii="Calibri" w:hAnsi="Calibri" w:cs="Calibri"/>
                <w:i/>
                <w:iCs/>
                <w:color w:val="000000"/>
                <w:sz w:val="19"/>
                <w:szCs w:val="22"/>
                <w:lang w:eastAsia="en-AU"/>
              </w:rPr>
            </w:pPr>
            <w:r>
              <w:rPr>
                <w:rFonts w:ascii="Calibri" w:hAnsi="Calibri" w:cs="Calibri"/>
                <w:i/>
                <w:iCs/>
                <w:color w:val="000000"/>
                <w:sz w:val="19"/>
                <w:szCs w:val="22"/>
                <w:lang w:eastAsia="en-AU"/>
              </w:rPr>
              <w:t>Quantity</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p>
        </w:tc>
      </w:tr>
      <w:tr w:rsidR="00E25CC6" w:rsidRPr="00EB6507" w:rsidTr="00FC6C57">
        <w:trPr>
          <w:cantSplit/>
        </w:trPr>
        <w:tc>
          <w:tcPr>
            <w:tcW w:w="3146" w:type="dxa"/>
            <w:tcBorders>
              <w:left w:val="nil"/>
              <w:right w:val="nil"/>
            </w:tcBorders>
          </w:tcPr>
          <w:p w:rsidR="00E25CC6" w:rsidRPr="00EB6507" w:rsidRDefault="00E25CC6" w:rsidP="008950E4">
            <w:pPr>
              <w:pStyle w:val="OGTabText"/>
              <w:rPr>
                <w:lang w:eastAsia="en-AU"/>
              </w:rPr>
            </w:pPr>
            <w:r w:rsidRPr="00EB6507">
              <w:rPr>
                <w:lang w:eastAsia="en-AU"/>
              </w:rPr>
              <w:t>Regulatory interventions conducted on high risk or accredited Rail Transport Operators</w:t>
            </w:r>
          </w:p>
        </w:tc>
        <w:tc>
          <w:tcPr>
            <w:tcW w:w="907" w:type="dxa"/>
            <w:tcBorders>
              <w:left w:val="nil"/>
              <w:right w:val="nil"/>
            </w:tcBorders>
          </w:tcPr>
          <w:p w:rsidR="00E25CC6" w:rsidRPr="00EB6507" w:rsidRDefault="00E25CC6" w:rsidP="008950E4">
            <w:pPr>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number</w:t>
            </w:r>
          </w:p>
        </w:tc>
        <w:tc>
          <w:tcPr>
            <w:tcW w:w="907" w:type="dxa"/>
            <w:tcBorders>
              <w:left w:val="nil"/>
              <w:right w:val="nil"/>
            </w:tcBorders>
            <w:shd w:val="clear" w:color="auto" w:fill="DCDCDC"/>
          </w:tcPr>
          <w:p w:rsidR="00E25CC6" w:rsidRPr="00EB6507" w:rsidRDefault="00E25CC6" w:rsidP="008950E4">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70</w:t>
            </w:r>
          </w:p>
        </w:tc>
        <w:tc>
          <w:tcPr>
            <w:tcW w:w="992" w:type="dxa"/>
            <w:tcBorders>
              <w:left w:val="nil"/>
              <w:right w:val="nil"/>
            </w:tcBorders>
          </w:tcPr>
          <w:p w:rsidR="00E25CC6" w:rsidRPr="00EB6507" w:rsidRDefault="00E25CC6" w:rsidP="008950E4">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70</w:t>
            </w:r>
          </w:p>
        </w:tc>
        <w:tc>
          <w:tcPr>
            <w:tcW w:w="907" w:type="dxa"/>
            <w:tcBorders>
              <w:left w:val="nil"/>
              <w:right w:val="nil"/>
            </w:tcBorders>
          </w:tcPr>
          <w:p w:rsidR="00E25CC6" w:rsidRPr="00EB6507" w:rsidRDefault="00E25CC6" w:rsidP="008950E4">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70</w:t>
            </w:r>
          </w:p>
        </w:tc>
        <w:tc>
          <w:tcPr>
            <w:tcW w:w="908" w:type="dxa"/>
            <w:tcBorders>
              <w:left w:val="nil"/>
              <w:right w:val="nil"/>
            </w:tcBorders>
          </w:tcPr>
          <w:p w:rsidR="00E25CC6" w:rsidRPr="00EB6507" w:rsidRDefault="00E25CC6" w:rsidP="008950E4">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nm</w:t>
            </w:r>
          </w:p>
        </w:tc>
      </w:tr>
      <w:tr w:rsidR="00E25CC6" w:rsidRPr="00EB6507" w:rsidTr="00FC6C57">
        <w:trPr>
          <w:cantSplit/>
        </w:trPr>
        <w:tc>
          <w:tcPr>
            <w:tcW w:w="7767" w:type="dxa"/>
            <w:gridSpan w:val="6"/>
            <w:tcBorders>
              <w:left w:val="nil"/>
              <w:bottom w:val="nil"/>
              <w:right w:val="nil"/>
            </w:tcBorders>
          </w:tcPr>
          <w:p w:rsidR="00E25CC6" w:rsidRPr="00EB6507" w:rsidRDefault="00E25CC6" w:rsidP="008950E4">
            <w:pPr>
              <w:pStyle w:val="OGNotes"/>
              <w:rPr>
                <w:rFonts w:cs="Calibri"/>
                <w:color w:val="000000"/>
                <w:sz w:val="19"/>
                <w:szCs w:val="22"/>
              </w:rPr>
            </w:pPr>
            <w:r w:rsidRPr="008950E4">
              <w:t>This performance measure is proposed to be discontinued as it has been replaced by the 2016</w:t>
            </w:r>
            <w:r w:rsidRPr="008950E4">
              <w:noBreakHyphen/>
              <w:t xml:space="preserve">17 performance measure </w:t>
            </w:r>
            <w:r>
              <w:t>‘</w:t>
            </w:r>
            <w:r w:rsidRPr="008950E4">
              <w:t>Rail safety audits, compliance inspections and investigations conducted in accordance with legislative requirements</w:t>
            </w:r>
            <w:r>
              <w:t>’</w:t>
            </w:r>
            <w:r w:rsidRPr="008950E4">
              <w:t xml:space="preserve"> to more accurately reflect all the regulatory safety activities under national and local rail safety regulatory scheme undertaken by Transport Safety Victoria.</w:t>
            </w:r>
          </w:p>
        </w:tc>
      </w:tr>
      <w:tr w:rsidR="00E25CC6" w:rsidRPr="00EB6507" w:rsidTr="00FC6C57">
        <w:trPr>
          <w:cantSplit/>
        </w:trPr>
        <w:tc>
          <w:tcPr>
            <w:tcW w:w="3146" w:type="dxa"/>
            <w:tcBorders>
              <w:top w:val="single" w:sz="6" w:space="0" w:color="auto"/>
              <w:left w:val="nil"/>
              <w:right w:val="nil"/>
            </w:tcBorders>
          </w:tcPr>
          <w:p w:rsidR="00E25CC6" w:rsidRPr="00C33E44" w:rsidRDefault="00E25CC6" w:rsidP="001B64BD">
            <w:pPr>
              <w:pStyle w:val="OGTabText"/>
              <w:rPr>
                <w:lang w:eastAsia="en-AU"/>
              </w:rPr>
            </w:pPr>
            <w:r w:rsidRPr="00C33E44">
              <w:rPr>
                <w:lang w:eastAsia="en-AU"/>
              </w:rPr>
              <w:t>Victorian marine pollution response exercises conducted by the Department</w:t>
            </w:r>
          </w:p>
        </w:tc>
        <w:tc>
          <w:tcPr>
            <w:tcW w:w="907" w:type="dxa"/>
            <w:tcBorders>
              <w:top w:val="single" w:sz="6" w:space="0" w:color="auto"/>
              <w:left w:val="nil"/>
              <w:right w:val="nil"/>
            </w:tcBorders>
          </w:tcPr>
          <w:p w:rsidR="00E25CC6" w:rsidRPr="00C33E44" w:rsidRDefault="00E25CC6" w:rsidP="001B64BD">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C33E44" w:rsidRDefault="00E25CC6" w:rsidP="001B64BD">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2</w:t>
            </w:r>
          </w:p>
        </w:tc>
        <w:tc>
          <w:tcPr>
            <w:tcW w:w="992" w:type="dxa"/>
            <w:tcBorders>
              <w:top w:val="single" w:sz="6" w:space="0" w:color="auto"/>
              <w:left w:val="nil"/>
              <w:right w:val="nil"/>
            </w:tcBorders>
          </w:tcPr>
          <w:p w:rsidR="00E25CC6" w:rsidRPr="00EB6507" w:rsidRDefault="00E25CC6" w:rsidP="001B64BD">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2</w:t>
            </w:r>
          </w:p>
        </w:tc>
        <w:tc>
          <w:tcPr>
            <w:tcW w:w="907" w:type="dxa"/>
            <w:tcBorders>
              <w:top w:val="single" w:sz="6" w:space="0" w:color="auto"/>
              <w:left w:val="nil"/>
              <w:right w:val="nil"/>
            </w:tcBorders>
          </w:tcPr>
          <w:p w:rsidR="00E25CC6" w:rsidRPr="00EB6507" w:rsidRDefault="00E25CC6" w:rsidP="001B64BD">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2</w:t>
            </w:r>
          </w:p>
        </w:tc>
        <w:tc>
          <w:tcPr>
            <w:tcW w:w="908" w:type="dxa"/>
            <w:tcBorders>
              <w:top w:val="single" w:sz="6" w:space="0" w:color="auto"/>
              <w:left w:val="nil"/>
              <w:right w:val="nil"/>
            </w:tcBorders>
          </w:tcPr>
          <w:p w:rsidR="00E25CC6" w:rsidRPr="00EB6507" w:rsidRDefault="00E25CC6" w:rsidP="001B64BD">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6</w:t>
            </w:r>
          </w:p>
        </w:tc>
      </w:tr>
      <w:tr w:rsidR="00E25CC6" w:rsidRPr="00EB6507" w:rsidTr="00FC6C57">
        <w:trPr>
          <w:cantSplit/>
        </w:trPr>
        <w:tc>
          <w:tcPr>
            <w:tcW w:w="7767" w:type="dxa"/>
            <w:gridSpan w:val="6"/>
            <w:tcBorders>
              <w:left w:val="nil"/>
              <w:bottom w:val="nil"/>
              <w:right w:val="nil"/>
            </w:tcBorders>
          </w:tcPr>
          <w:p w:rsidR="00E25CC6" w:rsidRPr="00C33E44" w:rsidRDefault="00E25CC6" w:rsidP="00FC6C57">
            <w:pPr>
              <w:pStyle w:val="OGNotes"/>
            </w:pPr>
            <w:r w:rsidRPr="00C33E44">
              <w:t xml:space="preserve">This performance measure is proposed to be discontinued as it has been replaced by the measure </w:t>
            </w:r>
            <w:r>
              <w:t>‘</w:t>
            </w:r>
            <w:r w:rsidRPr="00C33E44">
              <w:t>Security and emergency management exercises coordinated or contributed to by the Department</w:t>
            </w:r>
            <w:r>
              <w:t>’</w:t>
            </w:r>
            <w:r w:rsidRPr="00C33E44">
              <w:t xml:space="preserve"> to bring together all emergency management exercises coordinated or contributed to by the Department.</w:t>
            </w:r>
          </w:p>
        </w:tc>
      </w:tr>
      <w:tr w:rsidR="00E25CC6" w:rsidRPr="00EB6507" w:rsidTr="00A959A3">
        <w:trPr>
          <w:cantSplit/>
        </w:trPr>
        <w:tc>
          <w:tcPr>
            <w:tcW w:w="3146" w:type="dxa"/>
            <w:tcBorders>
              <w:top w:val="single" w:sz="6" w:space="0" w:color="auto"/>
              <w:left w:val="nil"/>
              <w:bottom w:val="nil"/>
              <w:right w:val="nil"/>
            </w:tcBorders>
          </w:tcPr>
          <w:p w:rsidR="00E25CC6" w:rsidRPr="00C33E44" w:rsidRDefault="00E25CC6" w:rsidP="00EB6507">
            <w:pPr>
              <w:autoSpaceDE w:val="0"/>
              <w:autoSpaceDN w:val="0"/>
              <w:adjustRightInd w:val="0"/>
              <w:spacing w:after="0"/>
              <w:ind w:left="227" w:hanging="227"/>
              <w:rPr>
                <w:rFonts w:ascii="Calibri" w:hAnsi="Calibri" w:cs="Calibri"/>
                <w:i/>
                <w:iCs/>
                <w:sz w:val="19"/>
                <w:szCs w:val="22"/>
                <w:lang w:eastAsia="en-AU"/>
              </w:rPr>
            </w:pPr>
            <w:r w:rsidRPr="00C33E44">
              <w:rPr>
                <w:rFonts w:ascii="Calibri" w:hAnsi="Calibri" w:cs="Calibri"/>
                <w:i/>
                <w:iCs/>
                <w:sz w:val="19"/>
                <w:szCs w:val="22"/>
                <w:lang w:eastAsia="en-AU"/>
              </w:rPr>
              <w:t>Quality</w:t>
            </w:r>
          </w:p>
        </w:tc>
        <w:tc>
          <w:tcPr>
            <w:tcW w:w="907" w:type="dxa"/>
            <w:tcBorders>
              <w:top w:val="single" w:sz="6" w:space="0" w:color="auto"/>
              <w:left w:val="nil"/>
              <w:bottom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 xml:space="preserve"> </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 xml:space="preserve"> </w:t>
            </w:r>
          </w:p>
        </w:tc>
        <w:tc>
          <w:tcPr>
            <w:tcW w:w="992"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r>
      <w:tr w:rsidR="00E25CC6" w:rsidRPr="00EB6507" w:rsidTr="00ED6231">
        <w:trPr>
          <w:cantSplit/>
        </w:trPr>
        <w:tc>
          <w:tcPr>
            <w:tcW w:w="3146" w:type="dxa"/>
            <w:tcBorders>
              <w:top w:val="nil"/>
              <w:left w:val="nil"/>
              <w:right w:val="nil"/>
            </w:tcBorders>
          </w:tcPr>
          <w:p w:rsidR="00E25CC6" w:rsidRPr="00C33E44" w:rsidRDefault="00E25CC6" w:rsidP="00EB6507">
            <w:pPr>
              <w:pStyle w:val="OGTabText"/>
              <w:rPr>
                <w:lang w:eastAsia="en-AU"/>
              </w:rPr>
            </w:pPr>
            <w:r w:rsidRPr="00C33E44">
              <w:rPr>
                <w:lang w:eastAsia="en-AU"/>
              </w:rPr>
              <w:t>Rail safety audits, compliance inspections and investigations conducted in accordance with State and National legislative requirements and timelines</w:t>
            </w:r>
          </w:p>
        </w:tc>
        <w:tc>
          <w:tcPr>
            <w:tcW w:w="907" w:type="dxa"/>
            <w:tcBorders>
              <w:top w:val="nil"/>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top w:val="nil"/>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100</w:t>
            </w:r>
          </w:p>
        </w:tc>
        <w:tc>
          <w:tcPr>
            <w:tcW w:w="992"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100</w:t>
            </w:r>
          </w:p>
        </w:tc>
        <w:tc>
          <w:tcPr>
            <w:tcW w:w="907"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100</w:t>
            </w:r>
          </w:p>
        </w:tc>
        <w:tc>
          <w:tcPr>
            <w:tcW w:w="908"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nm</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EB6507" w:rsidRDefault="00E25CC6" w:rsidP="00EB6507">
            <w:pPr>
              <w:pStyle w:val="OGNotes"/>
            </w:pPr>
            <w:r w:rsidRPr="00EB6507">
              <w:t>This performance measure is proposed to be discontinued as it has been replaced by the 2016</w:t>
            </w:r>
            <w:r w:rsidRPr="00255F85">
              <w:noBreakHyphen/>
            </w:r>
            <w:r w:rsidRPr="00EB6507">
              <w:t xml:space="preserve">17 performance measure </w:t>
            </w:r>
            <w:r>
              <w:t>‘</w:t>
            </w:r>
            <w:r w:rsidRPr="00EB6507">
              <w:t>Rail safety audits, compliance inspections and investigations conducted in accordance with legislative requirements</w:t>
            </w:r>
            <w:r>
              <w:t>’</w:t>
            </w:r>
            <w:r w:rsidRPr="00EB6507">
              <w:t xml:space="preserve"> to more accurately reflect all the regulatory safety activities under </w:t>
            </w:r>
            <w:r>
              <w:t xml:space="preserve">the </w:t>
            </w:r>
            <w:r w:rsidRPr="00EB6507">
              <w:t>national and local rail safety regulatory scheme undertaken by Transport Safety Victoria.</w:t>
            </w:r>
          </w:p>
        </w:tc>
      </w:tr>
      <w:tr w:rsidR="00E25CC6" w:rsidRPr="00EB6507" w:rsidTr="00ED6231">
        <w:trPr>
          <w:cantSplit/>
        </w:trPr>
        <w:tc>
          <w:tcPr>
            <w:tcW w:w="3146" w:type="dxa"/>
            <w:tcBorders>
              <w:top w:val="single" w:sz="6" w:space="0" w:color="auto"/>
              <w:left w:val="nil"/>
              <w:right w:val="nil"/>
            </w:tcBorders>
          </w:tcPr>
          <w:p w:rsidR="00E25CC6" w:rsidRPr="00EB6507" w:rsidRDefault="00E25CC6" w:rsidP="00920BEF">
            <w:pPr>
              <w:pStyle w:val="OGTabText"/>
              <w:keepNext/>
              <w:rPr>
                <w:lang w:eastAsia="en-AU"/>
              </w:rPr>
            </w:pPr>
            <w:r w:rsidRPr="00EB6507">
              <w:rPr>
                <w:lang w:eastAsia="en-AU"/>
              </w:rPr>
              <w:t>Transport safety regulation: rail safety audits/compliance inspections conducted in accordance with legislative requirements</w:t>
            </w:r>
          </w:p>
        </w:tc>
        <w:tc>
          <w:tcPr>
            <w:tcW w:w="907" w:type="dxa"/>
            <w:tcBorders>
              <w:top w:val="single" w:sz="6" w:space="0" w:color="auto"/>
              <w:left w:val="nil"/>
              <w:right w:val="nil"/>
            </w:tcBorders>
          </w:tcPr>
          <w:p w:rsidR="00E25CC6" w:rsidRPr="00EB6507" w:rsidRDefault="00E25CC6" w:rsidP="00920BEF">
            <w:pPr>
              <w:keepNext/>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number</w:t>
            </w:r>
          </w:p>
        </w:tc>
        <w:tc>
          <w:tcPr>
            <w:tcW w:w="907" w:type="dxa"/>
            <w:tcBorders>
              <w:top w:val="single" w:sz="6" w:space="0" w:color="auto"/>
              <w:left w:val="nil"/>
              <w:right w:val="nil"/>
            </w:tcBorders>
            <w:shd w:val="clear" w:color="auto" w:fill="DCDCDC"/>
          </w:tcPr>
          <w:p w:rsidR="00E25CC6" w:rsidRPr="00EB6507" w:rsidRDefault="00E25CC6" w:rsidP="00920BEF">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50</w:t>
            </w:r>
          </w:p>
        </w:tc>
        <w:tc>
          <w:tcPr>
            <w:tcW w:w="992" w:type="dxa"/>
            <w:tcBorders>
              <w:top w:val="single" w:sz="6" w:space="0" w:color="auto"/>
              <w:left w:val="nil"/>
              <w:right w:val="nil"/>
            </w:tcBorders>
          </w:tcPr>
          <w:p w:rsidR="00E25CC6" w:rsidRPr="00EB6507" w:rsidRDefault="00E25CC6" w:rsidP="00920BEF">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50</w:t>
            </w:r>
          </w:p>
        </w:tc>
        <w:tc>
          <w:tcPr>
            <w:tcW w:w="907" w:type="dxa"/>
            <w:tcBorders>
              <w:top w:val="single" w:sz="6" w:space="0" w:color="auto"/>
              <w:left w:val="nil"/>
              <w:right w:val="nil"/>
            </w:tcBorders>
          </w:tcPr>
          <w:p w:rsidR="00E25CC6" w:rsidRPr="00EB6507" w:rsidRDefault="00E25CC6" w:rsidP="00920BEF">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50</w:t>
            </w:r>
          </w:p>
        </w:tc>
        <w:tc>
          <w:tcPr>
            <w:tcW w:w="908" w:type="dxa"/>
            <w:tcBorders>
              <w:top w:val="single" w:sz="6" w:space="0" w:color="auto"/>
              <w:left w:val="nil"/>
              <w:right w:val="nil"/>
            </w:tcBorders>
          </w:tcPr>
          <w:p w:rsidR="00E25CC6" w:rsidRPr="00EB6507" w:rsidRDefault="00E25CC6" w:rsidP="00920BEF">
            <w:pPr>
              <w:keepNext/>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87</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EB6507" w:rsidRDefault="00E25CC6" w:rsidP="00EB6507">
            <w:pPr>
              <w:pStyle w:val="OGNotes"/>
            </w:pPr>
            <w:r w:rsidRPr="00EB6507">
              <w:t>This performance measure is proposed to be discontinued as it has been replaced by the 2016</w:t>
            </w:r>
            <w:r w:rsidRPr="00255F85">
              <w:noBreakHyphen/>
            </w:r>
            <w:r w:rsidRPr="00EB6507">
              <w:t xml:space="preserve">17 performance measure </w:t>
            </w:r>
            <w:r>
              <w:t>‘</w:t>
            </w:r>
            <w:r w:rsidRPr="00EB6507">
              <w:t>Rail safety audits, compliance inspections and investigations conducted in accordance with legislative requirements</w:t>
            </w:r>
            <w:r>
              <w:t>’</w:t>
            </w:r>
            <w:r w:rsidRPr="00EB6507">
              <w:t>. The Office National Rail Safety Regulator required T</w:t>
            </w:r>
            <w:r>
              <w:t xml:space="preserve">ransport </w:t>
            </w:r>
            <w:r w:rsidRPr="00EB6507">
              <w:t>S</w:t>
            </w:r>
            <w:r>
              <w:t xml:space="preserve">afety </w:t>
            </w:r>
            <w:r w:rsidRPr="00EB6507">
              <w:t>V</w:t>
            </w:r>
            <w:r>
              <w:t>ictoria</w:t>
            </w:r>
            <w:r w:rsidRPr="00EB6507">
              <w:t xml:space="preserve"> to undertake investigations in addition to audit and compliance activities. Investigation activities were not included in this measure when the targets were set in March 2014. The target was amended to more accurately reflect</w:t>
            </w:r>
            <w:r w:rsidRPr="00255F85">
              <w:t xml:space="preserve"> </w:t>
            </w:r>
            <w:r w:rsidRPr="00EB6507">
              <w:t>the regulatory activities including investigations under the national and local rail safety regulatory scheme undertaken by Transport Safety Victoria.</w:t>
            </w:r>
          </w:p>
        </w:tc>
      </w:tr>
      <w:tr w:rsidR="00E25CC6" w:rsidRPr="00EB6507" w:rsidTr="00ED6231">
        <w:trPr>
          <w:cantSplit/>
        </w:trPr>
        <w:tc>
          <w:tcPr>
            <w:tcW w:w="3146" w:type="dxa"/>
            <w:tcBorders>
              <w:top w:val="single" w:sz="6" w:space="0" w:color="auto"/>
              <w:left w:val="nil"/>
              <w:right w:val="nil"/>
            </w:tcBorders>
          </w:tcPr>
          <w:p w:rsidR="00E25CC6" w:rsidRPr="00C33E44" w:rsidRDefault="00E25CC6" w:rsidP="00EB6507">
            <w:pPr>
              <w:pStyle w:val="OGTabText"/>
              <w:rPr>
                <w:lang w:eastAsia="en-AU"/>
              </w:rPr>
            </w:pPr>
            <w:r w:rsidRPr="00C33E44">
              <w:rPr>
                <w:lang w:eastAsia="en-AU"/>
              </w:rPr>
              <w:t>Conduct Sector Resilience Network workshops to identify and support improvements in critical infrastructure resilience, in line with the Sector Resilience Plan</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4</w:t>
            </w:r>
          </w:p>
        </w:tc>
        <w:tc>
          <w:tcPr>
            <w:tcW w:w="992"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4</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4</w:t>
            </w:r>
          </w:p>
        </w:tc>
        <w:tc>
          <w:tcPr>
            <w:tcW w:w="908"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nm</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EB6507">
            <w:pPr>
              <w:pStyle w:val="OGNotes"/>
            </w:pPr>
            <w:r w:rsidRPr="00C33E44">
              <w:t>This performance measure is proposed to be discontinued as it has been replaced by the 2016</w:t>
            </w:r>
            <w:r w:rsidRPr="00C33E44">
              <w:noBreakHyphen/>
              <w:t xml:space="preserve">17 measure </w:t>
            </w:r>
            <w:r>
              <w:t>‘</w:t>
            </w:r>
            <w:r w:rsidRPr="00C33E44">
              <w:t>Sector Resilience Plans endorsed by State Crisis and Resilience Council</w:t>
            </w:r>
            <w:r>
              <w:t>’</w:t>
            </w:r>
            <w:r w:rsidRPr="00C33E44">
              <w:t xml:space="preserve"> to more accurately reflect the purpose of the Critical Infrastructure Resilience Strategy.</w:t>
            </w:r>
          </w:p>
        </w:tc>
      </w:tr>
      <w:tr w:rsidR="00E25CC6" w:rsidRPr="00EB6507" w:rsidTr="00ED6231">
        <w:trPr>
          <w:cantSplit/>
        </w:trPr>
        <w:tc>
          <w:tcPr>
            <w:tcW w:w="3146" w:type="dxa"/>
            <w:tcBorders>
              <w:top w:val="single" w:sz="6" w:space="0" w:color="auto"/>
              <w:left w:val="nil"/>
              <w:right w:val="nil"/>
            </w:tcBorders>
          </w:tcPr>
          <w:p w:rsidR="00E25CC6" w:rsidRPr="00C33E44" w:rsidRDefault="00E25CC6" w:rsidP="00EB6507">
            <w:pPr>
              <w:pStyle w:val="OGTabText"/>
              <w:rPr>
                <w:lang w:eastAsia="en-AU"/>
              </w:rPr>
            </w:pPr>
            <w:r w:rsidRPr="00C33E44">
              <w:rPr>
                <w:lang w:eastAsia="en-AU"/>
              </w:rPr>
              <w:t>Review exercises conducted by the Regional Control Agencies identified under VICPLAN and through Direction from the State Marine Pollution Controller</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number</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4</w:t>
            </w:r>
          </w:p>
        </w:tc>
        <w:tc>
          <w:tcPr>
            <w:tcW w:w="992"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4</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4</w:t>
            </w:r>
          </w:p>
        </w:tc>
        <w:tc>
          <w:tcPr>
            <w:tcW w:w="908"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nm</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EB6507">
            <w:pPr>
              <w:pStyle w:val="OGNotes"/>
              <w:rPr>
                <w:i w:val="0"/>
              </w:rPr>
            </w:pPr>
            <w:r w:rsidRPr="00C33E44">
              <w:t xml:space="preserve">This performance measure is proposed to be discontinued as it has been replaced by the measure </w:t>
            </w:r>
            <w:r>
              <w:t>‘</w:t>
            </w:r>
            <w:r w:rsidRPr="00C33E44">
              <w:t>Security and emergency management exercises coordinated or contributed to by the Department</w:t>
            </w:r>
            <w:r>
              <w:t>’</w:t>
            </w:r>
            <w:r w:rsidRPr="00C33E44">
              <w:t xml:space="preserve"> to bring together all emergency management exercises coordinated or contributed to by the Department.</w:t>
            </w:r>
          </w:p>
        </w:tc>
      </w:tr>
      <w:tr w:rsidR="00E25CC6" w:rsidRPr="00EB6507" w:rsidTr="00ED6231">
        <w:trPr>
          <w:cantSplit/>
        </w:trPr>
        <w:tc>
          <w:tcPr>
            <w:tcW w:w="3146" w:type="dxa"/>
            <w:tcBorders>
              <w:top w:val="single" w:sz="6" w:space="0" w:color="auto"/>
              <w:left w:val="nil"/>
              <w:bottom w:val="nil"/>
              <w:right w:val="nil"/>
            </w:tcBorders>
          </w:tcPr>
          <w:p w:rsidR="00E25CC6" w:rsidRPr="00EB6507" w:rsidRDefault="00E25CC6" w:rsidP="00EB6507">
            <w:pPr>
              <w:autoSpaceDE w:val="0"/>
              <w:autoSpaceDN w:val="0"/>
              <w:adjustRightInd w:val="0"/>
              <w:spacing w:after="0"/>
              <w:ind w:left="227" w:hanging="227"/>
              <w:rPr>
                <w:rFonts w:ascii="Calibri" w:hAnsi="Calibri" w:cs="Calibri"/>
                <w:i/>
                <w:iCs/>
                <w:color w:val="000000"/>
                <w:sz w:val="19"/>
                <w:szCs w:val="22"/>
                <w:lang w:eastAsia="en-AU"/>
              </w:rPr>
            </w:pPr>
            <w:r w:rsidRPr="00EB6507">
              <w:rPr>
                <w:rFonts w:ascii="Calibri" w:hAnsi="Calibri" w:cs="Calibri"/>
                <w:i/>
                <w:iCs/>
                <w:color w:val="000000"/>
                <w:sz w:val="19"/>
                <w:szCs w:val="22"/>
                <w:lang w:eastAsia="en-AU"/>
              </w:rPr>
              <w:t>Timeliness</w:t>
            </w:r>
          </w:p>
        </w:tc>
        <w:tc>
          <w:tcPr>
            <w:tcW w:w="907"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7" w:type="dxa"/>
            <w:tcBorders>
              <w:top w:val="single" w:sz="6" w:space="0" w:color="auto"/>
              <w:left w:val="nil"/>
              <w:right w:val="nil"/>
            </w:tcBorders>
            <w:shd w:val="clear" w:color="auto" w:fill="DCDCDC"/>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92"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7"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c>
          <w:tcPr>
            <w:tcW w:w="908" w:type="dxa"/>
            <w:tcBorders>
              <w:top w:val="single" w:sz="6" w:space="0" w:color="auto"/>
              <w:left w:val="nil"/>
              <w:bottom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 xml:space="preserve"> </w:t>
            </w:r>
          </w:p>
        </w:tc>
      </w:tr>
      <w:tr w:rsidR="00E25CC6" w:rsidRPr="00EB6507" w:rsidTr="00ED6231">
        <w:trPr>
          <w:cantSplit/>
        </w:trPr>
        <w:tc>
          <w:tcPr>
            <w:tcW w:w="3146" w:type="dxa"/>
            <w:tcBorders>
              <w:top w:val="nil"/>
              <w:left w:val="nil"/>
              <w:right w:val="nil"/>
            </w:tcBorders>
          </w:tcPr>
          <w:p w:rsidR="00E25CC6" w:rsidRPr="00EB6507" w:rsidRDefault="00E25CC6" w:rsidP="00EB6507">
            <w:pPr>
              <w:pStyle w:val="OGTabText"/>
              <w:rPr>
                <w:lang w:eastAsia="en-AU"/>
              </w:rPr>
            </w:pPr>
            <w:r w:rsidRPr="00EB6507">
              <w:rPr>
                <w:lang w:eastAsia="en-AU"/>
              </w:rPr>
              <w:t>Lead Built Environment Recovery Coordination within required timeframes</w:t>
            </w:r>
          </w:p>
        </w:tc>
        <w:tc>
          <w:tcPr>
            <w:tcW w:w="907" w:type="dxa"/>
            <w:tcBorders>
              <w:top w:val="nil"/>
              <w:left w:val="nil"/>
              <w:right w:val="nil"/>
            </w:tcBorders>
          </w:tcPr>
          <w:p w:rsidR="00E25CC6" w:rsidRPr="00EB6507" w:rsidRDefault="00E25CC6" w:rsidP="00EB6507">
            <w:pPr>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100</w:t>
            </w:r>
          </w:p>
        </w:tc>
        <w:tc>
          <w:tcPr>
            <w:tcW w:w="992"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100</w:t>
            </w:r>
          </w:p>
        </w:tc>
        <w:tc>
          <w:tcPr>
            <w:tcW w:w="907"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100</w:t>
            </w:r>
          </w:p>
        </w:tc>
        <w:tc>
          <w:tcPr>
            <w:tcW w:w="908" w:type="dxa"/>
            <w:tcBorders>
              <w:top w:val="nil"/>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nm</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EB6507" w:rsidRDefault="00E25CC6" w:rsidP="00EB6507">
            <w:pPr>
              <w:pStyle w:val="OGNotes"/>
            </w:pPr>
            <w:r w:rsidRPr="00EB6507">
              <w:t>This measure is proposed to be discontinued as DEDJTR no longer has responsibility for leading built</w:t>
            </w:r>
            <w:r w:rsidRPr="00255F85">
              <w:noBreakHyphen/>
            </w:r>
            <w:r w:rsidRPr="00EB6507">
              <w:t>environment recovery coordination under the State Relief and Recovery Plan which became effective 1 December 2015.</w:t>
            </w:r>
          </w:p>
        </w:tc>
      </w:tr>
      <w:tr w:rsidR="00E25CC6" w:rsidRPr="00EB6507" w:rsidTr="00ED6231">
        <w:trPr>
          <w:cantSplit/>
        </w:trPr>
        <w:tc>
          <w:tcPr>
            <w:tcW w:w="3146" w:type="dxa"/>
            <w:tcBorders>
              <w:top w:val="single" w:sz="6" w:space="0" w:color="auto"/>
              <w:left w:val="nil"/>
              <w:right w:val="nil"/>
            </w:tcBorders>
          </w:tcPr>
          <w:p w:rsidR="00E25CC6" w:rsidRPr="00C33E44" w:rsidRDefault="00E25CC6" w:rsidP="00EB6507">
            <w:pPr>
              <w:pStyle w:val="OGTabText"/>
              <w:rPr>
                <w:lang w:eastAsia="en-AU"/>
              </w:rPr>
            </w:pPr>
            <w:r w:rsidRPr="00C33E44">
              <w:rPr>
                <w:lang w:eastAsia="en-AU"/>
              </w:rPr>
              <w:t>New commercial passenger vehicle licence applications other than taxi processed within 21 days</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85</w:t>
            </w:r>
          </w:p>
        </w:tc>
        <w:tc>
          <w:tcPr>
            <w:tcW w:w="992"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85</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85</w:t>
            </w:r>
          </w:p>
        </w:tc>
        <w:tc>
          <w:tcPr>
            <w:tcW w:w="908" w:type="dxa"/>
            <w:tcBorders>
              <w:top w:val="single" w:sz="6" w:space="0" w:color="auto"/>
              <w:left w:val="nil"/>
              <w:right w:val="nil"/>
            </w:tcBorders>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nm</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2665FE">
            <w:pPr>
              <w:pStyle w:val="OGNotes"/>
            </w:pPr>
            <w:r w:rsidRPr="00C33E44">
              <w:t xml:space="preserve">This performance measure is proposed to be discontinued as it has been replaced by the measure </w:t>
            </w:r>
            <w:r>
              <w:t>‘</w:t>
            </w:r>
            <w:r w:rsidRPr="00C33E44">
              <w:t>Taxi, hire vehicle and other commercial passenger vehicle licence applications processed within 14 days</w:t>
            </w:r>
            <w:r>
              <w:t>’</w:t>
            </w:r>
            <w:r w:rsidRPr="00C33E44">
              <w:t xml:space="preserve"> to demonstrate Taxi Services Commission</w:t>
            </w:r>
            <w:r>
              <w:t>’</w:t>
            </w:r>
            <w:r w:rsidRPr="00C33E44">
              <w:t>s responsiveness in processing all vehicle licence applications.</w:t>
            </w:r>
          </w:p>
        </w:tc>
      </w:tr>
      <w:tr w:rsidR="00E25CC6" w:rsidRPr="00EB6507" w:rsidTr="00ED6231">
        <w:trPr>
          <w:cantSplit/>
        </w:trPr>
        <w:tc>
          <w:tcPr>
            <w:tcW w:w="3146" w:type="dxa"/>
            <w:tcBorders>
              <w:top w:val="single" w:sz="6" w:space="0" w:color="auto"/>
              <w:left w:val="nil"/>
              <w:right w:val="nil"/>
            </w:tcBorders>
          </w:tcPr>
          <w:p w:rsidR="00E25CC6" w:rsidRPr="00C33E44" w:rsidRDefault="00E25CC6" w:rsidP="00255F85">
            <w:pPr>
              <w:pStyle w:val="OGTabText"/>
              <w:keepNext/>
              <w:rPr>
                <w:lang w:eastAsia="en-AU"/>
              </w:rPr>
            </w:pPr>
            <w:r w:rsidRPr="00C33E44">
              <w:rPr>
                <w:lang w:eastAsia="en-AU"/>
              </w:rPr>
              <w:t>New taxi vehicle licence applications processed within 14 days</w:t>
            </w:r>
          </w:p>
        </w:tc>
        <w:tc>
          <w:tcPr>
            <w:tcW w:w="907" w:type="dxa"/>
            <w:tcBorders>
              <w:top w:val="single" w:sz="6" w:space="0" w:color="auto"/>
              <w:left w:val="nil"/>
              <w:right w:val="nil"/>
            </w:tcBorders>
          </w:tcPr>
          <w:p w:rsidR="00E25CC6" w:rsidRPr="00C33E44" w:rsidRDefault="00E25CC6" w:rsidP="00ED6231">
            <w:pPr>
              <w:keepNext/>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85</w:t>
            </w:r>
          </w:p>
        </w:tc>
        <w:tc>
          <w:tcPr>
            <w:tcW w:w="992" w:type="dxa"/>
            <w:tcBorders>
              <w:top w:val="single" w:sz="6" w:space="0" w:color="auto"/>
              <w:left w:val="nil"/>
              <w:right w:val="nil"/>
            </w:tcBorders>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85</w:t>
            </w:r>
          </w:p>
        </w:tc>
        <w:tc>
          <w:tcPr>
            <w:tcW w:w="907" w:type="dxa"/>
            <w:tcBorders>
              <w:top w:val="single" w:sz="6" w:space="0" w:color="auto"/>
              <w:left w:val="nil"/>
              <w:right w:val="nil"/>
            </w:tcBorders>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85</w:t>
            </w:r>
          </w:p>
        </w:tc>
        <w:tc>
          <w:tcPr>
            <w:tcW w:w="908" w:type="dxa"/>
            <w:tcBorders>
              <w:top w:val="single" w:sz="6" w:space="0" w:color="auto"/>
              <w:left w:val="nil"/>
              <w:right w:val="nil"/>
            </w:tcBorders>
          </w:tcPr>
          <w:p w:rsidR="00E25CC6" w:rsidRPr="00C33E44" w:rsidRDefault="00E25CC6" w:rsidP="00ED6231">
            <w:pPr>
              <w:keepNext/>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nm</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2665FE">
            <w:pPr>
              <w:pStyle w:val="OGNotes"/>
            </w:pPr>
            <w:r w:rsidRPr="00C33E44">
              <w:t xml:space="preserve">This performance measure is proposed to be discontinued as it has been replaced by the measure </w:t>
            </w:r>
            <w:r>
              <w:t>‘</w:t>
            </w:r>
            <w:r w:rsidRPr="00C33E44">
              <w:t>Taxi, hire vehicle and other commercial passenger vehicle licence applications processed within 14 days</w:t>
            </w:r>
            <w:r>
              <w:t>’</w:t>
            </w:r>
            <w:r w:rsidRPr="00C33E44">
              <w:t xml:space="preserve"> to demonstrate Taxi Services Commission</w:t>
            </w:r>
            <w:r>
              <w:t>’</w:t>
            </w:r>
            <w:r w:rsidRPr="00C33E44">
              <w:t>s responsiveness in processing all vehicle licence applications.</w:t>
            </w:r>
          </w:p>
        </w:tc>
      </w:tr>
      <w:tr w:rsidR="00E25CC6" w:rsidRPr="00EB6507" w:rsidTr="00ED6231">
        <w:trPr>
          <w:cantSplit/>
        </w:trPr>
        <w:tc>
          <w:tcPr>
            <w:tcW w:w="3146" w:type="dxa"/>
            <w:tcBorders>
              <w:top w:val="single" w:sz="6" w:space="0" w:color="auto"/>
              <w:left w:val="nil"/>
              <w:right w:val="nil"/>
            </w:tcBorders>
          </w:tcPr>
          <w:p w:rsidR="00E25CC6" w:rsidRPr="00EB6507" w:rsidRDefault="00E25CC6" w:rsidP="00EB6507">
            <w:pPr>
              <w:pStyle w:val="OGTabText"/>
              <w:rPr>
                <w:lang w:eastAsia="en-AU"/>
              </w:rPr>
            </w:pPr>
            <w:r w:rsidRPr="00EB6507">
              <w:rPr>
                <w:lang w:eastAsia="en-AU"/>
              </w:rPr>
              <w:t>New taxi, hire vehicle and bus driver accreditation applications processed within 14 days</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center"/>
              <w:rPr>
                <w:rFonts w:ascii="Calibri" w:hAnsi="Calibri" w:cs="Calibri"/>
                <w:color w:val="000000"/>
                <w:sz w:val="19"/>
                <w:szCs w:val="22"/>
                <w:lang w:eastAsia="en-AU"/>
              </w:rPr>
            </w:pPr>
            <w:r w:rsidRPr="00EB6507">
              <w:rPr>
                <w:rFonts w:ascii="Calibri" w:hAnsi="Calibri" w:cs="Calibri"/>
                <w:color w:val="000000"/>
                <w:sz w:val="19"/>
                <w:szCs w:val="22"/>
                <w:lang w:eastAsia="en-AU"/>
              </w:rPr>
              <w:t>per cent</w:t>
            </w:r>
          </w:p>
        </w:tc>
        <w:tc>
          <w:tcPr>
            <w:tcW w:w="907" w:type="dxa"/>
            <w:tcBorders>
              <w:top w:val="single" w:sz="6" w:space="0" w:color="auto"/>
              <w:left w:val="nil"/>
              <w:right w:val="nil"/>
            </w:tcBorders>
            <w:shd w:val="clear" w:color="auto" w:fill="DCDCDC"/>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85</w:t>
            </w:r>
          </w:p>
        </w:tc>
        <w:tc>
          <w:tcPr>
            <w:tcW w:w="992"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70</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85</w:t>
            </w:r>
          </w:p>
        </w:tc>
        <w:tc>
          <w:tcPr>
            <w:tcW w:w="908"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50</w:t>
            </w:r>
          </w:p>
        </w:tc>
      </w:tr>
      <w:tr w:rsidR="00E25CC6" w:rsidRPr="00EB6507" w:rsidTr="00ED6231">
        <w:trPr>
          <w:cantSplit/>
        </w:trPr>
        <w:tc>
          <w:tcPr>
            <w:tcW w:w="7767" w:type="dxa"/>
            <w:gridSpan w:val="6"/>
            <w:tcBorders>
              <w:top w:val="nil"/>
              <w:left w:val="nil"/>
              <w:bottom w:val="single" w:sz="6" w:space="0" w:color="auto"/>
              <w:right w:val="nil"/>
            </w:tcBorders>
          </w:tcPr>
          <w:p w:rsidR="00E25CC6" w:rsidRPr="00C33E44" w:rsidRDefault="00E25CC6" w:rsidP="00EB6507">
            <w:pPr>
              <w:pStyle w:val="OGNotes"/>
            </w:pPr>
            <w:r w:rsidRPr="00C33E44">
              <w:t>The 2015</w:t>
            </w:r>
            <w:r w:rsidRPr="00C33E44">
              <w:noBreakHyphen/>
              <w:t>16 expected outcome is lower than the 2015</w:t>
            </w:r>
            <w:r w:rsidRPr="00C33E44">
              <w:noBreakHyphen/>
              <w:t>16 target due to a 32</w:t>
            </w:r>
            <w:r>
              <w:t> </w:t>
            </w:r>
            <w:r w:rsidRPr="00C33E44">
              <w:t>per cent increase in applications received in the year to date compared to last year. It has not been possible to allocate additional resourcing for processing of the increased number of applications.</w:t>
            </w:r>
          </w:p>
          <w:p w:rsidR="00E25CC6" w:rsidRPr="00C33E44" w:rsidRDefault="00E25CC6" w:rsidP="002665FE">
            <w:pPr>
              <w:pStyle w:val="OGNotes"/>
            </w:pPr>
            <w:r w:rsidRPr="00C33E44">
              <w:t xml:space="preserve">This performance measure is proposed to be discontinued as it has been replaced by the measure </w:t>
            </w:r>
            <w:r>
              <w:t>‘</w:t>
            </w:r>
            <w:r w:rsidRPr="00C33E44">
              <w:t>Taxi, hire vehicle, bus driver, and driving instructor accreditation applications processed within 14 days</w:t>
            </w:r>
            <w:r>
              <w:t>’</w:t>
            </w:r>
            <w:r w:rsidRPr="00C33E44">
              <w:t xml:space="preserve"> to demonstrate Taxi Services Commission</w:t>
            </w:r>
            <w:r>
              <w:t>’</w:t>
            </w:r>
            <w:r w:rsidRPr="00C33E44">
              <w:t xml:space="preserve">s responsiveness in processing all accreditation applications. </w:t>
            </w:r>
          </w:p>
        </w:tc>
      </w:tr>
      <w:tr w:rsidR="00E25CC6" w:rsidRPr="00EB6507" w:rsidTr="00ED6231">
        <w:trPr>
          <w:cantSplit/>
        </w:trPr>
        <w:tc>
          <w:tcPr>
            <w:tcW w:w="3146" w:type="dxa"/>
            <w:tcBorders>
              <w:top w:val="single" w:sz="6" w:space="0" w:color="auto"/>
              <w:left w:val="nil"/>
              <w:right w:val="nil"/>
            </w:tcBorders>
          </w:tcPr>
          <w:p w:rsidR="00E25CC6" w:rsidRPr="00EB6507" w:rsidRDefault="00E25CC6" w:rsidP="00EB6507">
            <w:pPr>
              <w:pStyle w:val="OGTabText"/>
              <w:rPr>
                <w:lang w:eastAsia="en-AU"/>
              </w:rPr>
            </w:pPr>
            <w:r w:rsidRPr="00EB6507">
              <w:rPr>
                <w:lang w:eastAsia="en-AU"/>
              </w:rPr>
              <w:t>Road vehicle and driver regulation: new and renewed driving instructor authority applications processed within 14 days</w:t>
            </w:r>
          </w:p>
        </w:tc>
        <w:tc>
          <w:tcPr>
            <w:tcW w:w="907" w:type="dxa"/>
            <w:tcBorders>
              <w:top w:val="single" w:sz="6" w:space="0" w:color="auto"/>
              <w:left w:val="nil"/>
              <w:right w:val="nil"/>
            </w:tcBorders>
          </w:tcPr>
          <w:p w:rsidR="00E25CC6" w:rsidRPr="00C33E44" w:rsidRDefault="00E25CC6" w:rsidP="00EB6507">
            <w:pPr>
              <w:autoSpaceDE w:val="0"/>
              <w:autoSpaceDN w:val="0"/>
              <w:adjustRightInd w:val="0"/>
              <w:spacing w:after="0"/>
              <w:jc w:val="center"/>
              <w:rPr>
                <w:rFonts w:ascii="Calibri" w:hAnsi="Calibri" w:cs="Calibri"/>
                <w:sz w:val="19"/>
                <w:szCs w:val="22"/>
                <w:lang w:eastAsia="en-AU"/>
              </w:rPr>
            </w:pPr>
            <w:r w:rsidRPr="00C33E44">
              <w:rPr>
                <w:rFonts w:ascii="Calibri" w:hAnsi="Calibri" w:cs="Calibri"/>
                <w:sz w:val="19"/>
                <w:szCs w:val="22"/>
                <w:lang w:eastAsia="en-AU"/>
              </w:rPr>
              <w:t>per cent</w:t>
            </w:r>
          </w:p>
        </w:tc>
        <w:tc>
          <w:tcPr>
            <w:tcW w:w="907" w:type="dxa"/>
            <w:tcBorders>
              <w:top w:val="single" w:sz="6" w:space="0" w:color="auto"/>
              <w:left w:val="nil"/>
              <w:right w:val="nil"/>
            </w:tcBorders>
            <w:shd w:val="clear" w:color="auto" w:fill="DCDCDC"/>
          </w:tcPr>
          <w:p w:rsidR="00E25CC6" w:rsidRPr="00C33E44" w:rsidRDefault="00E25CC6" w:rsidP="00EB6507">
            <w:pPr>
              <w:autoSpaceDE w:val="0"/>
              <w:autoSpaceDN w:val="0"/>
              <w:adjustRightInd w:val="0"/>
              <w:spacing w:after="0"/>
              <w:jc w:val="right"/>
              <w:rPr>
                <w:rFonts w:ascii="Calibri" w:hAnsi="Calibri" w:cs="Calibri"/>
                <w:sz w:val="19"/>
                <w:szCs w:val="22"/>
                <w:lang w:eastAsia="en-AU"/>
              </w:rPr>
            </w:pPr>
            <w:r w:rsidRPr="00C33E44">
              <w:rPr>
                <w:rFonts w:ascii="Calibri" w:hAnsi="Calibri" w:cs="Calibri"/>
                <w:sz w:val="19"/>
                <w:szCs w:val="22"/>
                <w:lang w:eastAsia="en-AU"/>
              </w:rPr>
              <w:t>85</w:t>
            </w:r>
          </w:p>
        </w:tc>
        <w:tc>
          <w:tcPr>
            <w:tcW w:w="992"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85</w:t>
            </w:r>
          </w:p>
        </w:tc>
        <w:tc>
          <w:tcPr>
            <w:tcW w:w="907"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85</w:t>
            </w:r>
          </w:p>
        </w:tc>
        <w:tc>
          <w:tcPr>
            <w:tcW w:w="908" w:type="dxa"/>
            <w:tcBorders>
              <w:top w:val="single" w:sz="6" w:space="0" w:color="auto"/>
              <w:left w:val="nil"/>
              <w:right w:val="nil"/>
            </w:tcBorders>
          </w:tcPr>
          <w:p w:rsidR="00E25CC6" w:rsidRPr="00EB6507" w:rsidRDefault="00E25CC6" w:rsidP="00EB6507">
            <w:pPr>
              <w:autoSpaceDE w:val="0"/>
              <w:autoSpaceDN w:val="0"/>
              <w:adjustRightInd w:val="0"/>
              <w:spacing w:after="0"/>
              <w:jc w:val="right"/>
              <w:rPr>
                <w:rFonts w:ascii="Calibri" w:hAnsi="Calibri" w:cs="Calibri"/>
                <w:color w:val="000000"/>
                <w:sz w:val="19"/>
                <w:szCs w:val="22"/>
                <w:lang w:eastAsia="en-AU"/>
              </w:rPr>
            </w:pPr>
            <w:r w:rsidRPr="00EB6507">
              <w:rPr>
                <w:rFonts w:ascii="Calibri" w:hAnsi="Calibri" w:cs="Calibri"/>
                <w:color w:val="000000"/>
                <w:sz w:val="19"/>
                <w:szCs w:val="22"/>
                <w:lang w:eastAsia="en-AU"/>
              </w:rPr>
              <w:t>75</w:t>
            </w:r>
          </w:p>
        </w:tc>
      </w:tr>
      <w:tr w:rsidR="00E25CC6" w:rsidRPr="00EB6507" w:rsidTr="00EB6507">
        <w:trPr>
          <w:cantSplit/>
        </w:trPr>
        <w:tc>
          <w:tcPr>
            <w:tcW w:w="7767" w:type="dxa"/>
            <w:gridSpan w:val="6"/>
            <w:tcBorders>
              <w:top w:val="nil"/>
              <w:left w:val="nil"/>
              <w:bottom w:val="single" w:sz="12" w:space="0" w:color="auto"/>
              <w:right w:val="nil"/>
            </w:tcBorders>
          </w:tcPr>
          <w:p w:rsidR="00E25CC6" w:rsidRPr="00C33E44" w:rsidRDefault="00E25CC6" w:rsidP="00EB6507">
            <w:pPr>
              <w:pStyle w:val="OGNotes"/>
            </w:pPr>
            <w:r w:rsidRPr="00C33E44">
              <w:t xml:space="preserve">This performance measure is proposed to be discontinued as it has been replaced by the measure </w:t>
            </w:r>
            <w:r>
              <w:t>‘</w:t>
            </w:r>
            <w:r w:rsidRPr="00C33E44">
              <w:t>Taxi, hire vehicle, bus driver, and driving instructor accreditation applications processed within 14 days</w:t>
            </w:r>
            <w:r>
              <w:t>’</w:t>
            </w:r>
            <w:r w:rsidRPr="00C33E44">
              <w:t xml:space="preserve"> to demonstrate Taxi Services Commission</w:t>
            </w:r>
            <w:r>
              <w:t>’</w:t>
            </w:r>
            <w:r w:rsidRPr="00C33E44">
              <w:t>s responsiveness in processing all accreditation applications.</w:t>
            </w:r>
          </w:p>
        </w:tc>
      </w:tr>
    </w:tbl>
    <w:p w:rsidR="00E25CC6" w:rsidRDefault="00E25CC6" w:rsidP="00ED6231">
      <w:pPr>
        <w:pStyle w:val="Source"/>
        <w:rPr>
          <w:rFonts w:eastAsiaTheme="minorHAnsi"/>
        </w:rPr>
      </w:pPr>
      <w:r>
        <w:rPr>
          <w:rFonts w:eastAsiaTheme="minorHAnsi"/>
        </w:rPr>
        <w:t xml:space="preserve">Source: </w:t>
      </w:r>
      <w:r w:rsidRPr="00ED6231">
        <w:rPr>
          <w:rFonts w:eastAsiaTheme="minorHAnsi"/>
        </w:rPr>
        <w:t>Department of Economic Development, Jobs, Transport and Resources</w:t>
      </w:r>
    </w:p>
    <w:p w:rsidR="00E25CC6" w:rsidRDefault="00E25CC6">
      <w:pPr>
        <w:spacing w:after="0"/>
        <w:rPr>
          <w:rFonts w:ascii="Calibri" w:eastAsiaTheme="minorHAnsi" w:hAnsi="Calibri"/>
          <w:b/>
          <w:caps/>
          <w:sz w:val="26"/>
          <w:szCs w:val="22"/>
        </w:rPr>
      </w:pPr>
      <w:r>
        <w:rPr>
          <w:rFonts w:eastAsiaTheme="minorHAnsi"/>
        </w:rPr>
        <w:br w:type="page"/>
      </w:r>
    </w:p>
    <w:p w:rsidR="00E25CC6" w:rsidRPr="001574AB" w:rsidRDefault="00E25CC6" w:rsidP="001574AB">
      <w:pPr>
        <w:pStyle w:val="Heading1"/>
        <w:rPr>
          <w:rFonts w:eastAsiaTheme="minorHAnsi"/>
        </w:rPr>
      </w:pPr>
      <w:bookmarkStart w:id="113" w:name="_Toc449109449"/>
      <w:r>
        <w:rPr>
          <w:rFonts w:eastAsiaTheme="minorHAnsi"/>
        </w:rPr>
        <w:t>Department of Education and Training</w:t>
      </w:r>
      <w:bookmarkEnd w:id="113"/>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1574AB" w:rsidTr="00A959A3">
        <w:trPr>
          <w:cantSplit/>
          <w:tblHeader/>
        </w:trPr>
        <w:tc>
          <w:tcPr>
            <w:tcW w:w="3146" w:type="dxa"/>
            <w:tcBorders>
              <w:top w:val="nil"/>
              <w:left w:val="nil"/>
              <w:bottom w:val="single" w:sz="6" w:space="0" w:color="auto"/>
              <w:right w:val="nil"/>
            </w:tcBorders>
            <w:shd w:val="solid" w:color="000000" w:fill="auto"/>
            <w:vAlign w:val="bottom"/>
          </w:tcPr>
          <w:p w:rsidR="00E25CC6" w:rsidRPr="001574AB" w:rsidRDefault="00E25CC6" w:rsidP="001574AB">
            <w:pPr>
              <w:autoSpaceDE w:val="0"/>
              <w:autoSpaceDN w:val="0"/>
              <w:adjustRightInd w:val="0"/>
              <w:spacing w:after="0"/>
              <w:rPr>
                <w:rFonts w:ascii="Calibri" w:eastAsiaTheme="minorEastAsia" w:hAnsi="Calibri" w:cs="Calibri"/>
                <w:i/>
                <w:iCs/>
                <w:color w:val="FFFFFF"/>
                <w:sz w:val="19"/>
                <w:szCs w:val="22"/>
                <w:lang w:eastAsia="en-AU"/>
              </w:rPr>
            </w:pPr>
            <w:r w:rsidRPr="001574AB">
              <w:rPr>
                <w:rFonts w:ascii="Calibri" w:eastAsiaTheme="minorEastAsia" w:hAnsi="Calibri" w:cs="Calibri"/>
                <w:b/>
                <w:bCs/>
                <w:color w:val="FFFFFF"/>
                <w:sz w:val="19"/>
                <w:szCs w:val="22"/>
                <w:lang w:eastAsia="en-AU"/>
              </w:rPr>
              <w:t>Major outputs/deliverables</w:t>
            </w:r>
          </w:p>
          <w:p w:rsidR="00E25CC6" w:rsidRPr="001574AB" w:rsidRDefault="00E25CC6" w:rsidP="001574AB">
            <w:pPr>
              <w:autoSpaceDE w:val="0"/>
              <w:autoSpaceDN w:val="0"/>
              <w:adjustRightInd w:val="0"/>
              <w:spacing w:after="0"/>
              <w:rPr>
                <w:rFonts w:ascii="Calibri" w:eastAsiaTheme="minorEastAsia" w:hAnsi="Calibri" w:cs="Calibri"/>
                <w:i/>
                <w:iCs/>
                <w:color w:val="FFFFFF"/>
                <w:sz w:val="19"/>
                <w:szCs w:val="22"/>
                <w:lang w:eastAsia="en-AU"/>
              </w:rPr>
            </w:pPr>
            <w:r w:rsidRPr="001574AB">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6" w:space="0" w:color="auto"/>
              <w:right w:val="nil"/>
            </w:tcBorders>
            <w:shd w:val="solid" w:color="000000" w:fill="auto"/>
            <w:vAlign w:val="bottom"/>
          </w:tcPr>
          <w:p w:rsidR="00E25CC6" w:rsidRPr="001574AB" w:rsidRDefault="00E25CC6" w:rsidP="001574AB">
            <w:pPr>
              <w:autoSpaceDE w:val="0"/>
              <w:autoSpaceDN w:val="0"/>
              <w:adjustRightInd w:val="0"/>
              <w:spacing w:after="0"/>
              <w:jc w:val="center"/>
              <w:rPr>
                <w:rFonts w:ascii="Calibri" w:eastAsiaTheme="minorEastAsia" w:hAnsi="Calibri" w:cs="Calibri"/>
                <w:i/>
                <w:iCs/>
                <w:color w:val="FFFFFF"/>
                <w:sz w:val="19"/>
                <w:szCs w:val="22"/>
                <w:lang w:eastAsia="en-AU"/>
              </w:rPr>
            </w:pPr>
            <w:r w:rsidRPr="001574AB">
              <w:rPr>
                <w:rFonts w:ascii="Calibri" w:eastAsiaTheme="minorEastAsia" w:hAnsi="Calibri" w:cs="Calibri"/>
                <w:i/>
                <w:iCs/>
                <w:color w:val="FFFFFF"/>
                <w:sz w:val="19"/>
                <w:szCs w:val="22"/>
                <w:lang w:eastAsia="en-AU"/>
              </w:rPr>
              <w:t>Unit of measure</w:t>
            </w:r>
          </w:p>
        </w:tc>
        <w:tc>
          <w:tcPr>
            <w:tcW w:w="907" w:type="dxa"/>
            <w:tcBorders>
              <w:top w:val="nil"/>
              <w:left w:val="nil"/>
              <w:bottom w:val="single" w:sz="6" w:space="0" w:color="auto"/>
              <w:right w:val="nil"/>
            </w:tcBorders>
            <w:shd w:val="solid" w:color="000000" w:fill="auto"/>
            <w:vAlign w:val="bottom"/>
          </w:tcPr>
          <w:p w:rsidR="00E25CC6" w:rsidRPr="001574AB" w:rsidRDefault="00E25CC6" w:rsidP="001574AB">
            <w:pPr>
              <w:autoSpaceDE w:val="0"/>
              <w:autoSpaceDN w:val="0"/>
              <w:adjustRightInd w:val="0"/>
              <w:spacing w:after="0"/>
              <w:jc w:val="right"/>
              <w:rPr>
                <w:rFonts w:ascii="Calibri" w:eastAsiaTheme="minorEastAsia" w:hAnsi="Calibri" w:cs="Calibri"/>
                <w:i/>
                <w:iCs/>
                <w:color w:val="FFFFFF"/>
                <w:sz w:val="19"/>
                <w:szCs w:val="22"/>
                <w:lang w:eastAsia="en-AU"/>
              </w:rPr>
            </w:pPr>
            <w:r w:rsidRPr="001574AB">
              <w:rPr>
                <w:rFonts w:ascii="Calibri" w:eastAsiaTheme="minorEastAsia" w:hAnsi="Calibri" w:cs="Calibri"/>
                <w:i/>
                <w:iCs/>
                <w:color w:val="FFFFFF"/>
                <w:sz w:val="19"/>
                <w:szCs w:val="22"/>
                <w:lang w:eastAsia="en-AU"/>
              </w:rPr>
              <w:t>2016</w:t>
            </w:r>
            <w:r w:rsidRPr="00255F85">
              <w:rPr>
                <w:rFonts w:ascii="Calibri" w:eastAsiaTheme="minorEastAsia" w:hAnsi="Calibri" w:cs="Calibri"/>
                <w:i/>
                <w:iCs/>
                <w:color w:val="FFFFFF"/>
                <w:sz w:val="19"/>
                <w:szCs w:val="22"/>
                <w:lang w:eastAsia="en-AU"/>
              </w:rPr>
              <w:noBreakHyphen/>
            </w:r>
            <w:r w:rsidRPr="001574AB">
              <w:rPr>
                <w:rFonts w:ascii="Calibri" w:eastAsiaTheme="minorEastAsia" w:hAnsi="Calibri" w:cs="Calibri"/>
                <w:i/>
                <w:iCs/>
                <w:color w:val="FFFFFF"/>
                <w:sz w:val="19"/>
                <w:szCs w:val="22"/>
                <w:lang w:eastAsia="en-AU"/>
              </w:rPr>
              <w:t>17 target</w:t>
            </w:r>
          </w:p>
        </w:tc>
        <w:tc>
          <w:tcPr>
            <w:tcW w:w="992" w:type="dxa"/>
            <w:tcBorders>
              <w:top w:val="nil"/>
              <w:left w:val="nil"/>
              <w:bottom w:val="single" w:sz="6" w:space="0" w:color="auto"/>
              <w:right w:val="nil"/>
            </w:tcBorders>
            <w:shd w:val="solid" w:color="000000" w:fill="auto"/>
            <w:vAlign w:val="bottom"/>
          </w:tcPr>
          <w:p w:rsidR="00E25CC6" w:rsidRPr="001574AB" w:rsidRDefault="00E25CC6" w:rsidP="001574AB">
            <w:pPr>
              <w:autoSpaceDE w:val="0"/>
              <w:autoSpaceDN w:val="0"/>
              <w:adjustRightInd w:val="0"/>
              <w:spacing w:after="0"/>
              <w:jc w:val="right"/>
              <w:rPr>
                <w:rFonts w:ascii="Calibri" w:eastAsiaTheme="minorEastAsia" w:hAnsi="Calibri" w:cs="Calibri"/>
                <w:i/>
                <w:iCs/>
                <w:color w:val="FFFFFF"/>
                <w:sz w:val="19"/>
                <w:szCs w:val="22"/>
                <w:lang w:eastAsia="en-AU"/>
              </w:rPr>
            </w:pPr>
            <w:r w:rsidRPr="001574AB">
              <w:rPr>
                <w:rFonts w:ascii="Calibri" w:eastAsiaTheme="minorEastAsia" w:hAnsi="Calibri" w:cs="Calibri"/>
                <w:i/>
                <w:iCs/>
                <w:color w:val="FFFFFF"/>
                <w:sz w:val="19"/>
                <w:szCs w:val="22"/>
                <w:lang w:eastAsia="en-AU"/>
              </w:rPr>
              <w:t>2015</w:t>
            </w:r>
            <w:r w:rsidRPr="00255F85">
              <w:rPr>
                <w:rFonts w:ascii="Calibri" w:eastAsiaTheme="minorEastAsia" w:hAnsi="Calibri" w:cs="Calibri"/>
                <w:i/>
                <w:iCs/>
                <w:color w:val="FFFFFF"/>
                <w:sz w:val="19"/>
                <w:szCs w:val="22"/>
                <w:lang w:eastAsia="en-AU"/>
              </w:rPr>
              <w:noBreakHyphen/>
            </w:r>
            <w:r w:rsidRPr="001574AB">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6" w:space="0" w:color="auto"/>
              <w:right w:val="nil"/>
            </w:tcBorders>
            <w:shd w:val="solid" w:color="000000" w:fill="auto"/>
            <w:vAlign w:val="bottom"/>
          </w:tcPr>
          <w:p w:rsidR="00E25CC6" w:rsidRPr="001574AB" w:rsidRDefault="00E25CC6" w:rsidP="001574AB">
            <w:pPr>
              <w:autoSpaceDE w:val="0"/>
              <w:autoSpaceDN w:val="0"/>
              <w:adjustRightInd w:val="0"/>
              <w:spacing w:after="0"/>
              <w:jc w:val="right"/>
              <w:rPr>
                <w:rFonts w:ascii="Calibri" w:eastAsiaTheme="minorEastAsia" w:hAnsi="Calibri" w:cs="Calibri"/>
                <w:i/>
                <w:iCs/>
                <w:color w:val="FFFFFF"/>
                <w:sz w:val="19"/>
                <w:szCs w:val="22"/>
                <w:lang w:eastAsia="en-AU"/>
              </w:rPr>
            </w:pPr>
            <w:r w:rsidRPr="001574AB">
              <w:rPr>
                <w:rFonts w:ascii="Calibri" w:eastAsiaTheme="minorEastAsia" w:hAnsi="Calibri" w:cs="Calibri"/>
                <w:i/>
                <w:iCs/>
                <w:color w:val="FFFFFF"/>
                <w:sz w:val="19"/>
                <w:szCs w:val="22"/>
                <w:lang w:eastAsia="en-AU"/>
              </w:rPr>
              <w:t>2015</w:t>
            </w:r>
            <w:r w:rsidRPr="00255F85">
              <w:rPr>
                <w:rFonts w:ascii="Calibri" w:eastAsiaTheme="minorEastAsia" w:hAnsi="Calibri" w:cs="Calibri"/>
                <w:i/>
                <w:iCs/>
                <w:color w:val="FFFFFF"/>
                <w:sz w:val="19"/>
                <w:szCs w:val="22"/>
                <w:lang w:eastAsia="en-AU"/>
              </w:rPr>
              <w:noBreakHyphen/>
            </w:r>
            <w:r w:rsidRPr="001574AB">
              <w:rPr>
                <w:rFonts w:ascii="Calibri" w:eastAsiaTheme="minorEastAsia" w:hAnsi="Calibri" w:cs="Calibri"/>
                <w:i/>
                <w:iCs/>
                <w:color w:val="FFFFFF"/>
                <w:sz w:val="19"/>
                <w:szCs w:val="22"/>
                <w:lang w:eastAsia="en-AU"/>
              </w:rPr>
              <w:t>16 target</w:t>
            </w:r>
          </w:p>
        </w:tc>
        <w:tc>
          <w:tcPr>
            <w:tcW w:w="908" w:type="dxa"/>
            <w:tcBorders>
              <w:top w:val="nil"/>
              <w:left w:val="nil"/>
              <w:bottom w:val="single" w:sz="6" w:space="0" w:color="auto"/>
              <w:right w:val="nil"/>
            </w:tcBorders>
            <w:shd w:val="solid" w:color="000000" w:fill="auto"/>
            <w:vAlign w:val="bottom"/>
          </w:tcPr>
          <w:p w:rsidR="00E25CC6" w:rsidRPr="001574AB" w:rsidRDefault="00E25CC6" w:rsidP="001574AB">
            <w:pPr>
              <w:autoSpaceDE w:val="0"/>
              <w:autoSpaceDN w:val="0"/>
              <w:adjustRightInd w:val="0"/>
              <w:spacing w:after="0"/>
              <w:jc w:val="right"/>
              <w:rPr>
                <w:rFonts w:ascii="Calibri" w:eastAsiaTheme="minorEastAsia" w:hAnsi="Calibri" w:cs="Calibri"/>
                <w:i/>
                <w:iCs/>
                <w:color w:val="FFFFFF"/>
                <w:sz w:val="19"/>
                <w:szCs w:val="22"/>
                <w:lang w:eastAsia="en-AU"/>
              </w:rPr>
            </w:pPr>
            <w:r w:rsidRPr="001574AB">
              <w:rPr>
                <w:rFonts w:ascii="Calibri" w:eastAsiaTheme="minorEastAsia" w:hAnsi="Calibri" w:cs="Calibri"/>
                <w:i/>
                <w:iCs/>
                <w:color w:val="FFFFFF"/>
                <w:sz w:val="19"/>
                <w:szCs w:val="22"/>
                <w:lang w:eastAsia="en-AU"/>
              </w:rPr>
              <w:t>2014</w:t>
            </w:r>
            <w:r w:rsidRPr="00255F85">
              <w:rPr>
                <w:rFonts w:ascii="Calibri" w:eastAsiaTheme="minorEastAsia" w:hAnsi="Calibri" w:cs="Calibri"/>
                <w:i/>
                <w:iCs/>
                <w:color w:val="FFFFFF"/>
                <w:sz w:val="19"/>
                <w:szCs w:val="22"/>
                <w:lang w:eastAsia="en-AU"/>
              </w:rPr>
              <w:noBreakHyphen/>
            </w:r>
            <w:r w:rsidRPr="001574AB">
              <w:rPr>
                <w:rFonts w:ascii="Calibri" w:eastAsiaTheme="minorEastAsia" w:hAnsi="Calibri" w:cs="Calibri"/>
                <w:i/>
                <w:iCs/>
                <w:color w:val="FFFFFF"/>
                <w:sz w:val="19"/>
                <w:szCs w:val="22"/>
                <w:lang w:eastAsia="en-AU"/>
              </w:rPr>
              <w:t>15 actual</w:t>
            </w:r>
          </w:p>
        </w:tc>
      </w:tr>
      <w:tr w:rsidR="00E25CC6" w:rsidRPr="001574AB" w:rsidTr="00A959A3">
        <w:trPr>
          <w:cantSplit/>
        </w:trPr>
        <w:tc>
          <w:tcPr>
            <w:tcW w:w="7767" w:type="dxa"/>
            <w:gridSpan w:val="6"/>
            <w:tcBorders>
              <w:top w:val="single" w:sz="6" w:space="0" w:color="auto"/>
              <w:left w:val="nil"/>
              <w:bottom w:val="single" w:sz="6" w:space="0" w:color="auto"/>
              <w:right w:val="nil"/>
            </w:tcBorders>
          </w:tcPr>
          <w:p w:rsidR="00E25CC6" w:rsidRPr="001574AB" w:rsidRDefault="00E25CC6" w:rsidP="001574AB">
            <w:pPr>
              <w:pStyle w:val="OGHeading2"/>
              <w:rPr>
                <w:rFonts w:eastAsiaTheme="minorEastAsia"/>
                <w:lang w:eastAsia="en-AU"/>
              </w:rPr>
            </w:pPr>
            <w:r w:rsidRPr="001574AB">
              <w:rPr>
                <w:rFonts w:eastAsiaTheme="minorEastAsia"/>
                <w:lang w:eastAsia="en-AU"/>
              </w:rPr>
              <w:t>Strategy Review and Regulation</w:t>
            </w:r>
          </w:p>
        </w:tc>
      </w:tr>
      <w:tr w:rsidR="00E25CC6" w:rsidRPr="001574AB" w:rsidTr="00A959A3">
        <w:trPr>
          <w:cantSplit/>
        </w:trPr>
        <w:tc>
          <w:tcPr>
            <w:tcW w:w="3146" w:type="dxa"/>
            <w:tcBorders>
              <w:top w:val="single" w:sz="6" w:space="0" w:color="auto"/>
              <w:left w:val="nil"/>
              <w:bottom w:val="nil"/>
              <w:right w:val="nil"/>
            </w:tcBorders>
          </w:tcPr>
          <w:p w:rsidR="00E25CC6" w:rsidRPr="001574AB" w:rsidRDefault="00E25CC6" w:rsidP="001574AB">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1574AB">
              <w:rPr>
                <w:rFonts w:ascii="Calibri" w:eastAsiaTheme="minorEastAsia"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1574AB" w:rsidRDefault="00E25CC6" w:rsidP="001574AB">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1574AB" w:rsidRDefault="00E25CC6" w:rsidP="001574AB">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single" w:sz="6" w:space="0" w:color="auto"/>
              <w:left w:val="nil"/>
              <w:bottom w:val="nil"/>
              <w:right w:val="nil"/>
            </w:tcBorders>
          </w:tcPr>
          <w:p w:rsidR="00E25CC6" w:rsidRPr="001574AB" w:rsidRDefault="00E25CC6" w:rsidP="001574AB">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bottom w:val="nil"/>
              <w:right w:val="nil"/>
            </w:tcBorders>
          </w:tcPr>
          <w:p w:rsidR="00E25CC6" w:rsidRPr="001574AB" w:rsidRDefault="00E25CC6" w:rsidP="001574AB">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single" w:sz="6" w:space="0" w:color="auto"/>
              <w:left w:val="nil"/>
              <w:bottom w:val="nil"/>
              <w:right w:val="nil"/>
            </w:tcBorders>
          </w:tcPr>
          <w:p w:rsidR="00E25CC6" w:rsidRPr="001574AB" w:rsidRDefault="00E25CC6" w:rsidP="001574AB">
            <w:pPr>
              <w:autoSpaceDE w:val="0"/>
              <w:autoSpaceDN w:val="0"/>
              <w:adjustRightInd w:val="0"/>
              <w:spacing w:after="0"/>
              <w:rPr>
                <w:rFonts w:ascii="Calibri" w:eastAsiaTheme="minorEastAsia" w:hAnsi="Calibri" w:cs="Calibri"/>
                <w:color w:val="000000"/>
                <w:sz w:val="19"/>
                <w:szCs w:val="22"/>
                <w:lang w:eastAsia="en-AU"/>
              </w:rPr>
            </w:pPr>
          </w:p>
        </w:tc>
      </w:tr>
      <w:tr w:rsidR="00E25CC6" w:rsidRPr="001574AB" w:rsidTr="001574AB">
        <w:trPr>
          <w:cantSplit/>
        </w:trPr>
        <w:tc>
          <w:tcPr>
            <w:tcW w:w="3146" w:type="dxa"/>
            <w:tcBorders>
              <w:top w:val="nil"/>
              <w:left w:val="nil"/>
              <w:right w:val="nil"/>
            </w:tcBorders>
          </w:tcPr>
          <w:p w:rsidR="00E25CC6" w:rsidRPr="001574AB" w:rsidRDefault="00E25CC6" w:rsidP="001574AB">
            <w:pPr>
              <w:pStyle w:val="OGTabText"/>
              <w:rPr>
                <w:rFonts w:eastAsiaTheme="minorEastAsia"/>
                <w:lang w:eastAsia="en-AU"/>
              </w:rPr>
            </w:pPr>
            <w:r w:rsidRPr="001574AB">
              <w:rPr>
                <w:rFonts w:eastAsiaTheme="minorEastAsia"/>
                <w:lang w:eastAsia="en-AU"/>
              </w:rPr>
              <w:t>Education provider satisfaction with the Victorian Registration and Qualifications Authority and its regulatory processes</w:t>
            </w:r>
          </w:p>
        </w:tc>
        <w:tc>
          <w:tcPr>
            <w:tcW w:w="907" w:type="dxa"/>
            <w:tcBorders>
              <w:top w:val="nil"/>
              <w:left w:val="nil"/>
              <w:right w:val="nil"/>
            </w:tcBorders>
          </w:tcPr>
          <w:p w:rsidR="00E25CC6" w:rsidRPr="001574AB" w:rsidRDefault="00E25CC6" w:rsidP="001574AB">
            <w:pPr>
              <w:autoSpaceDE w:val="0"/>
              <w:autoSpaceDN w:val="0"/>
              <w:adjustRightInd w:val="0"/>
              <w:spacing w:after="0"/>
              <w:jc w:val="center"/>
              <w:rPr>
                <w:rFonts w:ascii="Calibri" w:eastAsiaTheme="minorEastAsia" w:hAnsi="Calibri" w:cs="Calibri"/>
                <w:color w:val="000000"/>
                <w:sz w:val="19"/>
                <w:szCs w:val="22"/>
                <w:lang w:eastAsia="en-AU"/>
              </w:rPr>
            </w:pPr>
            <w:r w:rsidRPr="001574AB">
              <w:rPr>
                <w:rFonts w:ascii="Calibri" w:eastAsiaTheme="minorEastAsia"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1574AB" w:rsidRDefault="00E25CC6" w:rsidP="001574AB">
            <w:pPr>
              <w:autoSpaceDE w:val="0"/>
              <w:autoSpaceDN w:val="0"/>
              <w:adjustRightInd w:val="0"/>
              <w:spacing w:after="0"/>
              <w:jc w:val="right"/>
              <w:rPr>
                <w:rFonts w:ascii="Calibri" w:eastAsiaTheme="minorEastAsia" w:hAnsi="Calibri" w:cs="Calibri"/>
                <w:color w:val="000000"/>
                <w:sz w:val="19"/>
                <w:szCs w:val="22"/>
                <w:lang w:eastAsia="en-AU"/>
              </w:rPr>
            </w:pPr>
            <w:r w:rsidRPr="001574AB">
              <w:rPr>
                <w:rFonts w:ascii="Calibri" w:eastAsiaTheme="minorEastAsia" w:hAnsi="Calibri" w:cs="Calibri"/>
                <w:color w:val="000000"/>
                <w:sz w:val="19"/>
                <w:szCs w:val="22"/>
                <w:lang w:eastAsia="en-AU"/>
              </w:rPr>
              <w:t>74</w:t>
            </w:r>
          </w:p>
        </w:tc>
        <w:tc>
          <w:tcPr>
            <w:tcW w:w="992" w:type="dxa"/>
            <w:tcBorders>
              <w:top w:val="nil"/>
              <w:left w:val="nil"/>
              <w:right w:val="nil"/>
            </w:tcBorders>
          </w:tcPr>
          <w:p w:rsidR="00E25CC6" w:rsidRPr="001574AB" w:rsidRDefault="00E25CC6" w:rsidP="001574AB">
            <w:pPr>
              <w:autoSpaceDE w:val="0"/>
              <w:autoSpaceDN w:val="0"/>
              <w:adjustRightInd w:val="0"/>
              <w:spacing w:after="0"/>
              <w:jc w:val="right"/>
              <w:rPr>
                <w:rFonts w:ascii="Calibri" w:eastAsiaTheme="minorEastAsia" w:hAnsi="Calibri" w:cs="Calibri"/>
                <w:color w:val="000000"/>
                <w:sz w:val="19"/>
                <w:szCs w:val="22"/>
                <w:lang w:eastAsia="en-AU"/>
              </w:rPr>
            </w:pPr>
            <w:r w:rsidRPr="001574AB">
              <w:rPr>
                <w:rFonts w:ascii="Calibri" w:eastAsiaTheme="minorEastAsia" w:hAnsi="Calibri" w:cs="Calibri"/>
                <w:color w:val="000000"/>
                <w:sz w:val="19"/>
                <w:szCs w:val="22"/>
                <w:lang w:eastAsia="en-AU"/>
              </w:rPr>
              <w:t>81</w:t>
            </w:r>
          </w:p>
        </w:tc>
        <w:tc>
          <w:tcPr>
            <w:tcW w:w="907" w:type="dxa"/>
            <w:tcBorders>
              <w:top w:val="nil"/>
              <w:left w:val="nil"/>
              <w:right w:val="nil"/>
            </w:tcBorders>
          </w:tcPr>
          <w:p w:rsidR="00E25CC6" w:rsidRPr="001574AB" w:rsidRDefault="00E25CC6" w:rsidP="001574AB">
            <w:pPr>
              <w:autoSpaceDE w:val="0"/>
              <w:autoSpaceDN w:val="0"/>
              <w:adjustRightInd w:val="0"/>
              <w:spacing w:after="0"/>
              <w:jc w:val="right"/>
              <w:rPr>
                <w:rFonts w:ascii="Calibri" w:eastAsiaTheme="minorEastAsia" w:hAnsi="Calibri" w:cs="Calibri"/>
                <w:color w:val="000000"/>
                <w:sz w:val="19"/>
                <w:szCs w:val="22"/>
                <w:lang w:eastAsia="en-AU"/>
              </w:rPr>
            </w:pPr>
            <w:r w:rsidRPr="001574AB">
              <w:rPr>
                <w:rFonts w:ascii="Calibri" w:eastAsiaTheme="minorEastAsia" w:hAnsi="Calibri" w:cs="Calibri"/>
                <w:color w:val="000000"/>
                <w:sz w:val="19"/>
                <w:szCs w:val="22"/>
                <w:lang w:eastAsia="en-AU"/>
              </w:rPr>
              <w:t>65</w:t>
            </w:r>
          </w:p>
        </w:tc>
        <w:tc>
          <w:tcPr>
            <w:tcW w:w="908" w:type="dxa"/>
            <w:tcBorders>
              <w:top w:val="nil"/>
              <w:left w:val="nil"/>
              <w:right w:val="nil"/>
            </w:tcBorders>
          </w:tcPr>
          <w:p w:rsidR="00E25CC6" w:rsidRPr="001574AB" w:rsidRDefault="00E25CC6" w:rsidP="001574AB">
            <w:pPr>
              <w:autoSpaceDE w:val="0"/>
              <w:autoSpaceDN w:val="0"/>
              <w:adjustRightInd w:val="0"/>
              <w:spacing w:after="0"/>
              <w:jc w:val="right"/>
              <w:rPr>
                <w:rFonts w:ascii="Calibri" w:eastAsiaTheme="minorEastAsia" w:hAnsi="Calibri" w:cs="Calibri"/>
                <w:color w:val="000000"/>
                <w:sz w:val="19"/>
                <w:szCs w:val="22"/>
                <w:lang w:eastAsia="en-AU"/>
              </w:rPr>
            </w:pPr>
            <w:r w:rsidRPr="001574AB">
              <w:rPr>
                <w:rFonts w:ascii="Calibri" w:eastAsiaTheme="minorEastAsia" w:hAnsi="Calibri" w:cs="Calibri"/>
                <w:color w:val="000000"/>
                <w:sz w:val="19"/>
                <w:szCs w:val="22"/>
                <w:lang w:eastAsia="en-AU"/>
              </w:rPr>
              <w:t>74</w:t>
            </w:r>
          </w:p>
        </w:tc>
      </w:tr>
      <w:tr w:rsidR="00E25CC6" w:rsidRPr="001574AB" w:rsidTr="001574AB">
        <w:trPr>
          <w:cantSplit/>
        </w:trPr>
        <w:tc>
          <w:tcPr>
            <w:tcW w:w="7767" w:type="dxa"/>
            <w:gridSpan w:val="6"/>
            <w:tcBorders>
              <w:top w:val="nil"/>
              <w:left w:val="nil"/>
              <w:bottom w:val="single" w:sz="12" w:space="0" w:color="auto"/>
              <w:right w:val="nil"/>
            </w:tcBorders>
          </w:tcPr>
          <w:p w:rsidR="00E25CC6" w:rsidRPr="001574AB" w:rsidRDefault="00E25CC6" w:rsidP="00920BEF">
            <w:pPr>
              <w:pStyle w:val="OGNotes"/>
              <w:rPr>
                <w:rFonts w:eastAsiaTheme="minorEastAsia"/>
              </w:rPr>
            </w:pPr>
            <w:r w:rsidRPr="001574AB">
              <w:rPr>
                <w:rFonts w:eastAsiaTheme="minorEastAsia"/>
              </w:rPr>
              <w:t>This performance measure is proposed to be discontinued as it has been replaced by the 2016</w:t>
            </w:r>
            <w:r w:rsidRPr="00255F85">
              <w:rPr>
                <w:rFonts w:eastAsiaTheme="minorEastAsia"/>
              </w:rPr>
              <w:noBreakHyphen/>
            </w:r>
            <w:r w:rsidRPr="001574AB">
              <w:rPr>
                <w:rFonts w:eastAsiaTheme="minorEastAsia"/>
              </w:rPr>
              <w:t xml:space="preserve">17 performance measures </w:t>
            </w:r>
            <w:r>
              <w:rPr>
                <w:rFonts w:eastAsiaTheme="minorEastAsia"/>
              </w:rPr>
              <w:t>‘</w:t>
            </w:r>
            <w:r w:rsidRPr="001574AB">
              <w:rPr>
                <w:rFonts w:eastAsiaTheme="minorEastAsia"/>
              </w:rPr>
              <w:t>Education peak bodies that rate the Victorian Registration and Qualifications Authority (VRQA) effective or highly effective in performing its regulatory function</w:t>
            </w:r>
            <w:r>
              <w:rPr>
                <w:rFonts w:eastAsiaTheme="minorEastAsia"/>
              </w:rPr>
              <w:t>’</w:t>
            </w:r>
            <w:r w:rsidRPr="001574AB">
              <w:rPr>
                <w:rFonts w:eastAsiaTheme="minorEastAsia"/>
              </w:rPr>
              <w:t xml:space="preserve"> and </w:t>
            </w:r>
            <w:r>
              <w:rPr>
                <w:rFonts w:eastAsiaTheme="minorEastAsia"/>
              </w:rPr>
              <w:t>‘</w:t>
            </w:r>
            <w:r w:rsidRPr="001574AB">
              <w:rPr>
                <w:rFonts w:eastAsiaTheme="minorEastAsia"/>
              </w:rPr>
              <w:t>Regulated schools and Registered Training Organisations that rate the VRQA effective or highly effective in performing its regulatory function</w:t>
            </w:r>
            <w:r>
              <w:rPr>
                <w:rFonts w:eastAsiaTheme="minorEastAsia"/>
              </w:rPr>
              <w:t>’</w:t>
            </w:r>
            <w:r w:rsidRPr="001574AB">
              <w:rPr>
                <w:rFonts w:eastAsiaTheme="minorEastAsia"/>
              </w:rPr>
              <w:t>, which will provide a greater indication of quality of provision of services. This performance measure relates to the calendar year. The 2015</w:t>
            </w:r>
            <w:r>
              <w:rPr>
                <w:rFonts w:eastAsiaTheme="minorEastAsia"/>
              </w:rPr>
              <w:noBreakHyphen/>
            </w:r>
            <w:r w:rsidRPr="001574AB">
              <w:rPr>
                <w:rFonts w:eastAsiaTheme="minorEastAsia"/>
              </w:rPr>
              <w:t>16 expected outcome is higher than 2015</w:t>
            </w:r>
            <w:r>
              <w:rPr>
                <w:rFonts w:eastAsiaTheme="minorEastAsia"/>
              </w:rPr>
              <w:noBreakHyphen/>
            </w:r>
            <w:r w:rsidRPr="001574AB">
              <w:rPr>
                <w:rFonts w:eastAsiaTheme="minorEastAsia"/>
              </w:rPr>
              <w:t>16 target due to the success of VRQA business improvement initiatives and the 2016</w:t>
            </w:r>
            <w:r w:rsidRPr="00255F85">
              <w:rPr>
                <w:rFonts w:eastAsiaTheme="minorEastAsia"/>
              </w:rPr>
              <w:noBreakHyphen/>
            </w:r>
            <w:r w:rsidRPr="001574AB">
              <w:rPr>
                <w:rFonts w:eastAsiaTheme="minorEastAsia"/>
              </w:rPr>
              <w:t xml:space="preserve">17 target reflects this enhanced capacity. </w:t>
            </w:r>
          </w:p>
        </w:tc>
      </w:tr>
    </w:tbl>
    <w:p w:rsidR="00E25CC6" w:rsidRPr="001574AB" w:rsidRDefault="00E25CC6" w:rsidP="001574AB">
      <w:pPr>
        <w:pStyle w:val="Source"/>
        <w:rPr>
          <w:rFonts w:ascii="Garamond" w:eastAsiaTheme="minorHAnsi" w:hAnsi="Garamond"/>
          <w:sz w:val="22"/>
        </w:rPr>
      </w:pPr>
      <w:r>
        <w:rPr>
          <w:rFonts w:eastAsiaTheme="minorHAnsi"/>
        </w:rPr>
        <w:t>Source: Department of Education and Training</w:t>
      </w:r>
    </w:p>
    <w:p w:rsidR="00E25CC6" w:rsidRDefault="00E25CC6" w:rsidP="008B169C">
      <w:pPr>
        <w:spacing w:after="0"/>
        <w:rPr>
          <w:rFonts w:ascii="Times New Roman" w:hAnsi="Times New Roman"/>
          <w:sz w:val="20"/>
          <w:lang w:eastAsia="en-AU"/>
        </w:rPr>
      </w:pPr>
    </w:p>
    <w:p w:rsidR="00E25CC6" w:rsidRDefault="00E25CC6" w:rsidP="008B169C">
      <w:pPr>
        <w:spacing w:after="0"/>
        <w:rPr>
          <w:rFonts w:eastAsiaTheme="minorHAnsi"/>
        </w:rPr>
      </w:pPr>
    </w:p>
    <w:p w:rsidR="00E25CC6" w:rsidRDefault="00E25CC6">
      <w:pPr>
        <w:spacing w:after="0"/>
        <w:rPr>
          <w:rFonts w:ascii="Calibri" w:eastAsiaTheme="minorHAnsi" w:hAnsi="Calibri"/>
          <w:b/>
          <w:caps/>
          <w:sz w:val="26"/>
          <w:szCs w:val="22"/>
        </w:rPr>
      </w:pPr>
      <w:r>
        <w:rPr>
          <w:rFonts w:eastAsiaTheme="minorHAnsi"/>
        </w:rPr>
        <w:br w:type="page"/>
      </w:r>
    </w:p>
    <w:p w:rsidR="00E25CC6" w:rsidRPr="0066324A" w:rsidRDefault="00E25CC6" w:rsidP="0066324A">
      <w:pPr>
        <w:pStyle w:val="Heading1"/>
        <w:rPr>
          <w:rFonts w:ascii="Times New Roman" w:hAnsi="Times New Roman"/>
          <w:sz w:val="20"/>
          <w:lang w:eastAsia="en-AU"/>
        </w:rPr>
      </w:pPr>
      <w:bookmarkStart w:id="114" w:name="_Toc449109450"/>
      <w:r>
        <w:rPr>
          <w:rFonts w:eastAsiaTheme="minorHAnsi"/>
        </w:rPr>
        <w:t>Department of Environment, Land, Water and Planning</w:t>
      </w:r>
      <w:bookmarkEnd w:id="114"/>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66324A" w:rsidTr="0066324A">
        <w:trPr>
          <w:cantSplit/>
          <w:tblHeader/>
        </w:trPr>
        <w:tc>
          <w:tcPr>
            <w:tcW w:w="3146" w:type="dxa"/>
            <w:tcBorders>
              <w:top w:val="nil"/>
              <w:left w:val="nil"/>
              <w:bottom w:val="single" w:sz="4" w:space="0" w:color="auto"/>
              <w:right w:val="nil"/>
            </w:tcBorders>
            <w:shd w:val="solid" w:color="000000" w:fill="auto"/>
            <w:vAlign w:val="bottom"/>
          </w:tcPr>
          <w:p w:rsidR="00E25CC6" w:rsidRPr="0066324A" w:rsidRDefault="00E25CC6" w:rsidP="0066324A">
            <w:pPr>
              <w:autoSpaceDE w:val="0"/>
              <w:autoSpaceDN w:val="0"/>
              <w:adjustRightInd w:val="0"/>
              <w:spacing w:after="0"/>
              <w:rPr>
                <w:rFonts w:ascii="Calibri" w:eastAsiaTheme="minorEastAsia" w:hAnsi="Calibri" w:cs="Calibri"/>
                <w:i/>
                <w:iCs/>
                <w:color w:val="FFFFFF"/>
                <w:sz w:val="19"/>
                <w:szCs w:val="22"/>
                <w:lang w:eastAsia="en-AU"/>
              </w:rPr>
            </w:pPr>
            <w:r w:rsidRPr="0066324A">
              <w:rPr>
                <w:rFonts w:ascii="Calibri" w:eastAsiaTheme="minorEastAsia" w:hAnsi="Calibri" w:cs="Calibri"/>
                <w:b/>
                <w:bCs/>
                <w:color w:val="FFFFFF"/>
                <w:sz w:val="19"/>
                <w:szCs w:val="22"/>
                <w:lang w:eastAsia="en-AU"/>
              </w:rPr>
              <w:t>Major outputs/deliverables</w:t>
            </w:r>
          </w:p>
          <w:p w:rsidR="00E25CC6" w:rsidRPr="0066324A" w:rsidRDefault="00E25CC6" w:rsidP="0066324A">
            <w:pPr>
              <w:autoSpaceDE w:val="0"/>
              <w:autoSpaceDN w:val="0"/>
              <w:adjustRightInd w:val="0"/>
              <w:spacing w:after="0"/>
              <w:rPr>
                <w:rFonts w:ascii="Calibri" w:eastAsiaTheme="minorEastAsia" w:hAnsi="Calibri" w:cs="Calibri"/>
                <w:i/>
                <w:iCs/>
                <w:color w:val="FFFFFF"/>
                <w:sz w:val="19"/>
                <w:szCs w:val="22"/>
                <w:lang w:eastAsia="en-AU"/>
              </w:rPr>
            </w:pPr>
            <w:r w:rsidRPr="0066324A">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66324A" w:rsidRDefault="00E25CC6" w:rsidP="0066324A">
            <w:pPr>
              <w:autoSpaceDE w:val="0"/>
              <w:autoSpaceDN w:val="0"/>
              <w:adjustRightInd w:val="0"/>
              <w:spacing w:after="0"/>
              <w:jc w:val="center"/>
              <w:rPr>
                <w:rFonts w:ascii="Calibri" w:eastAsiaTheme="minorEastAsia" w:hAnsi="Calibri" w:cs="Calibri"/>
                <w:i/>
                <w:iCs/>
                <w:color w:val="FFFFFF"/>
                <w:sz w:val="19"/>
                <w:szCs w:val="22"/>
                <w:lang w:eastAsia="en-AU"/>
              </w:rPr>
            </w:pPr>
            <w:r w:rsidRPr="0066324A">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66324A" w:rsidRDefault="00E25CC6" w:rsidP="0066324A">
            <w:pPr>
              <w:autoSpaceDE w:val="0"/>
              <w:autoSpaceDN w:val="0"/>
              <w:adjustRightInd w:val="0"/>
              <w:spacing w:after="0"/>
              <w:jc w:val="right"/>
              <w:rPr>
                <w:rFonts w:ascii="Calibri" w:eastAsiaTheme="minorEastAsia" w:hAnsi="Calibri" w:cs="Calibri"/>
                <w:i/>
                <w:iCs/>
                <w:color w:val="FFFFFF"/>
                <w:sz w:val="19"/>
                <w:szCs w:val="22"/>
                <w:lang w:eastAsia="en-AU"/>
              </w:rPr>
            </w:pPr>
            <w:r w:rsidRPr="0066324A">
              <w:rPr>
                <w:rFonts w:ascii="Calibri" w:eastAsiaTheme="minorEastAsia" w:hAnsi="Calibri" w:cs="Calibri"/>
                <w:i/>
                <w:iCs/>
                <w:color w:val="FFFFFF"/>
                <w:sz w:val="19"/>
                <w:szCs w:val="22"/>
                <w:lang w:eastAsia="en-AU"/>
              </w:rPr>
              <w:t>2016</w:t>
            </w:r>
            <w:r w:rsidRPr="00255F85">
              <w:rPr>
                <w:rFonts w:ascii="Calibri" w:eastAsiaTheme="minorEastAsia" w:hAnsi="Calibri" w:cs="Calibri"/>
                <w:i/>
                <w:iCs/>
                <w:color w:val="FFFFFF"/>
                <w:sz w:val="19"/>
                <w:szCs w:val="22"/>
                <w:lang w:eastAsia="en-AU"/>
              </w:rPr>
              <w:noBreakHyphen/>
            </w:r>
            <w:r w:rsidRPr="0066324A">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66324A" w:rsidRDefault="00E25CC6" w:rsidP="0066324A">
            <w:pPr>
              <w:autoSpaceDE w:val="0"/>
              <w:autoSpaceDN w:val="0"/>
              <w:adjustRightInd w:val="0"/>
              <w:spacing w:after="0"/>
              <w:jc w:val="right"/>
              <w:rPr>
                <w:rFonts w:ascii="Calibri" w:eastAsiaTheme="minorEastAsia" w:hAnsi="Calibri" w:cs="Calibri"/>
                <w:i/>
                <w:iCs/>
                <w:color w:val="FFFFFF"/>
                <w:sz w:val="19"/>
                <w:szCs w:val="22"/>
                <w:lang w:eastAsia="en-AU"/>
              </w:rPr>
            </w:pPr>
            <w:r w:rsidRPr="0066324A">
              <w:rPr>
                <w:rFonts w:ascii="Calibri" w:eastAsiaTheme="minorEastAsia" w:hAnsi="Calibri" w:cs="Calibri"/>
                <w:i/>
                <w:iCs/>
                <w:color w:val="FFFFFF"/>
                <w:sz w:val="19"/>
                <w:szCs w:val="22"/>
                <w:lang w:eastAsia="en-AU"/>
              </w:rPr>
              <w:t>2015</w:t>
            </w:r>
            <w:r w:rsidRPr="00255F85">
              <w:rPr>
                <w:rFonts w:ascii="Calibri" w:eastAsiaTheme="minorEastAsia" w:hAnsi="Calibri" w:cs="Calibri"/>
                <w:i/>
                <w:iCs/>
                <w:color w:val="FFFFFF"/>
                <w:sz w:val="19"/>
                <w:szCs w:val="22"/>
                <w:lang w:eastAsia="en-AU"/>
              </w:rPr>
              <w:noBreakHyphen/>
            </w:r>
            <w:r w:rsidRPr="0066324A">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66324A" w:rsidRDefault="00E25CC6" w:rsidP="0066324A">
            <w:pPr>
              <w:autoSpaceDE w:val="0"/>
              <w:autoSpaceDN w:val="0"/>
              <w:adjustRightInd w:val="0"/>
              <w:spacing w:after="0"/>
              <w:jc w:val="right"/>
              <w:rPr>
                <w:rFonts w:ascii="Calibri" w:eastAsiaTheme="minorEastAsia" w:hAnsi="Calibri" w:cs="Calibri"/>
                <w:i/>
                <w:iCs/>
                <w:color w:val="FFFFFF"/>
                <w:sz w:val="19"/>
                <w:szCs w:val="22"/>
                <w:lang w:eastAsia="en-AU"/>
              </w:rPr>
            </w:pPr>
            <w:r w:rsidRPr="0066324A">
              <w:rPr>
                <w:rFonts w:ascii="Calibri" w:eastAsiaTheme="minorEastAsia" w:hAnsi="Calibri" w:cs="Calibri"/>
                <w:i/>
                <w:iCs/>
                <w:color w:val="FFFFFF"/>
                <w:sz w:val="19"/>
                <w:szCs w:val="22"/>
                <w:lang w:eastAsia="en-AU"/>
              </w:rPr>
              <w:t>2015</w:t>
            </w:r>
            <w:r w:rsidRPr="00255F85">
              <w:rPr>
                <w:rFonts w:ascii="Calibri" w:eastAsiaTheme="minorEastAsia" w:hAnsi="Calibri" w:cs="Calibri"/>
                <w:i/>
                <w:iCs/>
                <w:color w:val="FFFFFF"/>
                <w:sz w:val="19"/>
                <w:szCs w:val="22"/>
                <w:lang w:eastAsia="en-AU"/>
              </w:rPr>
              <w:noBreakHyphen/>
            </w:r>
            <w:r w:rsidRPr="0066324A">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66324A" w:rsidRDefault="00E25CC6" w:rsidP="0066324A">
            <w:pPr>
              <w:autoSpaceDE w:val="0"/>
              <w:autoSpaceDN w:val="0"/>
              <w:adjustRightInd w:val="0"/>
              <w:spacing w:after="0"/>
              <w:jc w:val="right"/>
              <w:rPr>
                <w:rFonts w:ascii="Calibri" w:eastAsiaTheme="minorEastAsia" w:hAnsi="Calibri" w:cs="Calibri"/>
                <w:i/>
                <w:iCs/>
                <w:color w:val="FFFFFF"/>
                <w:sz w:val="19"/>
                <w:szCs w:val="22"/>
                <w:lang w:eastAsia="en-AU"/>
              </w:rPr>
            </w:pPr>
            <w:r w:rsidRPr="0066324A">
              <w:rPr>
                <w:rFonts w:ascii="Calibri" w:eastAsiaTheme="minorEastAsia" w:hAnsi="Calibri" w:cs="Calibri"/>
                <w:i/>
                <w:iCs/>
                <w:color w:val="FFFFFF"/>
                <w:sz w:val="19"/>
                <w:szCs w:val="22"/>
                <w:lang w:eastAsia="en-AU"/>
              </w:rPr>
              <w:t>2014</w:t>
            </w:r>
            <w:r w:rsidRPr="00255F85">
              <w:rPr>
                <w:rFonts w:ascii="Calibri" w:eastAsiaTheme="minorEastAsia" w:hAnsi="Calibri" w:cs="Calibri"/>
                <w:i/>
                <w:iCs/>
                <w:color w:val="FFFFFF"/>
                <w:sz w:val="19"/>
                <w:szCs w:val="22"/>
                <w:lang w:eastAsia="en-AU"/>
              </w:rPr>
              <w:noBreakHyphen/>
            </w:r>
            <w:r w:rsidRPr="0066324A">
              <w:rPr>
                <w:rFonts w:ascii="Calibri" w:eastAsiaTheme="minorEastAsia" w:hAnsi="Calibri" w:cs="Calibri"/>
                <w:i/>
                <w:iCs/>
                <w:color w:val="FFFFFF"/>
                <w:sz w:val="19"/>
                <w:szCs w:val="22"/>
                <w:lang w:eastAsia="en-AU"/>
              </w:rPr>
              <w:t>15 actual</w:t>
            </w:r>
          </w:p>
        </w:tc>
      </w:tr>
      <w:tr w:rsidR="00E25CC6" w:rsidRPr="0066324A" w:rsidTr="0066324A">
        <w:trPr>
          <w:cantSplit/>
        </w:trPr>
        <w:tc>
          <w:tcPr>
            <w:tcW w:w="7767" w:type="dxa"/>
            <w:gridSpan w:val="6"/>
            <w:tcBorders>
              <w:top w:val="single" w:sz="4" w:space="0" w:color="auto"/>
              <w:left w:val="nil"/>
              <w:bottom w:val="single" w:sz="6" w:space="0" w:color="auto"/>
              <w:right w:val="nil"/>
            </w:tcBorders>
          </w:tcPr>
          <w:p w:rsidR="00E25CC6" w:rsidRPr="0066324A" w:rsidRDefault="00E25CC6" w:rsidP="0066324A">
            <w:pPr>
              <w:pStyle w:val="OGHeading2"/>
              <w:rPr>
                <w:rFonts w:eastAsiaTheme="minorEastAsia"/>
                <w:lang w:eastAsia="en-AU"/>
              </w:rPr>
            </w:pPr>
            <w:r w:rsidRPr="0066324A">
              <w:rPr>
                <w:rFonts w:eastAsiaTheme="minorEastAsia"/>
                <w:lang w:eastAsia="en-AU"/>
              </w:rPr>
              <w:t>Environment, Biodiversity and Climate Change</w:t>
            </w:r>
          </w:p>
        </w:tc>
      </w:tr>
      <w:tr w:rsidR="00E25CC6" w:rsidRPr="0066324A" w:rsidTr="0066324A">
        <w:trPr>
          <w:cantSplit/>
        </w:trPr>
        <w:tc>
          <w:tcPr>
            <w:tcW w:w="3146" w:type="dxa"/>
            <w:tcBorders>
              <w:top w:val="single" w:sz="6" w:space="0" w:color="auto"/>
              <w:left w:val="nil"/>
              <w:bottom w:val="nil"/>
              <w:right w:val="nil"/>
            </w:tcBorders>
          </w:tcPr>
          <w:p w:rsidR="00E25CC6" w:rsidRPr="0066324A" w:rsidRDefault="00E25CC6" w:rsidP="0066324A">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66324A">
              <w:rPr>
                <w:rFonts w:ascii="Calibri" w:eastAsiaTheme="minorEastAsia"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Landcare members and community volunteers participating in Landcare activities</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81 000</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81 000</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81 000</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81 000</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replaced by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Victorian Landcare Groups supported by a facilitator</w:t>
            </w:r>
            <w:r>
              <w:rPr>
                <w:rFonts w:eastAsiaTheme="minorEastAsia"/>
              </w:rPr>
              <w:t>’</w:t>
            </w:r>
            <w:r w:rsidRPr="0066324A">
              <w:rPr>
                <w:rFonts w:eastAsiaTheme="minorEastAsia"/>
              </w:rPr>
              <w:t>. The new measure focuses on the support provided through the Landcare Facilitator program and is a more accurate reflection of service delivery.</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Number of Victorian Adaptation Sustainability grant project evaluations and acquittals completed</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9</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9</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9</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12</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replaced by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Delivery of policy, advice and research on climate change within agreed timeframes</w:t>
            </w:r>
            <w:r>
              <w:rPr>
                <w:rFonts w:eastAsiaTheme="minorEastAsia"/>
              </w:rPr>
              <w:t>’</w:t>
            </w:r>
            <w:r w:rsidRPr="0066324A">
              <w:rPr>
                <w:rFonts w:eastAsiaTheme="minorEastAsia"/>
              </w:rPr>
              <w:t xml:space="preserve">. The new measure will provide for clearer monitoring of performance. </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Percentage of Victorian schools accredited in the ResourceSmart Schools program</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46</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46</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46</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46</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replaced by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Victorian schools participating in the ResourceSmart Schools program</w:t>
            </w:r>
            <w:r>
              <w:rPr>
                <w:rFonts w:eastAsiaTheme="minorEastAsia"/>
              </w:rPr>
              <w:t>’</w:t>
            </w:r>
            <w:r w:rsidRPr="0066324A">
              <w:rPr>
                <w:rFonts w:eastAsiaTheme="minorEastAsia"/>
              </w:rPr>
              <w:t xml:space="preserve">. The new measure reports on the same activity as the previous measure, however has been amended for increased clarity. </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66324A">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r>
      <w:tr w:rsidR="00E25CC6" w:rsidRPr="0066324A" w:rsidTr="0066324A">
        <w:trPr>
          <w:cantSplit/>
        </w:trPr>
        <w:tc>
          <w:tcPr>
            <w:tcW w:w="3146" w:type="dxa"/>
            <w:tcBorders>
              <w:top w:val="nil"/>
              <w:left w:val="nil"/>
              <w:bottom w:val="nil"/>
              <w:right w:val="nil"/>
            </w:tcBorders>
          </w:tcPr>
          <w:p w:rsidR="00E25CC6" w:rsidRPr="0066324A" w:rsidRDefault="00E25CC6" w:rsidP="005C6FE4">
            <w:pPr>
              <w:pStyle w:val="OGTabText"/>
              <w:rPr>
                <w:rFonts w:eastAsiaTheme="minorEastAsia"/>
                <w:lang w:eastAsia="en-AU"/>
              </w:rPr>
            </w:pPr>
            <w:r w:rsidRPr="0066324A">
              <w:rPr>
                <w:rFonts w:eastAsiaTheme="minorEastAsia"/>
                <w:lang w:eastAsia="en-AU"/>
              </w:rPr>
              <w:t>Departmental stakeholder satisfaction with completed policy</w:t>
            </w:r>
            <w:r>
              <w:rPr>
                <w:rFonts w:eastAsiaTheme="minorEastAsia"/>
                <w:lang w:eastAsia="en-AU"/>
              </w:rPr>
              <w:t> </w:t>
            </w:r>
            <w:r w:rsidRPr="0066324A">
              <w:rPr>
                <w:rFonts w:eastAsiaTheme="minorEastAsia"/>
                <w:lang w:eastAsia="en-AU"/>
              </w:rPr>
              <w:t>projects</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consolidated into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Departmental stakeholder satisfaction with engagement in completed policy projects</w:t>
            </w:r>
            <w:r>
              <w:rPr>
                <w:rFonts w:eastAsiaTheme="minorEastAsia"/>
              </w:rPr>
              <w:t>’</w:t>
            </w:r>
            <w:r w:rsidRPr="0066324A">
              <w:rPr>
                <w:rFonts w:eastAsiaTheme="minorEastAsia"/>
              </w:rPr>
              <w:t xml:space="preserve"> to provide for clearer monitoring of performance.</w:t>
            </w:r>
          </w:p>
        </w:tc>
      </w:tr>
      <w:tr w:rsidR="00E25CC6" w:rsidRPr="0066324A" w:rsidTr="0066324A">
        <w:trPr>
          <w:cantSplit/>
        </w:trPr>
        <w:tc>
          <w:tcPr>
            <w:tcW w:w="3146" w:type="dxa"/>
            <w:tcBorders>
              <w:top w:val="nil"/>
              <w:left w:val="nil"/>
              <w:bottom w:val="nil"/>
              <w:right w:val="nil"/>
            </w:tcBorders>
          </w:tcPr>
          <w:p w:rsidR="00E25CC6" w:rsidRPr="0066324A" w:rsidRDefault="00E25CC6" w:rsidP="005C6FE4">
            <w:pPr>
              <w:pStyle w:val="OGTabText"/>
              <w:rPr>
                <w:rFonts w:eastAsiaTheme="minorEastAsia"/>
                <w:lang w:eastAsia="en-AU"/>
              </w:rPr>
            </w:pPr>
            <w:r w:rsidRPr="0066324A">
              <w:rPr>
                <w:rFonts w:eastAsiaTheme="minorEastAsia"/>
                <w:lang w:eastAsia="en-AU"/>
              </w:rPr>
              <w:t>Departmental stakeholder satisfaction with technical economic analysis, advice and</w:t>
            </w:r>
            <w:r>
              <w:rPr>
                <w:rFonts w:eastAsiaTheme="minorEastAsia"/>
                <w:lang w:eastAsia="en-AU"/>
              </w:rPr>
              <w:t> </w:t>
            </w:r>
            <w:r w:rsidRPr="0066324A">
              <w:rPr>
                <w:rFonts w:eastAsiaTheme="minorEastAsia"/>
                <w:lang w:eastAsia="en-AU"/>
              </w:rPr>
              <w:t>support</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consolidated into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Departmental stakeholder satisfaction with engagement in completed policy projects</w:t>
            </w:r>
            <w:r>
              <w:rPr>
                <w:rFonts w:eastAsiaTheme="minorEastAsia"/>
              </w:rPr>
              <w:t>’</w:t>
            </w:r>
            <w:r w:rsidRPr="0066324A">
              <w:rPr>
                <w:rFonts w:eastAsiaTheme="minorEastAsia"/>
              </w:rPr>
              <w:t xml:space="preserve"> to provide for clearer monitoring of performance.</w:t>
            </w:r>
          </w:p>
        </w:tc>
      </w:tr>
      <w:tr w:rsidR="00E25CC6" w:rsidRPr="0066324A" w:rsidTr="0066324A">
        <w:trPr>
          <w:cantSplit/>
        </w:trPr>
        <w:tc>
          <w:tcPr>
            <w:tcW w:w="7767" w:type="dxa"/>
            <w:gridSpan w:val="6"/>
            <w:tcBorders>
              <w:top w:val="single" w:sz="6" w:space="0" w:color="auto"/>
              <w:left w:val="nil"/>
              <w:bottom w:val="single" w:sz="6" w:space="0" w:color="auto"/>
              <w:right w:val="nil"/>
            </w:tcBorders>
          </w:tcPr>
          <w:p w:rsidR="00E25CC6" w:rsidRPr="0066324A" w:rsidRDefault="00E25CC6" w:rsidP="0066324A">
            <w:pPr>
              <w:pStyle w:val="OGHeading2"/>
              <w:rPr>
                <w:rFonts w:eastAsiaTheme="minorEastAsia"/>
                <w:lang w:eastAsia="en-AU"/>
              </w:rPr>
            </w:pPr>
            <w:r w:rsidRPr="0066324A">
              <w:rPr>
                <w:rFonts w:eastAsiaTheme="minorEastAsia"/>
                <w:lang w:eastAsia="en-AU"/>
              </w:rPr>
              <w:t>Management of Forests, Parks and Public Land</w:t>
            </w:r>
          </w:p>
        </w:tc>
      </w:tr>
      <w:tr w:rsidR="00E25CC6" w:rsidRPr="0066324A" w:rsidTr="0066324A">
        <w:trPr>
          <w:cantSplit/>
        </w:trPr>
        <w:tc>
          <w:tcPr>
            <w:tcW w:w="3146" w:type="dxa"/>
            <w:tcBorders>
              <w:top w:val="single" w:sz="6" w:space="0" w:color="auto"/>
              <w:left w:val="nil"/>
              <w:bottom w:val="nil"/>
              <w:right w:val="nil"/>
            </w:tcBorders>
          </w:tcPr>
          <w:p w:rsidR="00E25CC6" w:rsidRPr="0066324A" w:rsidRDefault="00E25CC6" w:rsidP="0066324A">
            <w:pPr>
              <w:keepNext/>
              <w:autoSpaceDE w:val="0"/>
              <w:autoSpaceDN w:val="0"/>
              <w:adjustRightInd w:val="0"/>
              <w:spacing w:after="0"/>
              <w:ind w:left="227" w:hanging="227"/>
              <w:rPr>
                <w:rFonts w:ascii="Calibri" w:eastAsiaTheme="minorEastAsia" w:hAnsi="Calibri" w:cs="Calibri"/>
                <w:i/>
                <w:iCs/>
                <w:color w:val="000000"/>
                <w:sz w:val="19"/>
                <w:szCs w:val="22"/>
                <w:lang w:eastAsia="en-AU"/>
              </w:rPr>
            </w:pPr>
            <w:r w:rsidRPr="0066324A">
              <w:rPr>
                <w:rFonts w:ascii="Calibri" w:eastAsiaTheme="minorEastAsia"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66324A" w:rsidRDefault="00E25CC6" w:rsidP="0066324A">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66324A" w:rsidRDefault="00E25CC6" w:rsidP="0066324A">
            <w:pPr>
              <w:keepNext/>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single" w:sz="6" w:space="0" w:color="auto"/>
              <w:left w:val="nil"/>
              <w:bottom w:val="nil"/>
              <w:right w:val="nil"/>
            </w:tcBorders>
          </w:tcPr>
          <w:p w:rsidR="00E25CC6" w:rsidRPr="0066324A" w:rsidRDefault="00E25CC6" w:rsidP="0066324A">
            <w:pPr>
              <w:keepNext/>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bottom w:val="nil"/>
              <w:right w:val="nil"/>
            </w:tcBorders>
          </w:tcPr>
          <w:p w:rsidR="00E25CC6" w:rsidRPr="0066324A" w:rsidRDefault="00E25CC6" w:rsidP="0066324A">
            <w:pPr>
              <w:keepNext/>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single" w:sz="6" w:space="0" w:color="auto"/>
              <w:left w:val="nil"/>
              <w:bottom w:val="nil"/>
              <w:right w:val="nil"/>
            </w:tcBorders>
          </w:tcPr>
          <w:p w:rsidR="00E25CC6" w:rsidRPr="0066324A" w:rsidRDefault="00E25CC6" w:rsidP="0066324A">
            <w:pPr>
              <w:keepNext/>
              <w:autoSpaceDE w:val="0"/>
              <w:autoSpaceDN w:val="0"/>
              <w:adjustRightInd w:val="0"/>
              <w:spacing w:after="0"/>
              <w:rPr>
                <w:rFonts w:ascii="Calibri" w:eastAsiaTheme="minorEastAsia" w:hAnsi="Calibri" w:cs="Calibri"/>
                <w:color w:val="000000"/>
                <w:sz w:val="19"/>
                <w:szCs w:val="22"/>
                <w:lang w:eastAsia="en-AU"/>
              </w:rPr>
            </w:pPr>
          </w:p>
        </w:tc>
      </w:tr>
      <w:tr w:rsidR="00E25CC6" w:rsidRPr="0066324A" w:rsidTr="0066324A">
        <w:trPr>
          <w:cantSplit/>
        </w:trPr>
        <w:tc>
          <w:tcPr>
            <w:tcW w:w="3146" w:type="dxa"/>
            <w:tcBorders>
              <w:top w:val="nil"/>
              <w:left w:val="nil"/>
              <w:bottom w:val="nil"/>
              <w:right w:val="nil"/>
            </w:tcBorders>
          </w:tcPr>
          <w:p w:rsidR="00E25CC6" w:rsidRPr="0066324A" w:rsidRDefault="00E25CC6" w:rsidP="00A959A3">
            <w:pPr>
              <w:pStyle w:val="OGTabText"/>
              <w:keepNext/>
              <w:rPr>
                <w:rFonts w:eastAsiaTheme="minorEastAsia"/>
                <w:lang w:eastAsia="en-AU"/>
              </w:rPr>
            </w:pPr>
            <w:r w:rsidRPr="0066324A">
              <w:rPr>
                <w:rFonts w:eastAsiaTheme="minorEastAsia"/>
                <w:lang w:eastAsia="en-AU"/>
              </w:rPr>
              <w:t>Threatened native species and communities for which specifically targeted conservation measures are in place at Royal Botanic Gardens</w:t>
            </w:r>
          </w:p>
        </w:tc>
        <w:tc>
          <w:tcPr>
            <w:tcW w:w="907" w:type="dxa"/>
            <w:tcBorders>
              <w:top w:val="nil"/>
              <w:left w:val="nil"/>
              <w:bottom w:val="nil"/>
              <w:right w:val="nil"/>
            </w:tcBorders>
          </w:tcPr>
          <w:p w:rsidR="00E25CC6" w:rsidRPr="0066324A" w:rsidRDefault="00E25CC6" w:rsidP="00A959A3">
            <w:pPr>
              <w:keepNext/>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6324A" w:rsidRDefault="00E25CC6" w:rsidP="00A959A3">
            <w:pPr>
              <w:keepNext/>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c>
          <w:tcPr>
            <w:tcW w:w="992" w:type="dxa"/>
            <w:tcBorders>
              <w:top w:val="nil"/>
              <w:left w:val="nil"/>
              <w:bottom w:val="nil"/>
              <w:right w:val="nil"/>
            </w:tcBorders>
          </w:tcPr>
          <w:p w:rsidR="00E25CC6" w:rsidRPr="0066324A" w:rsidRDefault="00E25CC6" w:rsidP="00A959A3">
            <w:pPr>
              <w:keepNext/>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c>
          <w:tcPr>
            <w:tcW w:w="907" w:type="dxa"/>
            <w:tcBorders>
              <w:top w:val="nil"/>
              <w:left w:val="nil"/>
              <w:bottom w:val="nil"/>
              <w:right w:val="nil"/>
            </w:tcBorders>
          </w:tcPr>
          <w:p w:rsidR="00E25CC6" w:rsidRPr="0066324A" w:rsidRDefault="00E25CC6" w:rsidP="00A959A3">
            <w:pPr>
              <w:keepNext/>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c>
          <w:tcPr>
            <w:tcW w:w="908" w:type="dxa"/>
            <w:tcBorders>
              <w:top w:val="nil"/>
              <w:left w:val="nil"/>
              <w:bottom w:val="nil"/>
              <w:right w:val="nil"/>
            </w:tcBorders>
          </w:tcPr>
          <w:p w:rsidR="00E25CC6" w:rsidRPr="0066324A" w:rsidRDefault="00E25CC6" w:rsidP="00A959A3">
            <w:pPr>
              <w:keepNext/>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replaced by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Specimens curated in the State Botanical Collection</w:t>
            </w:r>
            <w:r>
              <w:rPr>
                <w:rFonts w:eastAsiaTheme="minorEastAsia"/>
              </w:rPr>
              <w:t>’</w:t>
            </w:r>
            <w:r w:rsidRPr="0066324A">
              <w:rPr>
                <w:rFonts w:eastAsiaTheme="minorEastAsia"/>
              </w:rPr>
              <w:t>. The new measure focuses on the internationally significant State Botanical Collection and is a more accurate reflection of service delivery.</w:t>
            </w:r>
          </w:p>
        </w:tc>
      </w:tr>
      <w:tr w:rsidR="00E25CC6" w:rsidRPr="0066324A" w:rsidTr="0066324A">
        <w:trPr>
          <w:cantSplit/>
        </w:trPr>
        <w:tc>
          <w:tcPr>
            <w:tcW w:w="7767" w:type="dxa"/>
            <w:gridSpan w:val="6"/>
            <w:tcBorders>
              <w:top w:val="single" w:sz="6" w:space="0" w:color="auto"/>
              <w:left w:val="nil"/>
              <w:bottom w:val="single" w:sz="6" w:space="0" w:color="auto"/>
              <w:right w:val="nil"/>
            </w:tcBorders>
          </w:tcPr>
          <w:p w:rsidR="00E25CC6" w:rsidRPr="0066324A" w:rsidRDefault="00E25CC6" w:rsidP="0066324A">
            <w:pPr>
              <w:pStyle w:val="OGHeading2"/>
              <w:rPr>
                <w:rFonts w:eastAsiaTheme="minorEastAsia"/>
                <w:lang w:eastAsia="en-AU"/>
              </w:rPr>
            </w:pPr>
            <w:r w:rsidRPr="0066324A">
              <w:rPr>
                <w:rFonts w:eastAsiaTheme="minorEastAsia"/>
                <w:lang w:eastAsia="en-AU"/>
              </w:rPr>
              <w:t>Effective Water Management and Supply</w:t>
            </w:r>
          </w:p>
        </w:tc>
      </w:tr>
      <w:tr w:rsidR="00E25CC6" w:rsidRPr="0066324A" w:rsidTr="0066324A">
        <w:trPr>
          <w:cantSplit/>
        </w:trPr>
        <w:tc>
          <w:tcPr>
            <w:tcW w:w="3146" w:type="dxa"/>
            <w:tcBorders>
              <w:top w:val="single" w:sz="6" w:space="0" w:color="auto"/>
              <w:left w:val="nil"/>
              <w:bottom w:val="nil"/>
              <w:right w:val="nil"/>
            </w:tcBorders>
          </w:tcPr>
          <w:p w:rsidR="00E25CC6" w:rsidRPr="0066324A" w:rsidRDefault="00E25CC6" w:rsidP="0066324A">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66324A">
              <w:rPr>
                <w:rFonts w:ascii="Calibri" w:eastAsiaTheme="minorEastAsia"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Corporate plans submitted by Catchment Management Authorities are aligned with Ministerial guidelines and template, and meet the requirement of relevant Acts</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the performance of catchment management authorities is more appropriately monitored through a number of existing measures that better reflect service delivery priorities.</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Rebates approved for small business for improved water efficiency</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6324A" w:rsidRDefault="00E25CC6" w:rsidP="00920BEF">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na</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655</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350</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1 354</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 xml:space="preserve">This performance measure is proposed to be discontinued as the program was completed on 30 September 2015. </w:t>
            </w:r>
          </w:p>
          <w:p w:rsidR="00E25CC6" w:rsidRPr="0066324A" w:rsidRDefault="00E25CC6" w:rsidP="0066324A">
            <w:pPr>
              <w:pStyle w:val="OGNotes"/>
              <w:rPr>
                <w:rFonts w:eastAsiaTheme="minorEastAsia"/>
              </w:rPr>
            </w:pPr>
            <w:r w:rsidRPr="0066324A">
              <w:rPr>
                <w:rFonts w:eastAsiaTheme="minorEastAsia"/>
              </w:rPr>
              <w:t>The 2015</w:t>
            </w:r>
            <w:r w:rsidRPr="00255F85">
              <w:rPr>
                <w:rFonts w:eastAsiaTheme="minorEastAsia"/>
              </w:rPr>
              <w:noBreakHyphen/>
            </w:r>
            <w:r w:rsidRPr="0066324A">
              <w:rPr>
                <w:rFonts w:eastAsiaTheme="minorEastAsia"/>
              </w:rPr>
              <w:t xml:space="preserve">16 </w:t>
            </w:r>
            <w:r w:rsidRPr="00AF58D1">
              <w:rPr>
                <w:rFonts w:eastAsiaTheme="minorEastAsia"/>
              </w:rPr>
              <w:t>expected outcome</w:t>
            </w:r>
            <w:r w:rsidRPr="0066324A">
              <w:rPr>
                <w:rFonts w:eastAsiaTheme="minorEastAsia"/>
              </w:rPr>
              <w:t xml:space="preserve"> is higher than the 2015</w:t>
            </w:r>
            <w:r w:rsidRPr="00255F85">
              <w:rPr>
                <w:rFonts w:eastAsiaTheme="minorEastAsia"/>
              </w:rPr>
              <w:noBreakHyphen/>
            </w:r>
            <w:r w:rsidRPr="0066324A">
              <w:rPr>
                <w:rFonts w:eastAsiaTheme="minorEastAsia"/>
              </w:rPr>
              <w:t xml:space="preserve">16 </w:t>
            </w:r>
            <w:r w:rsidRPr="00AF58D1">
              <w:rPr>
                <w:rFonts w:eastAsiaTheme="minorEastAsia"/>
              </w:rPr>
              <w:t>target</w:t>
            </w:r>
            <w:r w:rsidRPr="0066324A">
              <w:rPr>
                <w:rFonts w:eastAsiaTheme="minorEastAsia"/>
              </w:rPr>
              <w:t xml:space="preserve"> due to an increase in claims received prior to the program ending. The 2015</w:t>
            </w:r>
            <w:r w:rsidRPr="00255F85">
              <w:rPr>
                <w:rFonts w:eastAsiaTheme="minorEastAsia"/>
              </w:rPr>
              <w:noBreakHyphen/>
            </w:r>
            <w:r w:rsidRPr="0066324A">
              <w:rPr>
                <w:rFonts w:eastAsiaTheme="minorEastAsia"/>
              </w:rPr>
              <w:t xml:space="preserve">16 </w:t>
            </w:r>
            <w:r w:rsidRPr="00AF58D1">
              <w:rPr>
                <w:rFonts w:eastAsiaTheme="minorEastAsia"/>
              </w:rPr>
              <w:t>expected outcome</w:t>
            </w:r>
            <w:r w:rsidRPr="0066324A">
              <w:rPr>
                <w:rFonts w:eastAsiaTheme="minorEastAsia"/>
              </w:rPr>
              <w:t xml:space="preserve"> represents the final number of rebates to be approved under the program.</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Rebates approved to households for improved water efficiency in the house and garden</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6324A" w:rsidRDefault="00E25CC6" w:rsidP="00920BEF">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na</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4 063</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3 500</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Pr>
                <w:rFonts w:ascii="Calibri" w:eastAsiaTheme="minorEastAsia" w:hAnsi="Calibri" w:cs="Calibri"/>
                <w:color w:val="000000"/>
                <w:sz w:val="19"/>
                <w:szCs w:val="22"/>
                <w:lang w:eastAsia="en-AU"/>
              </w:rPr>
              <w:t>21 120</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 xml:space="preserve">This performance measure is proposed to be discontinued as the program was completed on 30 September 2015. </w:t>
            </w:r>
          </w:p>
          <w:p w:rsidR="00E25CC6" w:rsidRPr="0066324A" w:rsidRDefault="00E25CC6" w:rsidP="0066324A">
            <w:pPr>
              <w:pStyle w:val="OGNotes"/>
              <w:rPr>
                <w:rFonts w:eastAsiaTheme="minorEastAsia"/>
              </w:rPr>
            </w:pPr>
            <w:r w:rsidRPr="0066324A">
              <w:rPr>
                <w:rFonts w:eastAsiaTheme="minorEastAsia"/>
              </w:rPr>
              <w:t>The 2015</w:t>
            </w:r>
            <w:r w:rsidRPr="00255F85">
              <w:rPr>
                <w:rFonts w:eastAsiaTheme="minorEastAsia"/>
              </w:rPr>
              <w:noBreakHyphen/>
            </w:r>
            <w:r w:rsidRPr="0066324A">
              <w:rPr>
                <w:rFonts w:eastAsiaTheme="minorEastAsia"/>
              </w:rPr>
              <w:t xml:space="preserve">16 </w:t>
            </w:r>
            <w:r w:rsidRPr="00AF58D1">
              <w:rPr>
                <w:rFonts w:eastAsiaTheme="minorEastAsia"/>
              </w:rPr>
              <w:t>expected outcome</w:t>
            </w:r>
            <w:r w:rsidRPr="0066324A">
              <w:rPr>
                <w:rFonts w:eastAsiaTheme="minorEastAsia"/>
              </w:rPr>
              <w:t xml:space="preserve"> is higher than the 2015</w:t>
            </w:r>
            <w:r w:rsidRPr="00255F85">
              <w:rPr>
                <w:rFonts w:eastAsiaTheme="minorEastAsia"/>
              </w:rPr>
              <w:noBreakHyphen/>
            </w:r>
            <w:r w:rsidRPr="0066324A">
              <w:rPr>
                <w:rFonts w:eastAsiaTheme="minorEastAsia"/>
              </w:rPr>
              <w:t xml:space="preserve">16 </w:t>
            </w:r>
            <w:r w:rsidRPr="00AF58D1">
              <w:rPr>
                <w:rFonts w:eastAsiaTheme="minorEastAsia"/>
              </w:rPr>
              <w:t>target</w:t>
            </w:r>
            <w:r w:rsidRPr="0066324A">
              <w:rPr>
                <w:rFonts w:eastAsiaTheme="minorEastAsia"/>
              </w:rPr>
              <w:t xml:space="preserve"> due to an increase in claims received prior to the program ending. The 2015</w:t>
            </w:r>
            <w:r w:rsidRPr="00255F85">
              <w:rPr>
                <w:rFonts w:eastAsiaTheme="minorEastAsia"/>
              </w:rPr>
              <w:noBreakHyphen/>
            </w:r>
            <w:r w:rsidRPr="0066324A">
              <w:rPr>
                <w:rFonts w:eastAsiaTheme="minorEastAsia"/>
              </w:rPr>
              <w:t xml:space="preserve">16 </w:t>
            </w:r>
            <w:r w:rsidRPr="00AF58D1">
              <w:rPr>
                <w:rFonts w:eastAsiaTheme="minorEastAsia"/>
              </w:rPr>
              <w:t>expected outcome</w:t>
            </w:r>
            <w:r w:rsidRPr="0066324A">
              <w:rPr>
                <w:rFonts w:eastAsiaTheme="minorEastAsia"/>
              </w:rPr>
              <w:t xml:space="preserve"> represents the final number of rebates to be approved under the program.</w:t>
            </w:r>
          </w:p>
        </w:tc>
      </w:tr>
      <w:tr w:rsidR="00E25CC6" w:rsidRPr="0066324A" w:rsidTr="0066324A">
        <w:trPr>
          <w:cantSplit/>
        </w:trPr>
        <w:tc>
          <w:tcPr>
            <w:tcW w:w="7767" w:type="dxa"/>
            <w:gridSpan w:val="6"/>
            <w:tcBorders>
              <w:top w:val="single" w:sz="6" w:space="0" w:color="auto"/>
              <w:left w:val="nil"/>
              <w:bottom w:val="single" w:sz="6" w:space="0" w:color="auto"/>
              <w:right w:val="nil"/>
            </w:tcBorders>
          </w:tcPr>
          <w:p w:rsidR="00E25CC6" w:rsidRPr="0066324A" w:rsidRDefault="00E25CC6" w:rsidP="0066324A">
            <w:pPr>
              <w:pStyle w:val="OGHeading2"/>
              <w:rPr>
                <w:rFonts w:eastAsiaTheme="minorEastAsia"/>
                <w:lang w:eastAsia="en-AU"/>
              </w:rPr>
            </w:pPr>
            <w:r w:rsidRPr="0066324A">
              <w:rPr>
                <w:rFonts w:eastAsiaTheme="minorEastAsia"/>
                <w:lang w:eastAsia="en-AU"/>
              </w:rPr>
              <w:t>Fire and Emergency Management</w:t>
            </w:r>
          </w:p>
        </w:tc>
      </w:tr>
      <w:tr w:rsidR="00E25CC6" w:rsidRPr="0066324A" w:rsidTr="0066324A">
        <w:trPr>
          <w:cantSplit/>
        </w:trPr>
        <w:tc>
          <w:tcPr>
            <w:tcW w:w="3146" w:type="dxa"/>
            <w:tcBorders>
              <w:top w:val="single" w:sz="6" w:space="0" w:color="auto"/>
              <w:left w:val="nil"/>
              <w:bottom w:val="nil"/>
              <w:right w:val="nil"/>
            </w:tcBorders>
          </w:tcPr>
          <w:p w:rsidR="00E25CC6" w:rsidRPr="0066324A" w:rsidRDefault="00E25CC6" w:rsidP="0066324A">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66324A">
              <w:rPr>
                <w:rFonts w:ascii="Calibri" w:eastAsiaTheme="minorEastAsia"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single" w:sz="6" w:space="0" w:color="auto"/>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Bushfire fuel management completed to protect key assets</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 xml:space="preserve">hectares </w:t>
            </w:r>
            <w:r w:rsidRPr="00920BEF">
              <w:rPr>
                <w:rFonts w:ascii="Calibri" w:hAnsi="Calibri" w:cs="Calibri"/>
                <w:color w:val="000000"/>
                <w:sz w:val="19"/>
                <w:szCs w:val="19"/>
                <w:lang w:eastAsia="en-AU"/>
              </w:rPr>
              <w:t>(000)</w:t>
            </w:r>
          </w:p>
        </w:tc>
        <w:tc>
          <w:tcPr>
            <w:tcW w:w="907" w:type="dxa"/>
            <w:tcBorders>
              <w:top w:val="nil"/>
              <w:left w:val="nil"/>
              <w:bottom w:val="nil"/>
              <w:right w:val="nil"/>
            </w:tcBorders>
            <w:shd w:val="clear" w:color="auto" w:fill="DCDCDC"/>
          </w:tcPr>
          <w:p w:rsidR="00E25CC6" w:rsidRPr="0066324A" w:rsidRDefault="00E25CC6" w:rsidP="00920BEF">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na</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275</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275</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235</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replaced by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Statewide bushfire risk is maintained at or below the target</w:t>
            </w:r>
            <w:r>
              <w:rPr>
                <w:rFonts w:eastAsiaTheme="minorEastAsia"/>
              </w:rPr>
              <w:t>’</w:t>
            </w:r>
            <w:r w:rsidRPr="0066324A">
              <w:rPr>
                <w:rFonts w:eastAsiaTheme="minorEastAsia"/>
              </w:rPr>
              <w:t>. The new measure addresses recommendations from the Inspector</w:t>
            </w:r>
            <w:r w:rsidRPr="00255F85">
              <w:rPr>
                <w:rFonts w:eastAsiaTheme="minorEastAsia"/>
              </w:rPr>
              <w:noBreakHyphen/>
            </w:r>
            <w:r w:rsidRPr="0066324A">
              <w:rPr>
                <w:rFonts w:eastAsiaTheme="minorEastAsia"/>
              </w:rPr>
              <w:t>General for Emergency Management that a risk reduction target is the most effective form of performance target for bushfire fuel management on public land to protect life, property and the environment.</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Community engagement plans developed and implemented in accordance with the statewide strategy for bushfire management engagement</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6</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replaced by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Bushfire management engagement plans developed and implemented for high risk communities</w:t>
            </w:r>
            <w:r>
              <w:rPr>
                <w:rFonts w:eastAsiaTheme="minorEastAsia"/>
              </w:rPr>
              <w:t>’</w:t>
            </w:r>
            <w:r w:rsidRPr="0066324A">
              <w:rPr>
                <w:rFonts w:eastAsiaTheme="minorEastAsia"/>
              </w:rPr>
              <w:t>. The new measure provides a clearer basis to better assess the impact and effectiveness of community engagement activities related to bushfire management.</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Strategic engagement forums held to enhance stakeholder and community understanding of bushfire management</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12</w:t>
            </w: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12</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12</w:t>
            </w: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15</w:t>
            </w:r>
          </w:p>
        </w:tc>
      </w:tr>
      <w:tr w:rsidR="00E25CC6" w:rsidRPr="0066324A" w:rsidTr="0066324A">
        <w:trPr>
          <w:cantSplit/>
        </w:trPr>
        <w:tc>
          <w:tcPr>
            <w:tcW w:w="7767" w:type="dxa"/>
            <w:gridSpan w:val="6"/>
            <w:tcBorders>
              <w:top w:val="nil"/>
              <w:left w:val="nil"/>
              <w:bottom w:val="single" w:sz="6"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it has been replaced by the 2016</w:t>
            </w:r>
            <w:r w:rsidRPr="00255F85">
              <w:rPr>
                <w:rFonts w:eastAsiaTheme="minorEastAsia"/>
              </w:rPr>
              <w:noBreakHyphen/>
            </w:r>
            <w:r w:rsidRPr="0066324A">
              <w:rPr>
                <w:rFonts w:eastAsiaTheme="minorEastAsia"/>
              </w:rPr>
              <w:t xml:space="preserve">17 performance measure </w:t>
            </w:r>
            <w:r>
              <w:rPr>
                <w:rFonts w:eastAsiaTheme="minorEastAsia"/>
              </w:rPr>
              <w:t>‘</w:t>
            </w:r>
            <w:r w:rsidRPr="0066324A">
              <w:rPr>
                <w:rFonts w:eastAsiaTheme="minorEastAsia"/>
              </w:rPr>
              <w:t>Stakeholder and community forums on bushfire management and planned burning held</w:t>
            </w:r>
            <w:r>
              <w:rPr>
                <w:rFonts w:eastAsiaTheme="minorEastAsia"/>
              </w:rPr>
              <w:t>’</w:t>
            </w:r>
            <w:r w:rsidRPr="0066324A">
              <w:rPr>
                <w:rFonts w:eastAsiaTheme="minorEastAsia"/>
              </w:rPr>
              <w:t>. The new measure provides a clearer basis to better assess the impact and effectiveness of community engagement activities related to bushfire management.</w:t>
            </w:r>
          </w:p>
        </w:tc>
      </w:tr>
      <w:tr w:rsidR="00E25CC6" w:rsidRPr="0066324A" w:rsidTr="0066324A">
        <w:trPr>
          <w:cantSplit/>
        </w:trPr>
        <w:tc>
          <w:tcPr>
            <w:tcW w:w="3146" w:type="dxa"/>
            <w:tcBorders>
              <w:top w:val="nil"/>
              <w:left w:val="nil"/>
              <w:bottom w:val="nil"/>
              <w:right w:val="nil"/>
            </w:tcBorders>
          </w:tcPr>
          <w:p w:rsidR="00E25CC6" w:rsidRPr="0066324A" w:rsidRDefault="00E25CC6" w:rsidP="0066324A">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66324A">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right w:val="nil"/>
            </w:tcBorders>
            <w:shd w:val="clear" w:color="auto" w:fill="DCDCDC"/>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66324A" w:rsidRDefault="00E25CC6" w:rsidP="0066324A">
            <w:pPr>
              <w:autoSpaceDE w:val="0"/>
              <w:autoSpaceDN w:val="0"/>
              <w:adjustRightInd w:val="0"/>
              <w:spacing w:after="0"/>
              <w:rPr>
                <w:rFonts w:ascii="Calibri" w:eastAsiaTheme="minorEastAsia" w:hAnsi="Calibri" w:cs="Calibri"/>
                <w:color w:val="000000"/>
                <w:sz w:val="19"/>
                <w:szCs w:val="22"/>
                <w:lang w:eastAsia="en-AU"/>
              </w:rPr>
            </w:pPr>
          </w:p>
        </w:tc>
      </w:tr>
      <w:tr w:rsidR="00E25CC6" w:rsidRPr="0066324A" w:rsidTr="0066324A">
        <w:trPr>
          <w:cantSplit/>
        </w:trPr>
        <w:tc>
          <w:tcPr>
            <w:tcW w:w="3146" w:type="dxa"/>
            <w:tcBorders>
              <w:top w:val="nil"/>
              <w:left w:val="nil"/>
              <w:right w:val="nil"/>
            </w:tcBorders>
          </w:tcPr>
          <w:p w:rsidR="00E25CC6" w:rsidRPr="0066324A" w:rsidRDefault="00E25CC6" w:rsidP="0066324A">
            <w:pPr>
              <w:pStyle w:val="OGTabText"/>
              <w:rPr>
                <w:rFonts w:eastAsiaTheme="minorEastAsia"/>
                <w:lang w:eastAsia="en-AU"/>
              </w:rPr>
            </w:pPr>
            <w:r w:rsidRPr="0066324A">
              <w:rPr>
                <w:rFonts w:eastAsiaTheme="minorEastAsia"/>
                <w:lang w:eastAsia="en-AU"/>
              </w:rPr>
              <w:t>Agreed departmental emergency management obligations met on time and to standard</w:t>
            </w:r>
          </w:p>
        </w:tc>
        <w:tc>
          <w:tcPr>
            <w:tcW w:w="907" w:type="dxa"/>
            <w:tcBorders>
              <w:top w:val="nil"/>
              <w:left w:val="nil"/>
              <w:right w:val="nil"/>
            </w:tcBorders>
          </w:tcPr>
          <w:p w:rsidR="00E25CC6" w:rsidRPr="0066324A" w:rsidRDefault="00E25CC6" w:rsidP="0066324A">
            <w:pPr>
              <w:autoSpaceDE w:val="0"/>
              <w:autoSpaceDN w:val="0"/>
              <w:adjustRightInd w:val="0"/>
              <w:spacing w:after="0"/>
              <w:jc w:val="center"/>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92" w:type="dxa"/>
            <w:tcBorders>
              <w:top w:val="nil"/>
              <w:left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7" w:type="dxa"/>
            <w:tcBorders>
              <w:top w:val="nil"/>
              <w:left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c>
          <w:tcPr>
            <w:tcW w:w="908" w:type="dxa"/>
            <w:tcBorders>
              <w:top w:val="nil"/>
              <w:left w:val="nil"/>
              <w:right w:val="nil"/>
            </w:tcBorders>
          </w:tcPr>
          <w:p w:rsidR="00E25CC6" w:rsidRPr="0066324A" w:rsidRDefault="00E25CC6" w:rsidP="0066324A">
            <w:pPr>
              <w:autoSpaceDE w:val="0"/>
              <w:autoSpaceDN w:val="0"/>
              <w:adjustRightInd w:val="0"/>
              <w:spacing w:after="0"/>
              <w:jc w:val="right"/>
              <w:rPr>
                <w:rFonts w:ascii="Calibri" w:eastAsiaTheme="minorEastAsia" w:hAnsi="Calibri" w:cs="Calibri"/>
                <w:color w:val="000000"/>
                <w:sz w:val="19"/>
                <w:szCs w:val="22"/>
                <w:lang w:eastAsia="en-AU"/>
              </w:rPr>
            </w:pPr>
            <w:r w:rsidRPr="0066324A">
              <w:rPr>
                <w:rFonts w:ascii="Calibri" w:eastAsiaTheme="minorEastAsia" w:hAnsi="Calibri" w:cs="Calibri"/>
                <w:color w:val="000000"/>
                <w:sz w:val="19"/>
                <w:szCs w:val="22"/>
                <w:lang w:eastAsia="en-AU"/>
              </w:rPr>
              <w:t>100</w:t>
            </w:r>
          </w:p>
        </w:tc>
      </w:tr>
      <w:tr w:rsidR="00E25CC6" w:rsidRPr="0066324A" w:rsidTr="0066324A">
        <w:trPr>
          <w:cantSplit/>
        </w:trPr>
        <w:tc>
          <w:tcPr>
            <w:tcW w:w="7767" w:type="dxa"/>
            <w:gridSpan w:val="6"/>
            <w:tcBorders>
              <w:top w:val="nil"/>
              <w:left w:val="nil"/>
              <w:bottom w:val="single" w:sz="12" w:space="0" w:color="auto"/>
              <w:right w:val="nil"/>
            </w:tcBorders>
          </w:tcPr>
          <w:p w:rsidR="00E25CC6" w:rsidRPr="0066324A" w:rsidRDefault="00E25CC6" w:rsidP="0066324A">
            <w:pPr>
              <w:pStyle w:val="OGNotes"/>
              <w:rPr>
                <w:rFonts w:eastAsiaTheme="minorEastAsia"/>
              </w:rPr>
            </w:pPr>
            <w:r w:rsidRPr="0066324A">
              <w:rPr>
                <w:rFonts w:eastAsiaTheme="minorEastAsia"/>
              </w:rPr>
              <w:t>This performance measure is proposed to be discontinued as the work described by this measure is</w:t>
            </w:r>
            <w:r w:rsidRPr="00255F85">
              <w:rPr>
                <w:rFonts w:eastAsiaTheme="minorEastAsia"/>
              </w:rPr>
              <w:t xml:space="preserve"> </w:t>
            </w:r>
            <w:r w:rsidRPr="0066324A">
              <w:rPr>
                <w:rFonts w:eastAsiaTheme="minorEastAsia"/>
              </w:rPr>
              <w:t xml:space="preserve">more appropriately assessed through existing indicators for the objective </w:t>
            </w:r>
            <w:r>
              <w:rPr>
                <w:rFonts w:eastAsiaTheme="minorEastAsia"/>
              </w:rPr>
              <w:t>‘</w:t>
            </w:r>
            <w:r w:rsidRPr="0066324A">
              <w:rPr>
                <w:rFonts w:eastAsiaTheme="minorEastAsia"/>
              </w:rPr>
              <w:t>Reduced impact of major bushfires and other emergencies on people, property and the environment</w:t>
            </w:r>
            <w:r>
              <w:rPr>
                <w:rFonts w:eastAsiaTheme="minorEastAsia"/>
              </w:rPr>
              <w:t>’.</w:t>
            </w:r>
          </w:p>
        </w:tc>
      </w:tr>
    </w:tbl>
    <w:p w:rsidR="00E25CC6" w:rsidRDefault="00E25CC6" w:rsidP="004B276C">
      <w:pPr>
        <w:pStyle w:val="Source"/>
        <w:rPr>
          <w:rFonts w:eastAsiaTheme="minorHAnsi"/>
        </w:rPr>
      </w:pPr>
      <w:r>
        <w:rPr>
          <w:rFonts w:eastAsiaTheme="minorHAnsi"/>
        </w:rPr>
        <w:t xml:space="preserve">Source: </w:t>
      </w:r>
      <w:r w:rsidRPr="004B276C">
        <w:rPr>
          <w:rFonts w:eastAsiaTheme="minorHAnsi"/>
        </w:rPr>
        <w:t xml:space="preserve">Department </w:t>
      </w:r>
      <w:r>
        <w:rPr>
          <w:rFonts w:eastAsiaTheme="minorHAnsi"/>
        </w:rPr>
        <w:t>o</w:t>
      </w:r>
      <w:r w:rsidRPr="004B276C">
        <w:rPr>
          <w:rFonts w:eastAsiaTheme="minorHAnsi"/>
        </w:rPr>
        <w:t xml:space="preserve">f Environment, Land, Water </w:t>
      </w:r>
      <w:r>
        <w:rPr>
          <w:rFonts w:eastAsiaTheme="minorHAnsi"/>
        </w:rPr>
        <w:t>a</w:t>
      </w:r>
      <w:r w:rsidRPr="004B276C">
        <w:rPr>
          <w:rFonts w:eastAsiaTheme="minorHAnsi"/>
        </w:rPr>
        <w:t>nd Planning</w:t>
      </w:r>
    </w:p>
    <w:p w:rsidR="00E25CC6" w:rsidRDefault="00E25CC6">
      <w:pPr>
        <w:spacing w:after="0"/>
        <w:rPr>
          <w:rFonts w:ascii="Calibri" w:eastAsiaTheme="minorHAnsi" w:hAnsi="Calibri"/>
          <w:b/>
          <w:caps/>
          <w:sz w:val="26"/>
          <w:szCs w:val="22"/>
        </w:rPr>
      </w:pPr>
      <w:r>
        <w:rPr>
          <w:rFonts w:eastAsiaTheme="minorHAnsi"/>
        </w:rPr>
        <w:br w:type="page"/>
      </w:r>
    </w:p>
    <w:p w:rsidR="00E25CC6" w:rsidRDefault="00E25CC6" w:rsidP="0045210A">
      <w:pPr>
        <w:pStyle w:val="Heading1"/>
        <w:rPr>
          <w:rFonts w:eastAsiaTheme="minorHAnsi"/>
        </w:rPr>
      </w:pPr>
      <w:bookmarkStart w:id="115" w:name="_Toc449109451"/>
      <w:r>
        <w:rPr>
          <w:rFonts w:eastAsiaTheme="minorHAnsi"/>
        </w:rPr>
        <w:t>Department of Health and Human Services</w:t>
      </w:r>
      <w:bookmarkEnd w:id="115"/>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4975B2" w:rsidTr="00A959A3">
        <w:trPr>
          <w:cantSplit/>
          <w:tblHeader/>
        </w:trPr>
        <w:tc>
          <w:tcPr>
            <w:tcW w:w="3146" w:type="dxa"/>
            <w:tcBorders>
              <w:top w:val="nil"/>
              <w:left w:val="nil"/>
              <w:bottom w:val="single" w:sz="6" w:space="0" w:color="auto"/>
              <w:right w:val="nil"/>
            </w:tcBorders>
            <w:shd w:val="solid" w:color="000000" w:fill="auto"/>
            <w:vAlign w:val="bottom"/>
          </w:tcPr>
          <w:p w:rsidR="00E25CC6" w:rsidRPr="004975B2" w:rsidRDefault="00E25CC6" w:rsidP="004975B2">
            <w:pPr>
              <w:autoSpaceDE w:val="0"/>
              <w:autoSpaceDN w:val="0"/>
              <w:adjustRightInd w:val="0"/>
              <w:spacing w:after="0"/>
              <w:rPr>
                <w:rFonts w:ascii="Calibri" w:hAnsi="Calibri" w:cs="Calibri"/>
                <w:i/>
                <w:iCs/>
                <w:color w:val="FFFFFF"/>
                <w:sz w:val="19"/>
                <w:szCs w:val="22"/>
                <w:lang w:eastAsia="en-AU"/>
              </w:rPr>
            </w:pPr>
            <w:r w:rsidRPr="004975B2">
              <w:rPr>
                <w:rFonts w:ascii="Calibri" w:hAnsi="Calibri" w:cs="Calibri"/>
                <w:b/>
                <w:bCs/>
                <w:color w:val="FFFFFF"/>
                <w:sz w:val="19"/>
                <w:szCs w:val="22"/>
                <w:lang w:eastAsia="en-AU"/>
              </w:rPr>
              <w:t>Major outputs/deliverables</w:t>
            </w:r>
          </w:p>
          <w:p w:rsidR="00E25CC6" w:rsidRPr="004975B2" w:rsidRDefault="00E25CC6" w:rsidP="004975B2">
            <w:pPr>
              <w:autoSpaceDE w:val="0"/>
              <w:autoSpaceDN w:val="0"/>
              <w:adjustRightInd w:val="0"/>
              <w:spacing w:after="0"/>
              <w:rPr>
                <w:rFonts w:ascii="Calibri" w:hAnsi="Calibri" w:cs="Calibri"/>
                <w:i/>
                <w:iCs/>
                <w:color w:val="FFFFFF"/>
                <w:sz w:val="19"/>
                <w:szCs w:val="22"/>
                <w:lang w:eastAsia="en-AU"/>
              </w:rPr>
            </w:pPr>
            <w:r w:rsidRPr="004975B2">
              <w:rPr>
                <w:rFonts w:ascii="Calibri" w:hAnsi="Calibri" w:cs="Calibri"/>
                <w:i/>
                <w:iCs/>
                <w:color w:val="FFFFFF"/>
                <w:sz w:val="19"/>
                <w:szCs w:val="22"/>
                <w:lang w:eastAsia="en-AU"/>
              </w:rPr>
              <w:t>Performance measures</w:t>
            </w:r>
          </w:p>
        </w:tc>
        <w:tc>
          <w:tcPr>
            <w:tcW w:w="907" w:type="dxa"/>
            <w:tcBorders>
              <w:top w:val="nil"/>
              <w:left w:val="nil"/>
              <w:bottom w:val="single" w:sz="6" w:space="0" w:color="auto"/>
              <w:right w:val="nil"/>
            </w:tcBorders>
            <w:shd w:val="solid" w:color="000000" w:fill="auto"/>
            <w:vAlign w:val="bottom"/>
          </w:tcPr>
          <w:p w:rsidR="00E25CC6" w:rsidRPr="004975B2" w:rsidRDefault="00E25CC6" w:rsidP="004975B2">
            <w:pPr>
              <w:autoSpaceDE w:val="0"/>
              <w:autoSpaceDN w:val="0"/>
              <w:adjustRightInd w:val="0"/>
              <w:spacing w:after="0"/>
              <w:jc w:val="center"/>
              <w:rPr>
                <w:rFonts w:ascii="Calibri" w:hAnsi="Calibri" w:cs="Calibri"/>
                <w:i/>
                <w:iCs/>
                <w:color w:val="FFFFFF"/>
                <w:sz w:val="19"/>
                <w:szCs w:val="22"/>
                <w:lang w:eastAsia="en-AU"/>
              </w:rPr>
            </w:pPr>
            <w:r w:rsidRPr="004975B2">
              <w:rPr>
                <w:rFonts w:ascii="Calibri" w:hAnsi="Calibri" w:cs="Calibri"/>
                <w:i/>
                <w:iCs/>
                <w:color w:val="FFFFFF"/>
                <w:sz w:val="19"/>
                <w:szCs w:val="22"/>
                <w:lang w:eastAsia="en-AU"/>
              </w:rPr>
              <w:t>Unit of measure</w:t>
            </w:r>
          </w:p>
        </w:tc>
        <w:tc>
          <w:tcPr>
            <w:tcW w:w="907" w:type="dxa"/>
            <w:tcBorders>
              <w:top w:val="nil"/>
              <w:left w:val="nil"/>
              <w:bottom w:val="single" w:sz="6" w:space="0" w:color="auto"/>
              <w:right w:val="nil"/>
            </w:tcBorders>
            <w:shd w:val="solid" w:color="000000" w:fill="auto"/>
            <w:vAlign w:val="bottom"/>
          </w:tcPr>
          <w:p w:rsidR="00E25CC6" w:rsidRPr="004975B2" w:rsidRDefault="00E25CC6" w:rsidP="004975B2">
            <w:pPr>
              <w:autoSpaceDE w:val="0"/>
              <w:autoSpaceDN w:val="0"/>
              <w:adjustRightInd w:val="0"/>
              <w:spacing w:after="0"/>
              <w:jc w:val="right"/>
              <w:rPr>
                <w:rFonts w:ascii="Calibri" w:hAnsi="Calibri" w:cs="Calibri"/>
                <w:i/>
                <w:iCs/>
                <w:color w:val="FFFFFF"/>
                <w:sz w:val="19"/>
                <w:szCs w:val="22"/>
                <w:lang w:eastAsia="en-AU"/>
              </w:rPr>
            </w:pPr>
            <w:r w:rsidRPr="004975B2">
              <w:rPr>
                <w:rFonts w:ascii="Calibri" w:hAnsi="Calibri" w:cs="Calibri"/>
                <w:i/>
                <w:iCs/>
                <w:color w:val="FFFFFF"/>
                <w:sz w:val="19"/>
                <w:szCs w:val="22"/>
                <w:lang w:eastAsia="en-AU"/>
              </w:rPr>
              <w:t>2016</w:t>
            </w:r>
            <w:r w:rsidRPr="00255F85">
              <w:rPr>
                <w:rFonts w:ascii="Calibri" w:hAnsi="Calibri" w:cs="Calibri"/>
                <w:i/>
                <w:iCs/>
                <w:color w:val="FFFFFF"/>
                <w:sz w:val="19"/>
                <w:szCs w:val="22"/>
                <w:lang w:eastAsia="en-AU"/>
              </w:rPr>
              <w:noBreakHyphen/>
            </w:r>
            <w:r w:rsidRPr="004975B2">
              <w:rPr>
                <w:rFonts w:ascii="Calibri" w:hAnsi="Calibri" w:cs="Calibri"/>
                <w:i/>
                <w:iCs/>
                <w:color w:val="FFFFFF"/>
                <w:sz w:val="19"/>
                <w:szCs w:val="22"/>
                <w:lang w:eastAsia="en-AU"/>
              </w:rPr>
              <w:t>17 target</w:t>
            </w:r>
          </w:p>
        </w:tc>
        <w:tc>
          <w:tcPr>
            <w:tcW w:w="992" w:type="dxa"/>
            <w:tcBorders>
              <w:top w:val="nil"/>
              <w:left w:val="nil"/>
              <w:bottom w:val="single" w:sz="6" w:space="0" w:color="auto"/>
              <w:right w:val="nil"/>
            </w:tcBorders>
            <w:shd w:val="solid" w:color="000000" w:fill="auto"/>
            <w:vAlign w:val="bottom"/>
          </w:tcPr>
          <w:p w:rsidR="00E25CC6" w:rsidRPr="004975B2" w:rsidRDefault="00E25CC6" w:rsidP="004975B2">
            <w:pPr>
              <w:autoSpaceDE w:val="0"/>
              <w:autoSpaceDN w:val="0"/>
              <w:adjustRightInd w:val="0"/>
              <w:spacing w:after="0"/>
              <w:jc w:val="right"/>
              <w:rPr>
                <w:rFonts w:ascii="Calibri" w:hAnsi="Calibri" w:cs="Calibri"/>
                <w:i/>
                <w:iCs/>
                <w:color w:val="FFFFFF"/>
                <w:sz w:val="19"/>
                <w:szCs w:val="22"/>
                <w:lang w:eastAsia="en-AU"/>
              </w:rPr>
            </w:pPr>
            <w:r w:rsidRPr="004975B2">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4975B2">
              <w:rPr>
                <w:rFonts w:ascii="Calibri" w:hAnsi="Calibri" w:cs="Calibri"/>
                <w:i/>
                <w:iCs/>
                <w:color w:val="FFFFFF"/>
                <w:sz w:val="19"/>
                <w:szCs w:val="22"/>
                <w:lang w:eastAsia="en-AU"/>
              </w:rPr>
              <w:t>16 expected outcome</w:t>
            </w:r>
          </w:p>
        </w:tc>
        <w:tc>
          <w:tcPr>
            <w:tcW w:w="907" w:type="dxa"/>
            <w:tcBorders>
              <w:top w:val="nil"/>
              <w:left w:val="nil"/>
              <w:bottom w:val="single" w:sz="6" w:space="0" w:color="auto"/>
              <w:right w:val="nil"/>
            </w:tcBorders>
            <w:shd w:val="solid" w:color="000000" w:fill="auto"/>
            <w:vAlign w:val="bottom"/>
          </w:tcPr>
          <w:p w:rsidR="00E25CC6" w:rsidRPr="004975B2" w:rsidRDefault="00E25CC6" w:rsidP="004975B2">
            <w:pPr>
              <w:autoSpaceDE w:val="0"/>
              <w:autoSpaceDN w:val="0"/>
              <w:adjustRightInd w:val="0"/>
              <w:spacing w:after="0"/>
              <w:jc w:val="right"/>
              <w:rPr>
                <w:rFonts w:ascii="Calibri" w:hAnsi="Calibri" w:cs="Calibri"/>
                <w:i/>
                <w:iCs/>
                <w:color w:val="FFFFFF"/>
                <w:sz w:val="19"/>
                <w:szCs w:val="22"/>
                <w:lang w:eastAsia="en-AU"/>
              </w:rPr>
            </w:pPr>
            <w:r w:rsidRPr="004975B2">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4975B2">
              <w:rPr>
                <w:rFonts w:ascii="Calibri" w:hAnsi="Calibri" w:cs="Calibri"/>
                <w:i/>
                <w:iCs/>
                <w:color w:val="FFFFFF"/>
                <w:sz w:val="19"/>
                <w:szCs w:val="22"/>
                <w:lang w:eastAsia="en-AU"/>
              </w:rPr>
              <w:t>16 target</w:t>
            </w:r>
          </w:p>
        </w:tc>
        <w:tc>
          <w:tcPr>
            <w:tcW w:w="908" w:type="dxa"/>
            <w:tcBorders>
              <w:top w:val="nil"/>
              <w:left w:val="nil"/>
              <w:bottom w:val="single" w:sz="6" w:space="0" w:color="auto"/>
              <w:right w:val="nil"/>
            </w:tcBorders>
            <w:shd w:val="solid" w:color="000000" w:fill="auto"/>
            <w:vAlign w:val="bottom"/>
          </w:tcPr>
          <w:p w:rsidR="00E25CC6" w:rsidRPr="004975B2" w:rsidRDefault="00E25CC6" w:rsidP="004975B2">
            <w:pPr>
              <w:autoSpaceDE w:val="0"/>
              <w:autoSpaceDN w:val="0"/>
              <w:adjustRightInd w:val="0"/>
              <w:spacing w:after="0"/>
              <w:jc w:val="right"/>
              <w:rPr>
                <w:rFonts w:ascii="Calibri" w:hAnsi="Calibri" w:cs="Calibri"/>
                <w:i/>
                <w:iCs/>
                <w:color w:val="FFFFFF"/>
                <w:sz w:val="19"/>
                <w:szCs w:val="22"/>
                <w:lang w:eastAsia="en-AU"/>
              </w:rPr>
            </w:pPr>
            <w:r w:rsidRPr="004975B2">
              <w:rPr>
                <w:rFonts w:ascii="Calibri" w:hAnsi="Calibri" w:cs="Calibri"/>
                <w:i/>
                <w:iCs/>
                <w:color w:val="FFFFFF"/>
                <w:sz w:val="19"/>
                <w:szCs w:val="22"/>
                <w:lang w:eastAsia="en-AU"/>
              </w:rPr>
              <w:t>2014</w:t>
            </w:r>
            <w:r w:rsidRPr="00255F85">
              <w:rPr>
                <w:rFonts w:ascii="Calibri" w:hAnsi="Calibri" w:cs="Calibri"/>
                <w:i/>
                <w:iCs/>
                <w:color w:val="FFFFFF"/>
                <w:sz w:val="19"/>
                <w:szCs w:val="22"/>
                <w:lang w:eastAsia="en-AU"/>
              </w:rPr>
              <w:noBreakHyphen/>
            </w:r>
            <w:r w:rsidRPr="004975B2">
              <w:rPr>
                <w:rFonts w:ascii="Calibri" w:hAnsi="Calibri" w:cs="Calibri"/>
                <w:i/>
                <w:iCs/>
                <w:color w:val="FFFFFF"/>
                <w:sz w:val="19"/>
                <w:szCs w:val="22"/>
                <w:lang w:eastAsia="en-AU"/>
              </w:rPr>
              <w:t>15 actual</w:t>
            </w:r>
          </w:p>
        </w:tc>
      </w:tr>
      <w:tr w:rsidR="00E25CC6" w:rsidRPr="004975B2" w:rsidTr="00A959A3">
        <w:trPr>
          <w:cantSplit/>
        </w:trPr>
        <w:tc>
          <w:tcPr>
            <w:tcW w:w="7767" w:type="dxa"/>
            <w:gridSpan w:val="6"/>
            <w:tcBorders>
              <w:top w:val="single" w:sz="6" w:space="0" w:color="auto"/>
              <w:left w:val="nil"/>
              <w:bottom w:val="single" w:sz="6" w:space="0" w:color="auto"/>
              <w:right w:val="nil"/>
            </w:tcBorders>
          </w:tcPr>
          <w:p w:rsidR="00E25CC6" w:rsidRPr="00697A95" w:rsidRDefault="00E25CC6" w:rsidP="004975B2">
            <w:pPr>
              <w:pStyle w:val="OGHeading2"/>
              <w:rPr>
                <w:lang w:eastAsia="en-AU"/>
              </w:rPr>
            </w:pPr>
            <w:r w:rsidRPr="00697A95">
              <w:rPr>
                <w:lang w:eastAsia="en-AU"/>
              </w:rPr>
              <w:t>Emergency Services</w:t>
            </w:r>
          </w:p>
        </w:tc>
      </w:tr>
      <w:tr w:rsidR="00E25CC6" w:rsidRPr="004975B2" w:rsidTr="00A959A3">
        <w:trPr>
          <w:cantSplit/>
        </w:trPr>
        <w:tc>
          <w:tcPr>
            <w:tcW w:w="3146" w:type="dxa"/>
            <w:tcBorders>
              <w:top w:val="single" w:sz="6" w:space="0" w:color="auto"/>
              <w:left w:val="nil"/>
              <w:bottom w:val="nil"/>
              <w:right w:val="nil"/>
            </w:tcBorders>
          </w:tcPr>
          <w:p w:rsidR="00E25CC6" w:rsidRPr="004975B2" w:rsidRDefault="00E25CC6" w:rsidP="004975B2">
            <w:pPr>
              <w:autoSpaceDE w:val="0"/>
              <w:autoSpaceDN w:val="0"/>
              <w:adjustRightInd w:val="0"/>
              <w:spacing w:after="0"/>
              <w:ind w:left="227" w:hanging="227"/>
              <w:rPr>
                <w:rFonts w:ascii="Calibri" w:hAnsi="Calibri" w:cs="Calibri"/>
                <w:i/>
                <w:iCs/>
                <w:color w:val="000000"/>
                <w:sz w:val="19"/>
                <w:szCs w:val="22"/>
                <w:lang w:eastAsia="en-AU"/>
              </w:rPr>
            </w:pPr>
            <w:r w:rsidRPr="004975B2">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r>
      <w:tr w:rsidR="00E25CC6" w:rsidRPr="004975B2" w:rsidTr="004975B2">
        <w:trPr>
          <w:cantSplit/>
        </w:trPr>
        <w:tc>
          <w:tcPr>
            <w:tcW w:w="3146" w:type="dxa"/>
            <w:tcBorders>
              <w:top w:val="nil"/>
              <w:left w:val="nil"/>
              <w:bottom w:val="nil"/>
              <w:right w:val="nil"/>
            </w:tcBorders>
          </w:tcPr>
          <w:p w:rsidR="00E25CC6" w:rsidRPr="004975B2" w:rsidRDefault="00E25CC6" w:rsidP="004975B2">
            <w:pPr>
              <w:pStyle w:val="OGTabText"/>
              <w:rPr>
                <w:lang w:eastAsia="en-AU"/>
              </w:rPr>
            </w:pPr>
            <w:r w:rsidRPr="004975B2">
              <w:rPr>
                <w:lang w:eastAsia="en-AU"/>
              </w:rPr>
              <w:t>Number of occasions on Hospital Early Warning System (HEWS)</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97A95" w:rsidRDefault="00E25CC6" w:rsidP="00920BEF">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na</w:t>
            </w:r>
          </w:p>
        </w:tc>
        <w:tc>
          <w:tcPr>
            <w:tcW w:w="992" w:type="dxa"/>
            <w:tcBorders>
              <w:top w:val="nil"/>
              <w:left w:val="nil"/>
              <w:bottom w:val="nil"/>
              <w:right w:val="nil"/>
            </w:tcBorders>
          </w:tcPr>
          <w:p w:rsidR="00E25CC6" w:rsidRPr="00697A95" w:rsidRDefault="00E25CC6" w:rsidP="00920BEF">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na</w:t>
            </w:r>
          </w:p>
        </w:tc>
        <w:tc>
          <w:tcPr>
            <w:tcW w:w="907" w:type="dxa"/>
            <w:tcBorders>
              <w:top w:val="nil"/>
              <w:left w:val="nil"/>
              <w:bottom w:val="nil"/>
              <w:right w:val="nil"/>
            </w:tcBorders>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11 388</w:t>
            </w:r>
          </w:p>
        </w:tc>
        <w:tc>
          <w:tcPr>
            <w:tcW w:w="908"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4 823</w:t>
            </w:r>
          </w:p>
        </w:tc>
      </w:tr>
      <w:tr w:rsidR="00E25CC6" w:rsidRPr="004975B2" w:rsidTr="004975B2">
        <w:trPr>
          <w:cantSplit/>
        </w:trPr>
        <w:tc>
          <w:tcPr>
            <w:tcW w:w="7767" w:type="dxa"/>
            <w:gridSpan w:val="6"/>
            <w:tcBorders>
              <w:top w:val="nil"/>
              <w:left w:val="nil"/>
              <w:bottom w:val="single" w:sz="6" w:space="0" w:color="auto"/>
              <w:right w:val="nil"/>
            </w:tcBorders>
          </w:tcPr>
          <w:p w:rsidR="00E25CC6" w:rsidRPr="00697A95" w:rsidRDefault="00E25CC6" w:rsidP="004975B2">
            <w:pPr>
              <w:pStyle w:val="OGNotes"/>
            </w:pPr>
            <w:r w:rsidRPr="00697A95">
              <w:t>This performance measure is proposed to be discontinued as it is no longer relevant. Hospital bypass and the Hospital Early Warning System were removed by Victorian metropolitan emergency departments on 7 October 2015.</w:t>
            </w:r>
          </w:p>
        </w:tc>
      </w:tr>
      <w:tr w:rsidR="00E25CC6" w:rsidRPr="004975B2" w:rsidTr="004975B2">
        <w:trPr>
          <w:cantSplit/>
        </w:trPr>
        <w:tc>
          <w:tcPr>
            <w:tcW w:w="3146" w:type="dxa"/>
            <w:tcBorders>
              <w:top w:val="nil"/>
              <w:left w:val="nil"/>
              <w:bottom w:val="nil"/>
              <w:right w:val="nil"/>
            </w:tcBorders>
          </w:tcPr>
          <w:p w:rsidR="00E25CC6" w:rsidRPr="004975B2" w:rsidRDefault="00E25CC6" w:rsidP="004975B2">
            <w:pPr>
              <w:pStyle w:val="OGTabText"/>
              <w:rPr>
                <w:lang w:eastAsia="en-AU"/>
              </w:rPr>
            </w:pPr>
            <w:r w:rsidRPr="004975B2">
              <w:rPr>
                <w:lang w:eastAsia="en-AU"/>
              </w:rPr>
              <w:t>Operating time on HEWS</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697A95" w:rsidRDefault="00E25CC6" w:rsidP="00920BEF">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na</w:t>
            </w:r>
          </w:p>
        </w:tc>
        <w:tc>
          <w:tcPr>
            <w:tcW w:w="992" w:type="dxa"/>
            <w:tcBorders>
              <w:top w:val="nil"/>
              <w:left w:val="nil"/>
              <w:bottom w:val="nil"/>
              <w:right w:val="nil"/>
            </w:tcBorders>
          </w:tcPr>
          <w:p w:rsidR="00E25CC6" w:rsidRPr="00697A95" w:rsidRDefault="00E25CC6" w:rsidP="00920BEF">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na</w:t>
            </w:r>
          </w:p>
        </w:tc>
        <w:tc>
          <w:tcPr>
            <w:tcW w:w="907" w:type="dxa"/>
            <w:tcBorders>
              <w:top w:val="nil"/>
              <w:left w:val="nil"/>
              <w:bottom w:val="nil"/>
              <w:right w:val="nil"/>
            </w:tcBorders>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10</w:t>
            </w:r>
          </w:p>
        </w:tc>
        <w:tc>
          <w:tcPr>
            <w:tcW w:w="908"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4.2</w:t>
            </w:r>
          </w:p>
        </w:tc>
      </w:tr>
      <w:tr w:rsidR="00E25CC6" w:rsidRPr="004975B2" w:rsidTr="004975B2">
        <w:trPr>
          <w:cantSplit/>
        </w:trPr>
        <w:tc>
          <w:tcPr>
            <w:tcW w:w="7767" w:type="dxa"/>
            <w:gridSpan w:val="6"/>
            <w:tcBorders>
              <w:top w:val="nil"/>
              <w:left w:val="nil"/>
              <w:bottom w:val="single" w:sz="6" w:space="0" w:color="auto"/>
              <w:right w:val="nil"/>
            </w:tcBorders>
          </w:tcPr>
          <w:p w:rsidR="00E25CC6" w:rsidRPr="00697A95" w:rsidRDefault="00E25CC6" w:rsidP="004975B2">
            <w:pPr>
              <w:pStyle w:val="OGNotes"/>
            </w:pPr>
            <w:r w:rsidRPr="00697A95">
              <w:t>This performance measure is proposed to be discontinued as it is no longer relevant. Hospital bypass and the Hospital Early Warning System were removed by Victorian metropolitan emergency departments on 7 October 2015.</w:t>
            </w:r>
          </w:p>
        </w:tc>
      </w:tr>
      <w:tr w:rsidR="00E25CC6" w:rsidRPr="004975B2" w:rsidTr="004975B2">
        <w:trPr>
          <w:cantSplit/>
        </w:trPr>
        <w:tc>
          <w:tcPr>
            <w:tcW w:w="3146" w:type="dxa"/>
            <w:tcBorders>
              <w:top w:val="nil"/>
              <w:left w:val="nil"/>
              <w:bottom w:val="nil"/>
              <w:right w:val="nil"/>
            </w:tcBorders>
          </w:tcPr>
          <w:p w:rsidR="00E25CC6" w:rsidRPr="004975B2" w:rsidRDefault="00E25CC6" w:rsidP="004975B2">
            <w:pPr>
              <w:pStyle w:val="OGTabText"/>
              <w:rPr>
                <w:lang w:eastAsia="en-AU"/>
              </w:rPr>
            </w:pPr>
            <w:r w:rsidRPr="004975B2">
              <w:rPr>
                <w:lang w:eastAsia="en-AU"/>
              </w:rPr>
              <w:t>Time on hospital bypass</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697A95" w:rsidRDefault="00E25CC6" w:rsidP="00920BEF">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na</w:t>
            </w:r>
          </w:p>
        </w:tc>
        <w:tc>
          <w:tcPr>
            <w:tcW w:w="992" w:type="dxa"/>
            <w:tcBorders>
              <w:top w:val="nil"/>
              <w:left w:val="nil"/>
              <w:bottom w:val="nil"/>
              <w:right w:val="nil"/>
            </w:tcBorders>
          </w:tcPr>
          <w:p w:rsidR="00E25CC6" w:rsidRPr="00697A95" w:rsidRDefault="00E25CC6" w:rsidP="00920BEF">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na</w:t>
            </w:r>
          </w:p>
        </w:tc>
        <w:tc>
          <w:tcPr>
            <w:tcW w:w="907" w:type="dxa"/>
            <w:tcBorders>
              <w:top w:val="nil"/>
              <w:left w:val="nil"/>
              <w:bottom w:val="nil"/>
              <w:right w:val="nil"/>
            </w:tcBorders>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3</w:t>
            </w:r>
          </w:p>
        </w:tc>
        <w:tc>
          <w:tcPr>
            <w:tcW w:w="908"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2.2</w:t>
            </w:r>
          </w:p>
        </w:tc>
      </w:tr>
      <w:tr w:rsidR="00E25CC6" w:rsidRPr="004975B2" w:rsidTr="00A959A3">
        <w:trPr>
          <w:cantSplit/>
        </w:trPr>
        <w:tc>
          <w:tcPr>
            <w:tcW w:w="7767" w:type="dxa"/>
            <w:gridSpan w:val="6"/>
            <w:tcBorders>
              <w:top w:val="nil"/>
              <w:left w:val="nil"/>
              <w:bottom w:val="single" w:sz="6" w:space="0" w:color="auto"/>
              <w:right w:val="nil"/>
            </w:tcBorders>
          </w:tcPr>
          <w:p w:rsidR="00E25CC6" w:rsidRPr="004975B2" w:rsidRDefault="00E25CC6" w:rsidP="004975B2">
            <w:pPr>
              <w:pStyle w:val="OGNotes"/>
            </w:pPr>
            <w:r w:rsidRPr="004975B2">
              <w:t>This performance measure is proposed to be discontinued as it is no longer relevant. Hospital bypass and the Hospital Early Warning System were removed by Victorian metropolitan emergency departments on 7 October 2015.</w:t>
            </w:r>
          </w:p>
        </w:tc>
      </w:tr>
      <w:tr w:rsidR="00E25CC6" w:rsidRPr="004975B2" w:rsidTr="00A959A3">
        <w:trPr>
          <w:cantSplit/>
        </w:trPr>
        <w:tc>
          <w:tcPr>
            <w:tcW w:w="7767" w:type="dxa"/>
            <w:gridSpan w:val="6"/>
            <w:tcBorders>
              <w:top w:val="single" w:sz="6" w:space="0" w:color="auto"/>
              <w:left w:val="nil"/>
              <w:bottom w:val="single" w:sz="6" w:space="0" w:color="auto"/>
              <w:right w:val="nil"/>
            </w:tcBorders>
          </w:tcPr>
          <w:p w:rsidR="00E25CC6" w:rsidRPr="00697A95" w:rsidRDefault="00E25CC6" w:rsidP="004975B2">
            <w:pPr>
              <w:pStyle w:val="OGHeading2"/>
              <w:rPr>
                <w:lang w:eastAsia="en-AU"/>
              </w:rPr>
            </w:pPr>
            <w:r w:rsidRPr="00697A95">
              <w:rPr>
                <w:lang w:eastAsia="en-AU"/>
              </w:rPr>
              <w:t>Seniors Programs and Participation</w:t>
            </w:r>
          </w:p>
        </w:tc>
      </w:tr>
      <w:tr w:rsidR="00E25CC6" w:rsidRPr="004975B2" w:rsidTr="00A959A3">
        <w:trPr>
          <w:cantSplit/>
        </w:trPr>
        <w:tc>
          <w:tcPr>
            <w:tcW w:w="3146" w:type="dxa"/>
            <w:tcBorders>
              <w:top w:val="single" w:sz="6" w:space="0" w:color="auto"/>
              <w:left w:val="nil"/>
              <w:bottom w:val="nil"/>
              <w:right w:val="nil"/>
            </w:tcBorders>
          </w:tcPr>
          <w:p w:rsidR="00E25CC6" w:rsidRPr="004975B2" w:rsidRDefault="00E25CC6" w:rsidP="004975B2">
            <w:pPr>
              <w:autoSpaceDE w:val="0"/>
              <w:autoSpaceDN w:val="0"/>
              <w:adjustRightInd w:val="0"/>
              <w:spacing w:after="0"/>
              <w:ind w:left="227" w:hanging="227"/>
              <w:rPr>
                <w:rFonts w:ascii="Calibri" w:hAnsi="Calibri" w:cs="Calibri"/>
                <w:i/>
                <w:iCs/>
                <w:color w:val="000000"/>
                <w:sz w:val="19"/>
                <w:szCs w:val="22"/>
                <w:lang w:eastAsia="en-AU"/>
              </w:rPr>
            </w:pPr>
            <w:r w:rsidRPr="004975B2">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r>
      <w:tr w:rsidR="00E25CC6" w:rsidRPr="004975B2" w:rsidTr="004975B2">
        <w:trPr>
          <w:cantSplit/>
        </w:trPr>
        <w:tc>
          <w:tcPr>
            <w:tcW w:w="3146" w:type="dxa"/>
            <w:tcBorders>
              <w:top w:val="nil"/>
              <w:left w:val="nil"/>
              <w:bottom w:val="nil"/>
              <w:right w:val="nil"/>
            </w:tcBorders>
          </w:tcPr>
          <w:p w:rsidR="00E25CC6" w:rsidRPr="004975B2" w:rsidRDefault="00E25CC6" w:rsidP="004975B2">
            <w:pPr>
              <w:pStyle w:val="OGTabText"/>
              <w:rPr>
                <w:lang w:eastAsia="en-AU"/>
              </w:rPr>
            </w:pPr>
            <w:r w:rsidRPr="004975B2">
              <w:rPr>
                <w:lang w:eastAsia="en-AU"/>
              </w:rPr>
              <w:t>Number of hits on Seniors Online cost savings information pages</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697A95" w:rsidRDefault="00E25CC6" w:rsidP="004975B2">
            <w:pPr>
              <w:autoSpaceDE w:val="0"/>
              <w:autoSpaceDN w:val="0"/>
              <w:adjustRightInd w:val="0"/>
              <w:spacing w:after="0"/>
              <w:jc w:val="right"/>
              <w:rPr>
                <w:rFonts w:ascii="Calibri" w:hAnsi="Calibri" w:cs="Calibri"/>
                <w:color w:val="000000"/>
                <w:sz w:val="19"/>
                <w:szCs w:val="22"/>
                <w:lang w:eastAsia="en-AU"/>
              </w:rPr>
            </w:pPr>
            <w:r w:rsidRPr="00697A95">
              <w:rPr>
                <w:rFonts w:ascii="Calibri" w:hAnsi="Calibri" w:cs="Calibri"/>
                <w:color w:val="000000"/>
                <w:sz w:val="19"/>
                <w:szCs w:val="22"/>
                <w:lang w:eastAsia="en-AU"/>
              </w:rPr>
              <w:t>40 000</w:t>
            </w:r>
          </w:p>
        </w:tc>
        <w:tc>
          <w:tcPr>
            <w:tcW w:w="992"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60 000</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40 000</w:t>
            </w:r>
          </w:p>
        </w:tc>
        <w:tc>
          <w:tcPr>
            <w:tcW w:w="908"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46 059</w:t>
            </w:r>
          </w:p>
        </w:tc>
      </w:tr>
      <w:tr w:rsidR="00E25CC6" w:rsidRPr="004975B2" w:rsidTr="00A959A3">
        <w:trPr>
          <w:cantSplit/>
        </w:trPr>
        <w:tc>
          <w:tcPr>
            <w:tcW w:w="7767" w:type="dxa"/>
            <w:gridSpan w:val="6"/>
            <w:tcBorders>
              <w:top w:val="nil"/>
              <w:left w:val="nil"/>
              <w:bottom w:val="single" w:sz="6" w:space="0" w:color="auto"/>
              <w:right w:val="nil"/>
            </w:tcBorders>
          </w:tcPr>
          <w:p w:rsidR="00E25CC6" w:rsidRPr="004975B2" w:rsidRDefault="00E25CC6" w:rsidP="000E381C">
            <w:pPr>
              <w:pStyle w:val="OGNotes"/>
            </w:pPr>
            <w:r w:rsidRPr="004975B2">
              <w:t>This performance measure is proposed to be discontinued as the initiative to increase awareness has now ceased. This performance measure has been replaced by the 2016</w:t>
            </w:r>
            <w:r w:rsidRPr="00255F85">
              <w:noBreakHyphen/>
            </w:r>
            <w:r w:rsidRPr="004975B2">
              <w:t xml:space="preserve">17 performance measure </w:t>
            </w:r>
            <w:r>
              <w:t>‘</w:t>
            </w:r>
            <w:r w:rsidRPr="004975B2">
              <w:t>Open rates for Seniors Card e</w:t>
            </w:r>
            <w:r w:rsidRPr="00255F85">
              <w:noBreakHyphen/>
            </w:r>
            <w:r w:rsidRPr="004975B2">
              <w:t>Newsletters</w:t>
            </w:r>
            <w:r>
              <w:t>’</w:t>
            </w:r>
            <w:r w:rsidRPr="004975B2">
              <w:t>.</w:t>
            </w:r>
            <w:r>
              <w:t xml:space="preserve"> </w:t>
            </w:r>
          </w:p>
        </w:tc>
      </w:tr>
      <w:tr w:rsidR="00E25CC6" w:rsidRPr="004975B2" w:rsidTr="00A959A3">
        <w:trPr>
          <w:cantSplit/>
        </w:trPr>
        <w:tc>
          <w:tcPr>
            <w:tcW w:w="7767" w:type="dxa"/>
            <w:gridSpan w:val="6"/>
            <w:tcBorders>
              <w:top w:val="single" w:sz="6" w:space="0" w:color="auto"/>
              <w:left w:val="nil"/>
              <w:bottom w:val="single" w:sz="6" w:space="0" w:color="auto"/>
              <w:right w:val="nil"/>
            </w:tcBorders>
          </w:tcPr>
          <w:p w:rsidR="00E25CC6" w:rsidRPr="004975B2" w:rsidRDefault="00E25CC6" w:rsidP="004975B2">
            <w:pPr>
              <w:pStyle w:val="OGHeading2"/>
              <w:rPr>
                <w:lang w:eastAsia="en-AU"/>
              </w:rPr>
            </w:pPr>
            <w:r w:rsidRPr="004975B2">
              <w:rPr>
                <w:lang w:eastAsia="en-AU"/>
              </w:rPr>
              <w:t>Health Protection</w:t>
            </w:r>
          </w:p>
        </w:tc>
      </w:tr>
      <w:tr w:rsidR="00E25CC6" w:rsidRPr="004975B2" w:rsidTr="00A959A3">
        <w:trPr>
          <w:cantSplit/>
        </w:trPr>
        <w:tc>
          <w:tcPr>
            <w:tcW w:w="3146" w:type="dxa"/>
            <w:tcBorders>
              <w:top w:val="single" w:sz="6" w:space="0" w:color="auto"/>
              <w:left w:val="nil"/>
              <w:bottom w:val="nil"/>
              <w:right w:val="nil"/>
            </w:tcBorders>
          </w:tcPr>
          <w:p w:rsidR="00E25CC6" w:rsidRPr="004975B2" w:rsidRDefault="00E25CC6" w:rsidP="004975B2">
            <w:pPr>
              <w:autoSpaceDE w:val="0"/>
              <w:autoSpaceDN w:val="0"/>
              <w:adjustRightInd w:val="0"/>
              <w:spacing w:after="0"/>
              <w:ind w:left="227" w:hanging="227"/>
              <w:rPr>
                <w:rFonts w:ascii="Calibri" w:hAnsi="Calibri" w:cs="Calibri"/>
                <w:i/>
                <w:iCs/>
                <w:color w:val="000000"/>
                <w:sz w:val="19"/>
                <w:szCs w:val="22"/>
                <w:lang w:eastAsia="en-AU"/>
              </w:rPr>
            </w:pPr>
            <w:r w:rsidRPr="004975B2">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r>
      <w:tr w:rsidR="00E25CC6" w:rsidRPr="004975B2" w:rsidTr="004975B2">
        <w:trPr>
          <w:cantSplit/>
        </w:trPr>
        <w:tc>
          <w:tcPr>
            <w:tcW w:w="3146" w:type="dxa"/>
            <w:tcBorders>
              <w:top w:val="nil"/>
              <w:left w:val="nil"/>
              <w:bottom w:val="nil"/>
              <w:right w:val="nil"/>
            </w:tcBorders>
          </w:tcPr>
          <w:p w:rsidR="00E25CC6" w:rsidRPr="004975B2" w:rsidRDefault="00E25CC6" w:rsidP="005C02B0">
            <w:pPr>
              <w:pStyle w:val="OGTabText"/>
              <w:rPr>
                <w:lang w:eastAsia="en-AU"/>
              </w:rPr>
            </w:pPr>
            <w:r w:rsidRPr="004975B2">
              <w:rPr>
                <w:lang w:eastAsia="en-AU"/>
              </w:rPr>
              <w:t>Immunisation coverage: At 65+</w:t>
            </w:r>
            <w:r>
              <w:rPr>
                <w:lang w:eastAsia="en-AU"/>
              </w:rPr>
              <w:t> </w:t>
            </w:r>
            <w:r w:rsidRPr="004975B2">
              <w:rPr>
                <w:lang w:eastAsia="en-AU"/>
              </w:rPr>
              <w:t>years of age (influenza)</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80</w:t>
            </w:r>
          </w:p>
        </w:tc>
        <w:tc>
          <w:tcPr>
            <w:tcW w:w="992"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80</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80</w:t>
            </w:r>
          </w:p>
        </w:tc>
        <w:tc>
          <w:tcPr>
            <w:tcW w:w="908"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80</w:t>
            </w:r>
          </w:p>
        </w:tc>
      </w:tr>
      <w:tr w:rsidR="00E25CC6" w:rsidRPr="004975B2" w:rsidTr="00A959A3">
        <w:trPr>
          <w:cantSplit/>
        </w:trPr>
        <w:tc>
          <w:tcPr>
            <w:tcW w:w="7767" w:type="dxa"/>
            <w:gridSpan w:val="6"/>
            <w:tcBorders>
              <w:top w:val="nil"/>
              <w:left w:val="nil"/>
              <w:bottom w:val="single" w:sz="6" w:space="0" w:color="auto"/>
              <w:right w:val="nil"/>
            </w:tcBorders>
          </w:tcPr>
          <w:p w:rsidR="00E25CC6" w:rsidRPr="004975B2" w:rsidRDefault="00E25CC6" w:rsidP="00920BEF">
            <w:pPr>
              <w:pStyle w:val="OGNotes"/>
            </w:pPr>
            <w:r w:rsidRPr="004975B2">
              <w:t>This performance measure is proposed to be discontinued as data is not able to be collected annually. Data for this measure is provided by the Australian Institute of Health and Welfare Adult Vaccination Survey conducted every 5</w:t>
            </w:r>
            <w:r w:rsidRPr="00255F85">
              <w:noBreakHyphen/>
            </w:r>
            <w:r w:rsidRPr="004975B2">
              <w:t>6</w:t>
            </w:r>
            <w:r>
              <w:t> </w:t>
            </w:r>
            <w:r w:rsidRPr="004975B2">
              <w:t>years.</w:t>
            </w:r>
          </w:p>
        </w:tc>
      </w:tr>
      <w:tr w:rsidR="00E25CC6" w:rsidRPr="004975B2" w:rsidTr="00A959A3">
        <w:trPr>
          <w:cantSplit/>
        </w:trPr>
        <w:tc>
          <w:tcPr>
            <w:tcW w:w="7767" w:type="dxa"/>
            <w:gridSpan w:val="6"/>
            <w:tcBorders>
              <w:top w:val="single" w:sz="6" w:space="0" w:color="auto"/>
              <w:left w:val="nil"/>
              <w:bottom w:val="single" w:sz="6" w:space="0" w:color="auto"/>
              <w:right w:val="nil"/>
            </w:tcBorders>
          </w:tcPr>
          <w:p w:rsidR="00E25CC6" w:rsidRPr="004975B2" w:rsidRDefault="00E25CC6" w:rsidP="00A959A3">
            <w:pPr>
              <w:pStyle w:val="OGHeading2"/>
              <w:rPr>
                <w:lang w:eastAsia="en-AU"/>
              </w:rPr>
            </w:pPr>
            <w:r w:rsidRPr="004975B2">
              <w:rPr>
                <w:lang w:eastAsia="en-AU"/>
              </w:rPr>
              <w:t>Housing Assistance</w:t>
            </w:r>
          </w:p>
        </w:tc>
      </w:tr>
      <w:tr w:rsidR="00E25CC6" w:rsidRPr="004975B2" w:rsidTr="00A959A3">
        <w:trPr>
          <w:cantSplit/>
        </w:trPr>
        <w:tc>
          <w:tcPr>
            <w:tcW w:w="3146" w:type="dxa"/>
            <w:tcBorders>
              <w:top w:val="single" w:sz="6" w:space="0" w:color="auto"/>
              <w:left w:val="nil"/>
              <w:bottom w:val="nil"/>
              <w:right w:val="nil"/>
            </w:tcBorders>
          </w:tcPr>
          <w:p w:rsidR="00E25CC6" w:rsidRPr="004975B2" w:rsidRDefault="00E25CC6" w:rsidP="00A959A3">
            <w:pPr>
              <w:keepNext/>
              <w:autoSpaceDE w:val="0"/>
              <w:autoSpaceDN w:val="0"/>
              <w:adjustRightInd w:val="0"/>
              <w:spacing w:after="0"/>
              <w:ind w:left="227" w:hanging="227"/>
              <w:rPr>
                <w:rFonts w:ascii="Calibri" w:hAnsi="Calibri" w:cs="Calibri"/>
                <w:i/>
                <w:iCs/>
                <w:color w:val="000000"/>
                <w:sz w:val="19"/>
                <w:szCs w:val="22"/>
                <w:lang w:eastAsia="en-AU"/>
              </w:rPr>
            </w:pPr>
            <w:r w:rsidRPr="004975B2">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4975B2" w:rsidRDefault="00E25CC6" w:rsidP="00A959A3">
            <w:pPr>
              <w:keepNext/>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4975B2" w:rsidRDefault="00E25CC6" w:rsidP="00A959A3">
            <w:pPr>
              <w:keepNext/>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4975B2" w:rsidRDefault="00E25CC6" w:rsidP="00A959A3">
            <w:pPr>
              <w:keepNext/>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4975B2" w:rsidRDefault="00E25CC6" w:rsidP="00A959A3">
            <w:pPr>
              <w:keepNext/>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4975B2" w:rsidRDefault="00E25CC6" w:rsidP="00A959A3">
            <w:pPr>
              <w:keepNext/>
              <w:autoSpaceDE w:val="0"/>
              <w:autoSpaceDN w:val="0"/>
              <w:adjustRightInd w:val="0"/>
              <w:spacing w:after="0"/>
              <w:jc w:val="right"/>
              <w:rPr>
                <w:rFonts w:ascii="Calibri" w:hAnsi="Calibri" w:cs="Calibri"/>
                <w:color w:val="000000"/>
                <w:sz w:val="19"/>
                <w:szCs w:val="22"/>
                <w:lang w:eastAsia="en-AU"/>
              </w:rPr>
            </w:pPr>
          </w:p>
        </w:tc>
      </w:tr>
      <w:tr w:rsidR="00E25CC6" w:rsidRPr="004975B2" w:rsidTr="004975B2">
        <w:trPr>
          <w:cantSplit/>
        </w:trPr>
        <w:tc>
          <w:tcPr>
            <w:tcW w:w="3146" w:type="dxa"/>
            <w:tcBorders>
              <w:top w:val="nil"/>
              <w:left w:val="nil"/>
              <w:bottom w:val="nil"/>
              <w:right w:val="nil"/>
            </w:tcBorders>
          </w:tcPr>
          <w:p w:rsidR="00E25CC6" w:rsidRPr="00697A95" w:rsidRDefault="00E25CC6" w:rsidP="005C02B0">
            <w:pPr>
              <w:pStyle w:val="OGTabText"/>
              <w:rPr>
                <w:lang w:eastAsia="en-AU"/>
              </w:rPr>
            </w:pPr>
            <w:r w:rsidRPr="00697A95">
              <w:rPr>
                <w:lang w:eastAsia="en-AU"/>
              </w:rPr>
              <w:t>Number of new households assisted to maintain or enter home ownership (including home renovation inspections as well as</w:t>
            </w:r>
            <w:r>
              <w:rPr>
                <w:lang w:eastAsia="en-AU"/>
              </w:rPr>
              <w:t> </w:t>
            </w:r>
            <w:r w:rsidRPr="00697A95">
              <w:rPr>
                <w:lang w:eastAsia="en-AU"/>
              </w:rPr>
              <w:t>loans)</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4 300</w:t>
            </w:r>
          </w:p>
        </w:tc>
        <w:tc>
          <w:tcPr>
            <w:tcW w:w="992"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4 300</w:t>
            </w:r>
          </w:p>
        </w:tc>
        <w:tc>
          <w:tcPr>
            <w:tcW w:w="907"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4 300</w:t>
            </w:r>
          </w:p>
        </w:tc>
        <w:tc>
          <w:tcPr>
            <w:tcW w:w="908" w:type="dxa"/>
            <w:tcBorders>
              <w:top w:val="nil"/>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4 120</w:t>
            </w:r>
          </w:p>
        </w:tc>
      </w:tr>
      <w:tr w:rsidR="00E25CC6" w:rsidRPr="004975B2" w:rsidTr="00A959A3">
        <w:trPr>
          <w:cantSplit/>
        </w:trPr>
        <w:tc>
          <w:tcPr>
            <w:tcW w:w="7767" w:type="dxa"/>
            <w:gridSpan w:val="6"/>
            <w:tcBorders>
              <w:top w:val="nil"/>
              <w:left w:val="nil"/>
              <w:bottom w:val="single" w:sz="6" w:space="0" w:color="auto"/>
              <w:right w:val="nil"/>
            </w:tcBorders>
          </w:tcPr>
          <w:p w:rsidR="00E25CC6" w:rsidRPr="00697A95" w:rsidRDefault="00E25CC6" w:rsidP="004B6770">
            <w:pPr>
              <w:pStyle w:val="OGNotes"/>
            </w:pPr>
            <w:r w:rsidRPr="00697A95">
              <w:t>This performance measure is proposed to be discontinued as the home renovation inspections program is ceasing.</w:t>
            </w:r>
          </w:p>
        </w:tc>
      </w:tr>
      <w:tr w:rsidR="00E25CC6" w:rsidRPr="004975B2" w:rsidTr="00A959A3">
        <w:trPr>
          <w:cantSplit/>
        </w:trPr>
        <w:tc>
          <w:tcPr>
            <w:tcW w:w="7767" w:type="dxa"/>
            <w:gridSpan w:val="6"/>
            <w:tcBorders>
              <w:top w:val="single" w:sz="6" w:space="0" w:color="auto"/>
              <w:left w:val="nil"/>
              <w:bottom w:val="single" w:sz="6" w:space="0" w:color="auto"/>
              <w:right w:val="nil"/>
            </w:tcBorders>
          </w:tcPr>
          <w:p w:rsidR="00E25CC6" w:rsidRPr="00697A95" w:rsidRDefault="00E25CC6" w:rsidP="00225D6C">
            <w:pPr>
              <w:pStyle w:val="OGHeading2"/>
              <w:rPr>
                <w:lang w:eastAsia="en-AU"/>
              </w:rPr>
            </w:pPr>
            <w:r w:rsidRPr="00697A95">
              <w:rPr>
                <w:lang w:eastAsia="en-AU"/>
              </w:rPr>
              <w:t>Office for Disability</w:t>
            </w:r>
          </w:p>
        </w:tc>
      </w:tr>
      <w:tr w:rsidR="00E25CC6" w:rsidRPr="004975B2" w:rsidTr="00A959A3">
        <w:trPr>
          <w:cantSplit/>
        </w:trPr>
        <w:tc>
          <w:tcPr>
            <w:tcW w:w="3146" w:type="dxa"/>
            <w:tcBorders>
              <w:top w:val="single" w:sz="6" w:space="0" w:color="auto"/>
              <w:left w:val="nil"/>
              <w:bottom w:val="nil"/>
              <w:right w:val="nil"/>
            </w:tcBorders>
          </w:tcPr>
          <w:p w:rsidR="00E25CC6" w:rsidRPr="00697A95" w:rsidRDefault="00E25CC6" w:rsidP="00225D6C">
            <w:pPr>
              <w:keepNext/>
              <w:autoSpaceDE w:val="0"/>
              <w:autoSpaceDN w:val="0"/>
              <w:adjustRightInd w:val="0"/>
              <w:spacing w:after="0"/>
              <w:ind w:left="227" w:hanging="227"/>
              <w:rPr>
                <w:rFonts w:ascii="Calibri" w:hAnsi="Calibri" w:cs="Calibri"/>
                <w:i/>
                <w:iCs/>
                <w:color w:val="000000"/>
                <w:sz w:val="19"/>
                <w:szCs w:val="22"/>
                <w:lang w:eastAsia="en-AU"/>
              </w:rPr>
            </w:pPr>
            <w:r w:rsidRPr="00697A95">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4975B2" w:rsidRDefault="00E25CC6" w:rsidP="00225D6C">
            <w:pPr>
              <w:keepNext/>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4975B2" w:rsidRDefault="00E25CC6" w:rsidP="00225D6C">
            <w:pPr>
              <w:keepNext/>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4975B2" w:rsidRDefault="00E25CC6" w:rsidP="00225D6C">
            <w:pPr>
              <w:keepNext/>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4975B2" w:rsidRDefault="00E25CC6" w:rsidP="00225D6C">
            <w:pPr>
              <w:keepNext/>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4975B2" w:rsidRDefault="00E25CC6" w:rsidP="00225D6C">
            <w:pPr>
              <w:keepNext/>
              <w:autoSpaceDE w:val="0"/>
              <w:autoSpaceDN w:val="0"/>
              <w:adjustRightInd w:val="0"/>
              <w:spacing w:after="0"/>
              <w:jc w:val="right"/>
              <w:rPr>
                <w:rFonts w:ascii="Calibri" w:hAnsi="Calibri" w:cs="Calibri"/>
                <w:color w:val="000000"/>
                <w:sz w:val="19"/>
                <w:szCs w:val="22"/>
                <w:lang w:eastAsia="en-AU"/>
              </w:rPr>
            </w:pPr>
          </w:p>
        </w:tc>
      </w:tr>
      <w:tr w:rsidR="00E25CC6" w:rsidRPr="004975B2" w:rsidTr="004975B2">
        <w:trPr>
          <w:cantSplit/>
        </w:trPr>
        <w:tc>
          <w:tcPr>
            <w:tcW w:w="3146" w:type="dxa"/>
            <w:tcBorders>
              <w:top w:val="nil"/>
              <w:left w:val="nil"/>
              <w:bottom w:val="nil"/>
              <w:right w:val="nil"/>
            </w:tcBorders>
          </w:tcPr>
          <w:p w:rsidR="00E25CC6" w:rsidRPr="00697A95" w:rsidRDefault="00E25CC6" w:rsidP="00225D6C">
            <w:pPr>
              <w:pStyle w:val="OGTabText"/>
              <w:keepNext/>
              <w:rPr>
                <w:lang w:eastAsia="en-AU"/>
              </w:rPr>
            </w:pPr>
            <w:r w:rsidRPr="00697A95">
              <w:rPr>
                <w:lang w:eastAsia="en-AU"/>
              </w:rPr>
              <w:t>Client satisfaction with advice provided</w:t>
            </w:r>
          </w:p>
        </w:tc>
        <w:tc>
          <w:tcPr>
            <w:tcW w:w="907" w:type="dxa"/>
            <w:tcBorders>
              <w:top w:val="nil"/>
              <w:left w:val="nil"/>
              <w:bottom w:val="nil"/>
              <w:right w:val="nil"/>
            </w:tcBorders>
          </w:tcPr>
          <w:p w:rsidR="00E25CC6" w:rsidRPr="004975B2" w:rsidRDefault="00E25CC6" w:rsidP="00225D6C">
            <w:pPr>
              <w:keepNext/>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4A6E40" w:rsidRDefault="00E25CC6" w:rsidP="00225D6C">
            <w:pPr>
              <w:keepNext/>
              <w:autoSpaceDE w:val="0"/>
              <w:autoSpaceDN w:val="0"/>
              <w:adjustRightInd w:val="0"/>
              <w:spacing w:after="0"/>
              <w:jc w:val="right"/>
              <w:rPr>
                <w:rFonts w:ascii="Calibri" w:hAnsi="Calibri" w:cs="Calibri"/>
                <w:color w:val="000000"/>
                <w:sz w:val="19"/>
                <w:szCs w:val="22"/>
                <w:lang w:eastAsia="en-AU"/>
              </w:rPr>
            </w:pPr>
            <w:r w:rsidRPr="004A6E40">
              <w:rPr>
                <w:rFonts w:ascii="Calibri" w:hAnsi="Calibri" w:cs="Calibri"/>
                <w:color w:val="000000"/>
                <w:sz w:val="19"/>
                <w:szCs w:val="22"/>
                <w:lang w:eastAsia="en-AU"/>
              </w:rPr>
              <w:t>100</w:t>
            </w:r>
          </w:p>
        </w:tc>
        <w:tc>
          <w:tcPr>
            <w:tcW w:w="992" w:type="dxa"/>
            <w:tcBorders>
              <w:top w:val="nil"/>
              <w:left w:val="nil"/>
              <w:bottom w:val="nil"/>
              <w:right w:val="nil"/>
            </w:tcBorders>
          </w:tcPr>
          <w:p w:rsidR="00E25CC6" w:rsidRPr="004A6E40" w:rsidRDefault="00E25CC6" w:rsidP="00225D6C">
            <w:pPr>
              <w:keepNext/>
              <w:autoSpaceDE w:val="0"/>
              <w:autoSpaceDN w:val="0"/>
              <w:adjustRightInd w:val="0"/>
              <w:spacing w:after="0"/>
              <w:jc w:val="right"/>
              <w:rPr>
                <w:rFonts w:ascii="Calibri" w:hAnsi="Calibri" w:cs="Calibri"/>
                <w:color w:val="000000"/>
                <w:sz w:val="19"/>
                <w:szCs w:val="22"/>
                <w:lang w:eastAsia="en-AU"/>
              </w:rPr>
            </w:pPr>
            <w:r w:rsidRPr="004A6E40">
              <w:rPr>
                <w:rFonts w:ascii="Calibri" w:hAnsi="Calibri" w:cs="Calibri"/>
                <w:color w:val="000000"/>
                <w:sz w:val="19"/>
                <w:szCs w:val="22"/>
                <w:lang w:eastAsia="en-AU"/>
              </w:rPr>
              <w:t>100</w:t>
            </w:r>
          </w:p>
        </w:tc>
        <w:tc>
          <w:tcPr>
            <w:tcW w:w="907" w:type="dxa"/>
            <w:tcBorders>
              <w:top w:val="nil"/>
              <w:left w:val="nil"/>
              <w:bottom w:val="nil"/>
              <w:right w:val="nil"/>
            </w:tcBorders>
          </w:tcPr>
          <w:p w:rsidR="00E25CC6" w:rsidRPr="004975B2" w:rsidRDefault="00E25CC6" w:rsidP="00225D6C">
            <w:pPr>
              <w:keepNext/>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100</w:t>
            </w:r>
          </w:p>
        </w:tc>
        <w:tc>
          <w:tcPr>
            <w:tcW w:w="908" w:type="dxa"/>
            <w:tcBorders>
              <w:top w:val="nil"/>
              <w:left w:val="nil"/>
              <w:bottom w:val="nil"/>
              <w:right w:val="nil"/>
            </w:tcBorders>
          </w:tcPr>
          <w:p w:rsidR="00E25CC6" w:rsidRPr="004975B2" w:rsidRDefault="00E25CC6" w:rsidP="00225D6C">
            <w:pPr>
              <w:keepNext/>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100</w:t>
            </w:r>
          </w:p>
        </w:tc>
      </w:tr>
      <w:tr w:rsidR="00E25CC6" w:rsidRPr="004975B2" w:rsidTr="00A959A3">
        <w:trPr>
          <w:cantSplit/>
        </w:trPr>
        <w:tc>
          <w:tcPr>
            <w:tcW w:w="7767" w:type="dxa"/>
            <w:gridSpan w:val="6"/>
            <w:tcBorders>
              <w:top w:val="nil"/>
              <w:left w:val="nil"/>
              <w:bottom w:val="single" w:sz="6" w:space="0" w:color="auto"/>
              <w:right w:val="nil"/>
            </w:tcBorders>
          </w:tcPr>
          <w:p w:rsidR="00E25CC6" w:rsidRPr="00697A95" w:rsidRDefault="00E25CC6" w:rsidP="00363D7A">
            <w:pPr>
              <w:pStyle w:val="OGNotes"/>
            </w:pPr>
            <w:r w:rsidRPr="00697A95">
              <w:t>This performance measure is proposed to be discontinued as it reflects activity relating to a completed program.</w:t>
            </w:r>
          </w:p>
        </w:tc>
      </w:tr>
      <w:tr w:rsidR="00E25CC6" w:rsidRPr="004975B2" w:rsidTr="00A959A3">
        <w:trPr>
          <w:cantSplit/>
        </w:trPr>
        <w:tc>
          <w:tcPr>
            <w:tcW w:w="7767" w:type="dxa"/>
            <w:gridSpan w:val="6"/>
            <w:tcBorders>
              <w:top w:val="single" w:sz="6" w:space="0" w:color="auto"/>
              <w:left w:val="nil"/>
              <w:bottom w:val="single" w:sz="6" w:space="0" w:color="auto"/>
              <w:right w:val="nil"/>
            </w:tcBorders>
          </w:tcPr>
          <w:p w:rsidR="00E25CC6" w:rsidRPr="00697A95" w:rsidRDefault="00E25CC6" w:rsidP="004975B2">
            <w:pPr>
              <w:pStyle w:val="OGHeading2"/>
              <w:rPr>
                <w:lang w:eastAsia="en-AU"/>
              </w:rPr>
            </w:pPr>
            <w:r w:rsidRPr="00697A95">
              <w:rPr>
                <w:lang w:eastAsia="en-AU"/>
              </w:rPr>
              <w:t>Sport and Recreation</w:t>
            </w:r>
          </w:p>
        </w:tc>
      </w:tr>
      <w:tr w:rsidR="00E25CC6" w:rsidRPr="004975B2" w:rsidTr="00A959A3">
        <w:trPr>
          <w:cantSplit/>
        </w:trPr>
        <w:tc>
          <w:tcPr>
            <w:tcW w:w="3146" w:type="dxa"/>
            <w:tcBorders>
              <w:top w:val="single" w:sz="6" w:space="0" w:color="auto"/>
              <w:left w:val="nil"/>
              <w:bottom w:val="nil"/>
              <w:right w:val="nil"/>
            </w:tcBorders>
          </w:tcPr>
          <w:p w:rsidR="00E25CC6" w:rsidRPr="004975B2" w:rsidRDefault="00E25CC6" w:rsidP="004975B2">
            <w:pPr>
              <w:autoSpaceDE w:val="0"/>
              <w:autoSpaceDN w:val="0"/>
              <w:adjustRightInd w:val="0"/>
              <w:spacing w:after="0"/>
              <w:ind w:left="227" w:hanging="227"/>
              <w:rPr>
                <w:rFonts w:ascii="Calibri" w:hAnsi="Calibri" w:cs="Calibri"/>
                <w:i/>
                <w:iCs/>
                <w:color w:val="000000"/>
                <w:sz w:val="19"/>
                <w:szCs w:val="22"/>
                <w:lang w:eastAsia="en-AU"/>
              </w:rPr>
            </w:pPr>
            <w:r w:rsidRPr="004975B2">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p>
        </w:tc>
      </w:tr>
      <w:tr w:rsidR="00E25CC6" w:rsidRPr="004975B2" w:rsidTr="001B64BD">
        <w:trPr>
          <w:cantSplit/>
        </w:trPr>
        <w:tc>
          <w:tcPr>
            <w:tcW w:w="3146" w:type="dxa"/>
            <w:tcBorders>
              <w:top w:val="nil"/>
              <w:left w:val="nil"/>
              <w:right w:val="nil"/>
            </w:tcBorders>
          </w:tcPr>
          <w:p w:rsidR="00E25CC6" w:rsidRPr="004975B2" w:rsidRDefault="00E25CC6" w:rsidP="004975B2">
            <w:pPr>
              <w:pStyle w:val="OGTabText"/>
              <w:rPr>
                <w:lang w:eastAsia="en-AU"/>
              </w:rPr>
            </w:pPr>
            <w:r w:rsidRPr="004975B2">
              <w:rPr>
                <w:lang w:eastAsia="en-AU"/>
              </w:rPr>
              <w:t>Sporting uniform grants: number approved</w:t>
            </w:r>
          </w:p>
        </w:tc>
        <w:tc>
          <w:tcPr>
            <w:tcW w:w="907" w:type="dxa"/>
            <w:tcBorders>
              <w:top w:val="nil"/>
              <w:left w:val="nil"/>
              <w:right w:val="nil"/>
            </w:tcBorders>
          </w:tcPr>
          <w:p w:rsidR="00E25CC6" w:rsidRPr="004975B2" w:rsidRDefault="00E25CC6" w:rsidP="004975B2">
            <w:pPr>
              <w:autoSpaceDE w:val="0"/>
              <w:autoSpaceDN w:val="0"/>
              <w:adjustRightInd w:val="0"/>
              <w:spacing w:after="0"/>
              <w:jc w:val="center"/>
              <w:rPr>
                <w:rFonts w:ascii="Calibri" w:hAnsi="Calibri" w:cs="Calibri"/>
                <w:color w:val="000000"/>
                <w:sz w:val="19"/>
                <w:szCs w:val="22"/>
                <w:lang w:eastAsia="en-AU"/>
              </w:rPr>
            </w:pPr>
            <w:r w:rsidRPr="004975B2">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300</w:t>
            </w:r>
          </w:p>
        </w:tc>
        <w:tc>
          <w:tcPr>
            <w:tcW w:w="992" w:type="dxa"/>
            <w:tcBorders>
              <w:top w:val="nil"/>
              <w:left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300</w:t>
            </w:r>
          </w:p>
        </w:tc>
        <w:tc>
          <w:tcPr>
            <w:tcW w:w="907" w:type="dxa"/>
            <w:tcBorders>
              <w:top w:val="nil"/>
              <w:left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600</w:t>
            </w:r>
          </w:p>
        </w:tc>
        <w:tc>
          <w:tcPr>
            <w:tcW w:w="908" w:type="dxa"/>
            <w:tcBorders>
              <w:top w:val="nil"/>
              <w:left w:val="nil"/>
              <w:right w:val="nil"/>
            </w:tcBorders>
          </w:tcPr>
          <w:p w:rsidR="00E25CC6" w:rsidRPr="004975B2" w:rsidRDefault="00E25CC6" w:rsidP="004975B2">
            <w:pPr>
              <w:autoSpaceDE w:val="0"/>
              <w:autoSpaceDN w:val="0"/>
              <w:adjustRightInd w:val="0"/>
              <w:spacing w:after="0"/>
              <w:jc w:val="right"/>
              <w:rPr>
                <w:rFonts w:ascii="Calibri" w:hAnsi="Calibri" w:cs="Calibri"/>
                <w:color w:val="000000"/>
                <w:sz w:val="19"/>
                <w:szCs w:val="22"/>
                <w:lang w:eastAsia="en-AU"/>
              </w:rPr>
            </w:pPr>
            <w:r w:rsidRPr="004975B2">
              <w:rPr>
                <w:rFonts w:ascii="Calibri" w:hAnsi="Calibri" w:cs="Calibri"/>
                <w:color w:val="000000"/>
                <w:sz w:val="19"/>
                <w:szCs w:val="22"/>
                <w:lang w:eastAsia="en-AU"/>
              </w:rPr>
              <w:t>618</w:t>
            </w:r>
          </w:p>
        </w:tc>
      </w:tr>
      <w:tr w:rsidR="00E25CC6" w:rsidRPr="004975B2" w:rsidTr="001B64BD">
        <w:trPr>
          <w:cantSplit/>
        </w:trPr>
        <w:tc>
          <w:tcPr>
            <w:tcW w:w="7767" w:type="dxa"/>
            <w:gridSpan w:val="6"/>
            <w:tcBorders>
              <w:top w:val="nil"/>
              <w:left w:val="nil"/>
              <w:bottom w:val="single" w:sz="12" w:space="0" w:color="auto"/>
              <w:right w:val="nil"/>
            </w:tcBorders>
          </w:tcPr>
          <w:p w:rsidR="00E25CC6" w:rsidRPr="004975B2" w:rsidRDefault="00E25CC6" w:rsidP="004975B2">
            <w:pPr>
              <w:pStyle w:val="OGNotes"/>
            </w:pPr>
            <w:r w:rsidRPr="004975B2">
              <w:t>This performance measure is proposed to be discontinued as it has been replaced by the 2016</w:t>
            </w:r>
            <w:r w:rsidRPr="00255F85">
              <w:noBreakHyphen/>
            </w:r>
            <w:r w:rsidRPr="004975B2">
              <w:t xml:space="preserve">17 performance measure </w:t>
            </w:r>
            <w:r>
              <w:t>‘</w:t>
            </w:r>
            <w:r w:rsidRPr="004975B2">
              <w:t>Sporting club grants: number approved</w:t>
            </w:r>
            <w:r>
              <w:t>’</w:t>
            </w:r>
            <w:r w:rsidRPr="004975B2">
              <w:t xml:space="preserve">. </w:t>
            </w:r>
          </w:p>
          <w:p w:rsidR="00E25CC6" w:rsidRPr="004975B2" w:rsidRDefault="00E25CC6" w:rsidP="00361290">
            <w:pPr>
              <w:pStyle w:val="OGNotes"/>
            </w:pPr>
            <w:r w:rsidRPr="004975B2">
              <w:t>The lower 2016</w:t>
            </w:r>
            <w:r w:rsidRPr="00255F85">
              <w:noBreakHyphen/>
            </w:r>
            <w:r w:rsidRPr="004975B2">
              <w:t xml:space="preserve">17 </w:t>
            </w:r>
            <w:r>
              <w:t>t</w:t>
            </w:r>
            <w:r w:rsidRPr="00AF58D1">
              <w:t>arget</w:t>
            </w:r>
            <w:r w:rsidRPr="004975B2">
              <w:t xml:space="preserve"> reflects the merger of the Sporting Uniform Grants Program into a broader Sporting Club Grants Program. The new program offers small grants to grassroots clubs for a range of purposes including uniforms or essential equipment. The 2015</w:t>
            </w:r>
            <w:r w:rsidRPr="00255F85">
              <w:noBreakHyphen/>
            </w:r>
            <w:r w:rsidRPr="004975B2">
              <w:t xml:space="preserve">16 </w:t>
            </w:r>
            <w:r>
              <w:t>e</w:t>
            </w:r>
            <w:r w:rsidRPr="00AF58D1">
              <w:t xml:space="preserve">xpected </w:t>
            </w:r>
            <w:r>
              <w:t>o</w:t>
            </w:r>
            <w:r w:rsidRPr="00AF58D1">
              <w:t>utcome</w:t>
            </w:r>
            <w:r w:rsidRPr="004975B2">
              <w:t xml:space="preserve"> is lower than the 2015</w:t>
            </w:r>
            <w:r w:rsidRPr="00255F85">
              <w:noBreakHyphen/>
            </w:r>
            <w:r w:rsidRPr="004975B2">
              <w:t xml:space="preserve">16 </w:t>
            </w:r>
            <w:r>
              <w:t>t</w:t>
            </w:r>
            <w:r w:rsidRPr="00AF58D1">
              <w:t>arget</w:t>
            </w:r>
            <w:r w:rsidRPr="004975B2">
              <w:t xml:space="preserve"> due to the new program offering other types of grants.</w:t>
            </w:r>
          </w:p>
        </w:tc>
      </w:tr>
    </w:tbl>
    <w:p w:rsidR="00E25CC6" w:rsidRDefault="00E25CC6" w:rsidP="00A959A3">
      <w:pPr>
        <w:pStyle w:val="Source"/>
        <w:rPr>
          <w:rFonts w:eastAsiaTheme="minorHAnsi"/>
        </w:rPr>
      </w:pPr>
      <w:r>
        <w:rPr>
          <w:rFonts w:eastAsiaTheme="minorHAnsi"/>
        </w:rPr>
        <w:t>Source: Department of Health and Human Services</w:t>
      </w:r>
    </w:p>
    <w:p w:rsidR="00E25CC6" w:rsidRDefault="00E25CC6">
      <w:pPr>
        <w:spacing w:after="0"/>
        <w:rPr>
          <w:rFonts w:ascii="Calibri" w:eastAsiaTheme="minorHAnsi" w:hAnsi="Calibri"/>
          <w:b/>
          <w:caps/>
          <w:sz w:val="26"/>
          <w:szCs w:val="22"/>
        </w:rPr>
      </w:pPr>
      <w:r>
        <w:rPr>
          <w:rFonts w:eastAsiaTheme="minorHAnsi"/>
        </w:rPr>
        <w:br w:type="page"/>
      </w:r>
    </w:p>
    <w:p w:rsidR="00E25CC6" w:rsidRDefault="00E25CC6" w:rsidP="0045210A">
      <w:pPr>
        <w:pStyle w:val="Heading1"/>
        <w:rPr>
          <w:rFonts w:eastAsiaTheme="minorHAnsi"/>
        </w:rPr>
      </w:pPr>
      <w:bookmarkStart w:id="116" w:name="_Toc449109452"/>
      <w:r>
        <w:rPr>
          <w:rFonts w:eastAsiaTheme="minorHAnsi"/>
        </w:rPr>
        <w:t>Department of Justice and Regulation</w:t>
      </w:r>
      <w:bookmarkEnd w:id="116"/>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E06772" w:rsidTr="00A959A3">
        <w:trPr>
          <w:cantSplit/>
          <w:tblHeader/>
        </w:trPr>
        <w:tc>
          <w:tcPr>
            <w:tcW w:w="3146" w:type="dxa"/>
            <w:tcBorders>
              <w:top w:val="nil"/>
              <w:left w:val="nil"/>
              <w:bottom w:val="single" w:sz="6" w:space="0" w:color="auto"/>
              <w:right w:val="nil"/>
            </w:tcBorders>
            <w:shd w:val="solid" w:color="000000" w:fill="auto"/>
            <w:vAlign w:val="bottom"/>
          </w:tcPr>
          <w:p w:rsidR="00E25CC6" w:rsidRPr="00E06772" w:rsidRDefault="00E25CC6" w:rsidP="00E06772">
            <w:pPr>
              <w:autoSpaceDE w:val="0"/>
              <w:autoSpaceDN w:val="0"/>
              <w:adjustRightInd w:val="0"/>
              <w:spacing w:after="0"/>
              <w:rPr>
                <w:rFonts w:ascii="Calibri" w:hAnsi="Calibri" w:cs="Calibri"/>
                <w:i/>
                <w:iCs/>
                <w:color w:val="FFFFFF"/>
                <w:sz w:val="19"/>
                <w:szCs w:val="22"/>
                <w:lang w:eastAsia="en-AU"/>
              </w:rPr>
            </w:pPr>
            <w:r w:rsidRPr="00E06772">
              <w:rPr>
                <w:rFonts w:ascii="Calibri" w:hAnsi="Calibri" w:cs="Calibri"/>
                <w:b/>
                <w:bCs/>
                <w:color w:val="FFFFFF"/>
                <w:sz w:val="19"/>
                <w:szCs w:val="22"/>
                <w:lang w:eastAsia="en-AU"/>
              </w:rPr>
              <w:t>Major outputs/deliverables</w:t>
            </w:r>
          </w:p>
          <w:p w:rsidR="00E25CC6" w:rsidRPr="00E06772" w:rsidRDefault="00E25CC6" w:rsidP="00E06772">
            <w:pPr>
              <w:autoSpaceDE w:val="0"/>
              <w:autoSpaceDN w:val="0"/>
              <w:adjustRightInd w:val="0"/>
              <w:spacing w:after="0"/>
              <w:rPr>
                <w:rFonts w:ascii="Calibri" w:hAnsi="Calibri" w:cs="Calibri"/>
                <w:i/>
                <w:iCs/>
                <w:color w:val="FFFFFF"/>
                <w:sz w:val="19"/>
                <w:szCs w:val="22"/>
                <w:lang w:eastAsia="en-AU"/>
              </w:rPr>
            </w:pPr>
            <w:r w:rsidRPr="00E06772">
              <w:rPr>
                <w:rFonts w:ascii="Calibri" w:hAnsi="Calibri" w:cs="Calibri"/>
                <w:i/>
                <w:iCs/>
                <w:color w:val="FFFFFF"/>
                <w:sz w:val="19"/>
                <w:szCs w:val="22"/>
                <w:lang w:eastAsia="en-AU"/>
              </w:rPr>
              <w:t>Performance measures</w:t>
            </w:r>
          </w:p>
        </w:tc>
        <w:tc>
          <w:tcPr>
            <w:tcW w:w="907" w:type="dxa"/>
            <w:tcBorders>
              <w:top w:val="nil"/>
              <w:left w:val="nil"/>
              <w:bottom w:val="single" w:sz="6" w:space="0" w:color="auto"/>
              <w:right w:val="nil"/>
            </w:tcBorders>
            <w:shd w:val="solid" w:color="000000" w:fill="auto"/>
            <w:vAlign w:val="bottom"/>
          </w:tcPr>
          <w:p w:rsidR="00E25CC6" w:rsidRPr="00E06772" w:rsidRDefault="00E25CC6" w:rsidP="00E06772">
            <w:pPr>
              <w:autoSpaceDE w:val="0"/>
              <w:autoSpaceDN w:val="0"/>
              <w:adjustRightInd w:val="0"/>
              <w:spacing w:after="0"/>
              <w:jc w:val="center"/>
              <w:rPr>
                <w:rFonts w:ascii="Calibri" w:hAnsi="Calibri" w:cs="Calibri"/>
                <w:i/>
                <w:iCs/>
                <w:color w:val="FFFFFF"/>
                <w:sz w:val="19"/>
                <w:szCs w:val="22"/>
                <w:lang w:eastAsia="en-AU"/>
              </w:rPr>
            </w:pPr>
            <w:r w:rsidRPr="00E06772">
              <w:rPr>
                <w:rFonts w:ascii="Calibri" w:hAnsi="Calibri" w:cs="Calibri"/>
                <w:i/>
                <w:iCs/>
                <w:color w:val="FFFFFF"/>
                <w:sz w:val="19"/>
                <w:szCs w:val="22"/>
                <w:lang w:eastAsia="en-AU"/>
              </w:rPr>
              <w:t>Unit of measure</w:t>
            </w:r>
          </w:p>
        </w:tc>
        <w:tc>
          <w:tcPr>
            <w:tcW w:w="907" w:type="dxa"/>
            <w:tcBorders>
              <w:top w:val="nil"/>
              <w:left w:val="nil"/>
              <w:bottom w:val="single" w:sz="6" w:space="0" w:color="auto"/>
              <w:right w:val="nil"/>
            </w:tcBorders>
            <w:shd w:val="solid" w:color="000000" w:fill="auto"/>
            <w:vAlign w:val="bottom"/>
          </w:tcPr>
          <w:p w:rsidR="00E25CC6" w:rsidRPr="00E06772" w:rsidRDefault="00E25CC6" w:rsidP="00E06772">
            <w:pPr>
              <w:autoSpaceDE w:val="0"/>
              <w:autoSpaceDN w:val="0"/>
              <w:adjustRightInd w:val="0"/>
              <w:spacing w:after="0"/>
              <w:jc w:val="right"/>
              <w:rPr>
                <w:rFonts w:ascii="Calibri" w:hAnsi="Calibri" w:cs="Calibri"/>
                <w:i/>
                <w:iCs/>
                <w:color w:val="FFFFFF"/>
                <w:sz w:val="19"/>
                <w:szCs w:val="22"/>
                <w:lang w:eastAsia="en-AU"/>
              </w:rPr>
            </w:pPr>
            <w:r w:rsidRPr="00E06772">
              <w:rPr>
                <w:rFonts w:ascii="Calibri" w:hAnsi="Calibri" w:cs="Calibri"/>
                <w:i/>
                <w:iCs/>
                <w:color w:val="FFFFFF"/>
                <w:sz w:val="19"/>
                <w:szCs w:val="22"/>
                <w:lang w:eastAsia="en-AU"/>
              </w:rPr>
              <w:t>2016</w:t>
            </w:r>
            <w:r w:rsidRPr="00255F85">
              <w:rPr>
                <w:rFonts w:ascii="Calibri" w:hAnsi="Calibri" w:cs="Calibri"/>
                <w:i/>
                <w:iCs/>
                <w:color w:val="FFFFFF"/>
                <w:sz w:val="19"/>
                <w:szCs w:val="22"/>
                <w:lang w:eastAsia="en-AU"/>
              </w:rPr>
              <w:noBreakHyphen/>
            </w:r>
            <w:r w:rsidRPr="00E06772">
              <w:rPr>
                <w:rFonts w:ascii="Calibri" w:hAnsi="Calibri" w:cs="Calibri"/>
                <w:i/>
                <w:iCs/>
                <w:color w:val="FFFFFF"/>
                <w:sz w:val="19"/>
                <w:szCs w:val="22"/>
                <w:lang w:eastAsia="en-AU"/>
              </w:rPr>
              <w:t>17 target</w:t>
            </w:r>
          </w:p>
        </w:tc>
        <w:tc>
          <w:tcPr>
            <w:tcW w:w="992" w:type="dxa"/>
            <w:tcBorders>
              <w:top w:val="nil"/>
              <w:left w:val="nil"/>
              <w:bottom w:val="single" w:sz="6" w:space="0" w:color="auto"/>
              <w:right w:val="nil"/>
            </w:tcBorders>
            <w:shd w:val="solid" w:color="000000" w:fill="auto"/>
            <w:vAlign w:val="bottom"/>
          </w:tcPr>
          <w:p w:rsidR="00E25CC6" w:rsidRPr="00E06772" w:rsidRDefault="00E25CC6" w:rsidP="00E06772">
            <w:pPr>
              <w:autoSpaceDE w:val="0"/>
              <w:autoSpaceDN w:val="0"/>
              <w:adjustRightInd w:val="0"/>
              <w:spacing w:after="0"/>
              <w:jc w:val="right"/>
              <w:rPr>
                <w:rFonts w:ascii="Calibri" w:hAnsi="Calibri" w:cs="Calibri"/>
                <w:i/>
                <w:iCs/>
                <w:color w:val="FFFFFF"/>
                <w:sz w:val="19"/>
                <w:szCs w:val="22"/>
                <w:lang w:eastAsia="en-AU"/>
              </w:rPr>
            </w:pPr>
            <w:r w:rsidRPr="00E06772">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E06772">
              <w:rPr>
                <w:rFonts w:ascii="Calibri" w:hAnsi="Calibri" w:cs="Calibri"/>
                <w:i/>
                <w:iCs/>
                <w:color w:val="FFFFFF"/>
                <w:sz w:val="19"/>
                <w:szCs w:val="22"/>
                <w:lang w:eastAsia="en-AU"/>
              </w:rPr>
              <w:t>16 expected outcome</w:t>
            </w:r>
          </w:p>
        </w:tc>
        <w:tc>
          <w:tcPr>
            <w:tcW w:w="907" w:type="dxa"/>
            <w:tcBorders>
              <w:top w:val="nil"/>
              <w:left w:val="nil"/>
              <w:bottom w:val="single" w:sz="6" w:space="0" w:color="auto"/>
              <w:right w:val="nil"/>
            </w:tcBorders>
            <w:shd w:val="solid" w:color="000000" w:fill="auto"/>
            <w:vAlign w:val="bottom"/>
          </w:tcPr>
          <w:p w:rsidR="00E25CC6" w:rsidRPr="00E06772" w:rsidRDefault="00E25CC6" w:rsidP="00E06772">
            <w:pPr>
              <w:autoSpaceDE w:val="0"/>
              <w:autoSpaceDN w:val="0"/>
              <w:adjustRightInd w:val="0"/>
              <w:spacing w:after="0"/>
              <w:jc w:val="right"/>
              <w:rPr>
                <w:rFonts w:ascii="Calibri" w:hAnsi="Calibri" w:cs="Calibri"/>
                <w:i/>
                <w:iCs/>
                <w:color w:val="FFFFFF"/>
                <w:sz w:val="19"/>
                <w:szCs w:val="22"/>
                <w:lang w:eastAsia="en-AU"/>
              </w:rPr>
            </w:pPr>
            <w:r w:rsidRPr="00E06772">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E06772">
              <w:rPr>
                <w:rFonts w:ascii="Calibri" w:hAnsi="Calibri" w:cs="Calibri"/>
                <w:i/>
                <w:iCs/>
                <w:color w:val="FFFFFF"/>
                <w:sz w:val="19"/>
                <w:szCs w:val="22"/>
                <w:lang w:eastAsia="en-AU"/>
              </w:rPr>
              <w:t>16 target</w:t>
            </w:r>
          </w:p>
        </w:tc>
        <w:tc>
          <w:tcPr>
            <w:tcW w:w="908" w:type="dxa"/>
            <w:tcBorders>
              <w:top w:val="nil"/>
              <w:left w:val="nil"/>
              <w:bottom w:val="single" w:sz="6" w:space="0" w:color="auto"/>
              <w:right w:val="nil"/>
            </w:tcBorders>
            <w:shd w:val="solid" w:color="000000" w:fill="auto"/>
            <w:vAlign w:val="bottom"/>
          </w:tcPr>
          <w:p w:rsidR="00E25CC6" w:rsidRPr="00E06772" w:rsidRDefault="00E25CC6" w:rsidP="00E06772">
            <w:pPr>
              <w:autoSpaceDE w:val="0"/>
              <w:autoSpaceDN w:val="0"/>
              <w:adjustRightInd w:val="0"/>
              <w:spacing w:after="0"/>
              <w:jc w:val="right"/>
              <w:rPr>
                <w:rFonts w:ascii="Calibri" w:hAnsi="Calibri" w:cs="Calibri"/>
                <w:i/>
                <w:iCs/>
                <w:color w:val="FFFFFF"/>
                <w:sz w:val="19"/>
                <w:szCs w:val="22"/>
                <w:lang w:eastAsia="en-AU"/>
              </w:rPr>
            </w:pPr>
            <w:r w:rsidRPr="00E06772">
              <w:rPr>
                <w:rFonts w:ascii="Calibri" w:hAnsi="Calibri" w:cs="Calibri"/>
                <w:i/>
                <w:iCs/>
                <w:color w:val="FFFFFF"/>
                <w:sz w:val="19"/>
                <w:szCs w:val="22"/>
                <w:lang w:eastAsia="en-AU"/>
              </w:rPr>
              <w:t>2014</w:t>
            </w:r>
            <w:r w:rsidRPr="00255F85">
              <w:rPr>
                <w:rFonts w:ascii="Calibri" w:hAnsi="Calibri" w:cs="Calibri"/>
                <w:i/>
                <w:iCs/>
                <w:color w:val="FFFFFF"/>
                <w:sz w:val="19"/>
                <w:szCs w:val="22"/>
                <w:lang w:eastAsia="en-AU"/>
              </w:rPr>
              <w:noBreakHyphen/>
            </w:r>
            <w:r w:rsidRPr="00E06772">
              <w:rPr>
                <w:rFonts w:ascii="Calibri" w:hAnsi="Calibri" w:cs="Calibri"/>
                <w:i/>
                <w:iCs/>
                <w:color w:val="FFFFFF"/>
                <w:sz w:val="19"/>
                <w:szCs w:val="22"/>
                <w:lang w:eastAsia="en-AU"/>
              </w:rPr>
              <w:t>15 actual</w:t>
            </w:r>
          </w:p>
        </w:tc>
      </w:tr>
      <w:tr w:rsidR="00E25CC6" w:rsidRPr="00E06772" w:rsidTr="00A959A3">
        <w:trPr>
          <w:cantSplit/>
        </w:trPr>
        <w:tc>
          <w:tcPr>
            <w:tcW w:w="7767" w:type="dxa"/>
            <w:gridSpan w:val="6"/>
            <w:tcBorders>
              <w:top w:val="single" w:sz="6" w:space="0" w:color="auto"/>
              <w:left w:val="nil"/>
              <w:bottom w:val="single" w:sz="6" w:space="0" w:color="auto"/>
              <w:right w:val="nil"/>
            </w:tcBorders>
          </w:tcPr>
          <w:p w:rsidR="00E25CC6" w:rsidRPr="00E06772" w:rsidRDefault="00E25CC6" w:rsidP="00E06772">
            <w:pPr>
              <w:pStyle w:val="OGHeading2"/>
              <w:rPr>
                <w:lang w:eastAsia="en-AU"/>
              </w:rPr>
            </w:pPr>
            <w:r w:rsidRPr="00E06772">
              <w:rPr>
                <w:lang w:eastAsia="en-AU"/>
              </w:rPr>
              <w:t>Access to Justice and Support Services</w:t>
            </w:r>
          </w:p>
        </w:tc>
      </w:tr>
      <w:tr w:rsidR="00E25CC6" w:rsidRPr="00E06772" w:rsidTr="00A959A3">
        <w:trPr>
          <w:cantSplit/>
        </w:trPr>
        <w:tc>
          <w:tcPr>
            <w:tcW w:w="3146" w:type="dxa"/>
            <w:tcBorders>
              <w:top w:val="single" w:sz="6" w:space="0" w:color="auto"/>
              <w:left w:val="nil"/>
              <w:bottom w:val="nil"/>
              <w:right w:val="nil"/>
            </w:tcBorders>
          </w:tcPr>
          <w:p w:rsidR="00E25CC6" w:rsidRPr="00E06772" w:rsidRDefault="00E25CC6" w:rsidP="00E06772">
            <w:pPr>
              <w:autoSpaceDE w:val="0"/>
              <w:autoSpaceDN w:val="0"/>
              <w:adjustRightInd w:val="0"/>
              <w:spacing w:after="0"/>
              <w:ind w:left="227" w:hanging="227"/>
              <w:rPr>
                <w:rFonts w:ascii="Calibri" w:hAnsi="Calibri" w:cs="Calibri"/>
                <w:i/>
                <w:iCs/>
                <w:color w:val="000000"/>
                <w:sz w:val="19"/>
                <w:szCs w:val="22"/>
                <w:lang w:eastAsia="en-AU"/>
              </w:rPr>
            </w:pPr>
            <w:r w:rsidRPr="00E06772">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E06772" w:rsidRDefault="00E25CC6" w:rsidP="00E06772">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p>
        </w:tc>
      </w:tr>
      <w:tr w:rsidR="00E25CC6" w:rsidRPr="00E06772" w:rsidTr="00E06772">
        <w:trPr>
          <w:cantSplit/>
        </w:trPr>
        <w:tc>
          <w:tcPr>
            <w:tcW w:w="3146" w:type="dxa"/>
            <w:tcBorders>
              <w:top w:val="nil"/>
              <w:left w:val="nil"/>
              <w:right w:val="nil"/>
            </w:tcBorders>
          </w:tcPr>
          <w:p w:rsidR="00E25CC6" w:rsidRPr="00E06772" w:rsidRDefault="00E25CC6" w:rsidP="00E06772">
            <w:pPr>
              <w:pStyle w:val="OGTabText"/>
              <w:rPr>
                <w:lang w:eastAsia="en-AU"/>
              </w:rPr>
            </w:pPr>
            <w:r w:rsidRPr="00E06772">
              <w:rPr>
                <w:lang w:eastAsia="en-AU"/>
              </w:rPr>
              <w:t>Victims receiving a service from the Victims of Crime Helpline, Victims Assistance and Counselling Program and Victims Register</w:t>
            </w:r>
          </w:p>
        </w:tc>
        <w:tc>
          <w:tcPr>
            <w:tcW w:w="907" w:type="dxa"/>
            <w:tcBorders>
              <w:top w:val="nil"/>
              <w:left w:val="nil"/>
              <w:right w:val="nil"/>
            </w:tcBorders>
          </w:tcPr>
          <w:p w:rsidR="00E25CC6" w:rsidRPr="00E06772" w:rsidRDefault="00E25CC6" w:rsidP="00E06772">
            <w:pPr>
              <w:autoSpaceDE w:val="0"/>
              <w:autoSpaceDN w:val="0"/>
              <w:adjustRightInd w:val="0"/>
              <w:spacing w:after="0"/>
              <w:jc w:val="center"/>
              <w:rPr>
                <w:rFonts w:ascii="Calibri" w:hAnsi="Calibri" w:cs="Calibri"/>
                <w:color w:val="000000"/>
                <w:sz w:val="19"/>
                <w:szCs w:val="22"/>
                <w:lang w:eastAsia="en-AU"/>
              </w:rPr>
            </w:pPr>
            <w:r w:rsidRPr="00E06772">
              <w:rPr>
                <w:rFonts w:ascii="Calibri" w:hAnsi="Calibri" w:cs="Calibri"/>
                <w:color w:val="000000"/>
                <w:sz w:val="19"/>
                <w:szCs w:val="22"/>
                <w:lang w:eastAsia="en-AU"/>
              </w:rPr>
              <w:t>number</w:t>
            </w:r>
          </w:p>
        </w:tc>
        <w:tc>
          <w:tcPr>
            <w:tcW w:w="907" w:type="dxa"/>
            <w:tcBorders>
              <w:top w:val="nil"/>
              <w:left w:val="nil"/>
              <w:right w:val="nil"/>
            </w:tcBorders>
            <w:shd w:val="clear" w:color="auto" w:fill="DCDCDC"/>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30 000</w:t>
            </w:r>
          </w:p>
        </w:tc>
        <w:tc>
          <w:tcPr>
            <w:tcW w:w="992" w:type="dxa"/>
            <w:tcBorders>
              <w:top w:val="nil"/>
              <w:left w:val="nil"/>
              <w:right w:val="nil"/>
            </w:tcBorders>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30 000</w:t>
            </w:r>
          </w:p>
        </w:tc>
        <w:tc>
          <w:tcPr>
            <w:tcW w:w="907" w:type="dxa"/>
            <w:tcBorders>
              <w:top w:val="nil"/>
              <w:left w:val="nil"/>
              <w:right w:val="nil"/>
            </w:tcBorders>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21 000</w:t>
            </w:r>
          </w:p>
        </w:tc>
        <w:tc>
          <w:tcPr>
            <w:tcW w:w="908" w:type="dxa"/>
            <w:tcBorders>
              <w:top w:val="nil"/>
              <w:left w:val="nil"/>
              <w:right w:val="nil"/>
            </w:tcBorders>
          </w:tcPr>
          <w:p w:rsidR="00E25CC6" w:rsidRPr="00E06772" w:rsidRDefault="00E25CC6" w:rsidP="00E06772">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24 950</w:t>
            </w:r>
          </w:p>
        </w:tc>
      </w:tr>
      <w:tr w:rsidR="00E25CC6" w:rsidRPr="00E06772" w:rsidTr="00E06772">
        <w:trPr>
          <w:cantSplit/>
        </w:trPr>
        <w:tc>
          <w:tcPr>
            <w:tcW w:w="7767" w:type="dxa"/>
            <w:gridSpan w:val="6"/>
            <w:tcBorders>
              <w:top w:val="nil"/>
              <w:left w:val="nil"/>
              <w:bottom w:val="single" w:sz="12" w:space="0" w:color="auto"/>
              <w:right w:val="nil"/>
            </w:tcBorders>
          </w:tcPr>
          <w:p w:rsidR="00E25CC6" w:rsidRPr="00E06772" w:rsidRDefault="00E25CC6" w:rsidP="00E06772">
            <w:pPr>
              <w:pStyle w:val="OGNotes"/>
            </w:pPr>
            <w:r w:rsidRPr="00E06772">
              <w:t>This performance measure is proposed to be discontinued in 2016</w:t>
            </w:r>
            <w:r w:rsidRPr="00255F85">
              <w:noBreakHyphen/>
            </w:r>
            <w:r w:rsidRPr="00E06772">
              <w:t>17 as it has been disaggregated into two new performance measures for increased transparency of services delivered to victims. The two new performance measures are:</w:t>
            </w:r>
          </w:p>
          <w:p w:rsidR="00E25CC6" w:rsidRPr="00E06772" w:rsidRDefault="00E25CC6" w:rsidP="005E5556">
            <w:pPr>
              <w:pStyle w:val="OGNotes"/>
              <w:tabs>
                <w:tab w:val="left" w:pos="566"/>
              </w:tabs>
              <w:ind w:left="585" w:hanging="225"/>
            </w:pPr>
            <w:r w:rsidRPr="00E06772">
              <w:t>•</w:t>
            </w:r>
            <w:r>
              <w:tab/>
            </w:r>
            <w:r w:rsidRPr="00E06772">
              <w:t>Victims receiving a service from the Victims of Crime Helpline, Victims Register, Youth Justice Group Conferencing</w:t>
            </w:r>
            <w:r>
              <w:t xml:space="preserve"> and</w:t>
            </w:r>
            <w:r w:rsidRPr="00E06772">
              <w:t xml:space="preserve"> Vi</w:t>
            </w:r>
            <w:r>
              <w:t>ctims Support (VSA)</w:t>
            </w:r>
          </w:p>
          <w:p w:rsidR="00E25CC6" w:rsidRPr="00E06772" w:rsidRDefault="00E25CC6" w:rsidP="005E5556">
            <w:pPr>
              <w:pStyle w:val="OGNotes"/>
              <w:tabs>
                <w:tab w:val="left" w:pos="566"/>
              </w:tabs>
              <w:ind w:left="585" w:hanging="225"/>
            </w:pPr>
            <w:r w:rsidRPr="00E06772">
              <w:t>•</w:t>
            </w:r>
            <w:r>
              <w:tab/>
            </w:r>
            <w:r w:rsidRPr="00E06772">
              <w:t>Victims receiving a service from the Victims Assistance Program (VSA)</w:t>
            </w:r>
          </w:p>
          <w:p w:rsidR="00E25CC6" w:rsidRPr="00E06772" w:rsidRDefault="00E25CC6" w:rsidP="00E06772">
            <w:pPr>
              <w:pStyle w:val="OGNotes"/>
            </w:pPr>
            <w:r w:rsidRPr="00E06772">
              <w:t>Together, the two new measures report on the same activity as the previous measure.</w:t>
            </w:r>
          </w:p>
          <w:p w:rsidR="00E25CC6" w:rsidRPr="00E06772" w:rsidRDefault="00E25CC6" w:rsidP="0063785B">
            <w:pPr>
              <w:pStyle w:val="OGNotes"/>
            </w:pPr>
            <w:r w:rsidRPr="00E06772">
              <w:t>The 2015</w:t>
            </w:r>
            <w:r w:rsidRPr="00255F85">
              <w:noBreakHyphen/>
            </w:r>
            <w:r w:rsidRPr="00E06772">
              <w:t>16 expected outcome is higher than the 2015</w:t>
            </w:r>
            <w:r w:rsidRPr="00255F85">
              <w:noBreakHyphen/>
            </w:r>
            <w:r w:rsidRPr="00E06772">
              <w:t>16 target due to strong demand for Helpline services and e</w:t>
            </w:r>
            <w:r w:rsidRPr="00255F85">
              <w:noBreakHyphen/>
            </w:r>
            <w:r w:rsidRPr="00E06772">
              <w:t>referrals, particularly in regard to male family violence. The 2016</w:t>
            </w:r>
            <w:r w:rsidRPr="00255F85">
              <w:noBreakHyphen/>
            </w:r>
            <w:r w:rsidRPr="00E06772">
              <w:t>17 target has been adjusted accordingly.</w:t>
            </w:r>
          </w:p>
        </w:tc>
      </w:tr>
    </w:tbl>
    <w:p w:rsidR="00E25CC6" w:rsidRDefault="00E25CC6" w:rsidP="00A959A3">
      <w:pPr>
        <w:pStyle w:val="Source"/>
        <w:rPr>
          <w:rFonts w:eastAsiaTheme="minorHAnsi"/>
        </w:rPr>
      </w:pPr>
      <w:r>
        <w:rPr>
          <w:rFonts w:eastAsiaTheme="minorHAnsi"/>
        </w:rPr>
        <w:t>Source: Department of Justice and Regulation</w:t>
      </w:r>
    </w:p>
    <w:p w:rsidR="00E25CC6" w:rsidRDefault="00E25CC6">
      <w:pPr>
        <w:spacing w:after="0"/>
        <w:rPr>
          <w:rFonts w:ascii="Calibri" w:eastAsiaTheme="minorHAnsi" w:hAnsi="Calibri"/>
          <w:b/>
          <w:caps/>
          <w:sz w:val="26"/>
          <w:szCs w:val="22"/>
        </w:rPr>
      </w:pPr>
      <w:r>
        <w:rPr>
          <w:rFonts w:eastAsiaTheme="minorHAnsi"/>
        </w:rPr>
        <w:br w:type="page"/>
      </w:r>
    </w:p>
    <w:p w:rsidR="00E25CC6" w:rsidRDefault="00E25CC6" w:rsidP="0045210A">
      <w:pPr>
        <w:pStyle w:val="Heading1"/>
        <w:rPr>
          <w:rFonts w:eastAsiaTheme="minorHAnsi"/>
        </w:rPr>
      </w:pPr>
      <w:bookmarkStart w:id="117" w:name="_Toc449109453"/>
      <w:r>
        <w:rPr>
          <w:rFonts w:eastAsiaTheme="minorHAnsi"/>
        </w:rPr>
        <w:t>Department of Premier and Cabinet</w:t>
      </w:r>
      <w:bookmarkEnd w:id="117"/>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2C33F2" w:rsidTr="00A959A3">
        <w:trPr>
          <w:cantSplit/>
          <w:tblHeader/>
        </w:trPr>
        <w:tc>
          <w:tcPr>
            <w:tcW w:w="3146" w:type="dxa"/>
            <w:tcBorders>
              <w:top w:val="nil"/>
              <w:left w:val="nil"/>
              <w:bottom w:val="single" w:sz="6" w:space="0" w:color="auto"/>
              <w:right w:val="nil"/>
            </w:tcBorders>
            <w:shd w:val="solid" w:color="000000" w:fill="auto"/>
            <w:vAlign w:val="bottom"/>
          </w:tcPr>
          <w:p w:rsidR="00E25CC6" w:rsidRPr="002C33F2" w:rsidRDefault="00E25CC6" w:rsidP="002C33F2">
            <w:pPr>
              <w:autoSpaceDE w:val="0"/>
              <w:autoSpaceDN w:val="0"/>
              <w:adjustRightInd w:val="0"/>
              <w:spacing w:after="0"/>
              <w:rPr>
                <w:rFonts w:ascii="Calibri" w:hAnsi="Calibri" w:cs="Calibri"/>
                <w:i/>
                <w:iCs/>
                <w:color w:val="FFFFFF"/>
                <w:sz w:val="19"/>
                <w:szCs w:val="22"/>
                <w:lang w:eastAsia="en-AU"/>
              </w:rPr>
            </w:pPr>
            <w:r w:rsidRPr="002C33F2">
              <w:rPr>
                <w:rFonts w:ascii="Calibri" w:hAnsi="Calibri" w:cs="Calibri"/>
                <w:b/>
                <w:bCs/>
                <w:color w:val="FFFFFF"/>
                <w:sz w:val="19"/>
                <w:szCs w:val="22"/>
                <w:lang w:eastAsia="en-AU"/>
              </w:rPr>
              <w:t>Major outputs/deliverables</w:t>
            </w:r>
          </w:p>
          <w:p w:rsidR="00E25CC6" w:rsidRPr="002C33F2" w:rsidRDefault="00E25CC6" w:rsidP="002C33F2">
            <w:pPr>
              <w:autoSpaceDE w:val="0"/>
              <w:autoSpaceDN w:val="0"/>
              <w:adjustRightInd w:val="0"/>
              <w:spacing w:after="0"/>
              <w:rPr>
                <w:rFonts w:ascii="Calibri" w:hAnsi="Calibri" w:cs="Calibri"/>
                <w:i/>
                <w:iCs/>
                <w:color w:val="FFFFFF"/>
                <w:sz w:val="19"/>
                <w:szCs w:val="22"/>
                <w:lang w:eastAsia="en-AU"/>
              </w:rPr>
            </w:pPr>
            <w:r w:rsidRPr="002C33F2">
              <w:rPr>
                <w:rFonts w:ascii="Calibri" w:hAnsi="Calibri" w:cs="Calibri"/>
                <w:i/>
                <w:iCs/>
                <w:color w:val="FFFFFF"/>
                <w:sz w:val="19"/>
                <w:szCs w:val="22"/>
                <w:lang w:eastAsia="en-AU"/>
              </w:rPr>
              <w:t>Performance measures</w:t>
            </w:r>
          </w:p>
        </w:tc>
        <w:tc>
          <w:tcPr>
            <w:tcW w:w="907" w:type="dxa"/>
            <w:tcBorders>
              <w:top w:val="nil"/>
              <w:left w:val="nil"/>
              <w:bottom w:val="single" w:sz="6" w:space="0" w:color="auto"/>
              <w:right w:val="nil"/>
            </w:tcBorders>
            <w:shd w:val="solid" w:color="000000" w:fill="auto"/>
            <w:vAlign w:val="bottom"/>
          </w:tcPr>
          <w:p w:rsidR="00E25CC6" w:rsidRPr="002C33F2" w:rsidRDefault="00E25CC6" w:rsidP="002C33F2">
            <w:pPr>
              <w:autoSpaceDE w:val="0"/>
              <w:autoSpaceDN w:val="0"/>
              <w:adjustRightInd w:val="0"/>
              <w:spacing w:after="0"/>
              <w:jc w:val="center"/>
              <w:rPr>
                <w:rFonts w:ascii="Calibri" w:hAnsi="Calibri" w:cs="Calibri"/>
                <w:i/>
                <w:iCs/>
                <w:color w:val="FFFFFF"/>
                <w:sz w:val="19"/>
                <w:szCs w:val="22"/>
                <w:lang w:eastAsia="en-AU"/>
              </w:rPr>
            </w:pPr>
            <w:r w:rsidRPr="002C33F2">
              <w:rPr>
                <w:rFonts w:ascii="Calibri" w:hAnsi="Calibri" w:cs="Calibri"/>
                <w:i/>
                <w:iCs/>
                <w:color w:val="FFFFFF"/>
                <w:sz w:val="19"/>
                <w:szCs w:val="22"/>
                <w:lang w:eastAsia="en-AU"/>
              </w:rPr>
              <w:t>Unit of measure</w:t>
            </w:r>
          </w:p>
        </w:tc>
        <w:tc>
          <w:tcPr>
            <w:tcW w:w="907" w:type="dxa"/>
            <w:tcBorders>
              <w:top w:val="nil"/>
              <w:left w:val="nil"/>
              <w:bottom w:val="single" w:sz="6" w:space="0" w:color="auto"/>
              <w:right w:val="nil"/>
            </w:tcBorders>
            <w:shd w:val="solid" w:color="000000" w:fill="auto"/>
            <w:vAlign w:val="bottom"/>
          </w:tcPr>
          <w:p w:rsidR="00E25CC6" w:rsidRPr="002C33F2" w:rsidRDefault="00E25CC6" w:rsidP="002C33F2">
            <w:pPr>
              <w:autoSpaceDE w:val="0"/>
              <w:autoSpaceDN w:val="0"/>
              <w:adjustRightInd w:val="0"/>
              <w:spacing w:after="0"/>
              <w:jc w:val="right"/>
              <w:rPr>
                <w:rFonts w:ascii="Calibri" w:hAnsi="Calibri" w:cs="Calibri"/>
                <w:i/>
                <w:iCs/>
                <w:color w:val="FFFFFF"/>
                <w:sz w:val="19"/>
                <w:szCs w:val="22"/>
                <w:lang w:eastAsia="en-AU"/>
              </w:rPr>
            </w:pPr>
            <w:r w:rsidRPr="002C33F2">
              <w:rPr>
                <w:rFonts w:ascii="Calibri" w:hAnsi="Calibri" w:cs="Calibri"/>
                <w:i/>
                <w:iCs/>
                <w:color w:val="FFFFFF"/>
                <w:sz w:val="19"/>
                <w:szCs w:val="22"/>
                <w:lang w:eastAsia="en-AU"/>
              </w:rPr>
              <w:t>2016</w:t>
            </w:r>
            <w:r w:rsidRPr="00255F85">
              <w:rPr>
                <w:rFonts w:ascii="Calibri" w:hAnsi="Calibri" w:cs="Calibri"/>
                <w:i/>
                <w:iCs/>
                <w:color w:val="FFFFFF"/>
                <w:sz w:val="19"/>
                <w:szCs w:val="22"/>
                <w:lang w:eastAsia="en-AU"/>
              </w:rPr>
              <w:noBreakHyphen/>
            </w:r>
            <w:r w:rsidRPr="002C33F2">
              <w:rPr>
                <w:rFonts w:ascii="Calibri" w:hAnsi="Calibri" w:cs="Calibri"/>
                <w:i/>
                <w:iCs/>
                <w:color w:val="FFFFFF"/>
                <w:sz w:val="19"/>
                <w:szCs w:val="22"/>
                <w:lang w:eastAsia="en-AU"/>
              </w:rPr>
              <w:t>17 target</w:t>
            </w:r>
          </w:p>
        </w:tc>
        <w:tc>
          <w:tcPr>
            <w:tcW w:w="992" w:type="dxa"/>
            <w:tcBorders>
              <w:top w:val="nil"/>
              <w:left w:val="nil"/>
              <w:bottom w:val="single" w:sz="6" w:space="0" w:color="auto"/>
              <w:right w:val="nil"/>
            </w:tcBorders>
            <w:shd w:val="solid" w:color="000000" w:fill="auto"/>
            <w:vAlign w:val="bottom"/>
          </w:tcPr>
          <w:p w:rsidR="00E25CC6" w:rsidRPr="002C33F2" w:rsidRDefault="00E25CC6" w:rsidP="002C33F2">
            <w:pPr>
              <w:autoSpaceDE w:val="0"/>
              <w:autoSpaceDN w:val="0"/>
              <w:adjustRightInd w:val="0"/>
              <w:spacing w:after="0"/>
              <w:jc w:val="right"/>
              <w:rPr>
                <w:rFonts w:ascii="Calibri" w:hAnsi="Calibri" w:cs="Calibri"/>
                <w:i/>
                <w:iCs/>
                <w:color w:val="FFFFFF"/>
                <w:sz w:val="19"/>
                <w:szCs w:val="22"/>
                <w:lang w:eastAsia="en-AU"/>
              </w:rPr>
            </w:pPr>
            <w:r w:rsidRPr="002C33F2">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2C33F2">
              <w:rPr>
                <w:rFonts w:ascii="Calibri" w:hAnsi="Calibri" w:cs="Calibri"/>
                <w:i/>
                <w:iCs/>
                <w:color w:val="FFFFFF"/>
                <w:sz w:val="19"/>
                <w:szCs w:val="22"/>
                <w:lang w:eastAsia="en-AU"/>
              </w:rPr>
              <w:t>16 expected outcome</w:t>
            </w:r>
          </w:p>
        </w:tc>
        <w:tc>
          <w:tcPr>
            <w:tcW w:w="907" w:type="dxa"/>
            <w:tcBorders>
              <w:top w:val="nil"/>
              <w:left w:val="nil"/>
              <w:bottom w:val="single" w:sz="6" w:space="0" w:color="auto"/>
              <w:right w:val="nil"/>
            </w:tcBorders>
            <w:shd w:val="solid" w:color="000000" w:fill="auto"/>
            <w:vAlign w:val="bottom"/>
          </w:tcPr>
          <w:p w:rsidR="00E25CC6" w:rsidRPr="002C33F2" w:rsidRDefault="00E25CC6" w:rsidP="002C33F2">
            <w:pPr>
              <w:autoSpaceDE w:val="0"/>
              <w:autoSpaceDN w:val="0"/>
              <w:adjustRightInd w:val="0"/>
              <w:spacing w:after="0"/>
              <w:jc w:val="right"/>
              <w:rPr>
                <w:rFonts w:ascii="Calibri" w:hAnsi="Calibri" w:cs="Calibri"/>
                <w:i/>
                <w:iCs/>
                <w:color w:val="FFFFFF"/>
                <w:sz w:val="19"/>
                <w:szCs w:val="22"/>
                <w:lang w:eastAsia="en-AU"/>
              </w:rPr>
            </w:pPr>
            <w:r w:rsidRPr="002C33F2">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2C33F2">
              <w:rPr>
                <w:rFonts w:ascii="Calibri" w:hAnsi="Calibri" w:cs="Calibri"/>
                <w:i/>
                <w:iCs/>
                <w:color w:val="FFFFFF"/>
                <w:sz w:val="19"/>
                <w:szCs w:val="22"/>
                <w:lang w:eastAsia="en-AU"/>
              </w:rPr>
              <w:t>16 target</w:t>
            </w:r>
          </w:p>
        </w:tc>
        <w:tc>
          <w:tcPr>
            <w:tcW w:w="908" w:type="dxa"/>
            <w:tcBorders>
              <w:top w:val="nil"/>
              <w:left w:val="nil"/>
              <w:bottom w:val="single" w:sz="6" w:space="0" w:color="auto"/>
              <w:right w:val="nil"/>
            </w:tcBorders>
            <w:shd w:val="solid" w:color="000000" w:fill="auto"/>
            <w:vAlign w:val="bottom"/>
          </w:tcPr>
          <w:p w:rsidR="00E25CC6" w:rsidRPr="002C33F2" w:rsidRDefault="00E25CC6" w:rsidP="002C33F2">
            <w:pPr>
              <w:autoSpaceDE w:val="0"/>
              <w:autoSpaceDN w:val="0"/>
              <w:adjustRightInd w:val="0"/>
              <w:spacing w:after="0"/>
              <w:jc w:val="right"/>
              <w:rPr>
                <w:rFonts w:ascii="Calibri" w:hAnsi="Calibri" w:cs="Calibri"/>
                <w:i/>
                <w:iCs/>
                <w:color w:val="FFFFFF"/>
                <w:sz w:val="19"/>
                <w:szCs w:val="22"/>
                <w:lang w:eastAsia="en-AU"/>
              </w:rPr>
            </w:pPr>
            <w:r w:rsidRPr="002C33F2">
              <w:rPr>
                <w:rFonts w:ascii="Calibri" w:hAnsi="Calibri" w:cs="Calibri"/>
                <w:i/>
                <w:iCs/>
                <w:color w:val="FFFFFF"/>
                <w:sz w:val="19"/>
                <w:szCs w:val="22"/>
                <w:lang w:eastAsia="en-AU"/>
              </w:rPr>
              <w:t>2014</w:t>
            </w:r>
            <w:r w:rsidRPr="00255F85">
              <w:rPr>
                <w:rFonts w:ascii="Calibri" w:hAnsi="Calibri" w:cs="Calibri"/>
                <w:i/>
                <w:iCs/>
                <w:color w:val="FFFFFF"/>
                <w:sz w:val="19"/>
                <w:szCs w:val="22"/>
                <w:lang w:eastAsia="en-AU"/>
              </w:rPr>
              <w:noBreakHyphen/>
            </w:r>
            <w:r w:rsidRPr="002C33F2">
              <w:rPr>
                <w:rFonts w:ascii="Calibri" w:hAnsi="Calibri" w:cs="Calibri"/>
                <w:i/>
                <w:iCs/>
                <w:color w:val="FFFFFF"/>
                <w:sz w:val="19"/>
                <w:szCs w:val="22"/>
                <w:lang w:eastAsia="en-AU"/>
              </w:rPr>
              <w:t>15 actual</w:t>
            </w:r>
          </w:p>
        </w:tc>
      </w:tr>
      <w:tr w:rsidR="00E25CC6" w:rsidRPr="002C33F2" w:rsidTr="00A959A3">
        <w:trPr>
          <w:cantSplit/>
        </w:trPr>
        <w:tc>
          <w:tcPr>
            <w:tcW w:w="7767" w:type="dxa"/>
            <w:gridSpan w:val="6"/>
            <w:tcBorders>
              <w:top w:val="single" w:sz="6" w:space="0" w:color="auto"/>
              <w:left w:val="nil"/>
              <w:bottom w:val="single" w:sz="6" w:space="0" w:color="auto"/>
              <w:right w:val="nil"/>
            </w:tcBorders>
          </w:tcPr>
          <w:p w:rsidR="00E25CC6" w:rsidRPr="002C33F2" w:rsidRDefault="00E25CC6" w:rsidP="002C33F2">
            <w:pPr>
              <w:pStyle w:val="OGHeading2"/>
              <w:rPr>
                <w:lang w:eastAsia="en-AU"/>
              </w:rPr>
            </w:pPr>
            <w:r w:rsidRPr="002C33F2">
              <w:rPr>
                <w:lang w:eastAsia="en-AU"/>
              </w:rPr>
              <w:t>Chief Parli</w:t>
            </w:r>
            <w:r>
              <w:rPr>
                <w:lang w:eastAsia="en-AU"/>
              </w:rPr>
              <w:t>a</w:t>
            </w:r>
            <w:r w:rsidRPr="002C33F2">
              <w:rPr>
                <w:lang w:eastAsia="en-AU"/>
              </w:rPr>
              <w:t>mentary Counsel Services</w:t>
            </w:r>
          </w:p>
        </w:tc>
      </w:tr>
      <w:tr w:rsidR="00E25CC6" w:rsidRPr="002C33F2" w:rsidTr="00A959A3">
        <w:trPr>
          <w:cantSplit/>
        </w:trPr>
        <w:tc>
          <w:tcPr>
            <w:tcW w:w="3146" w:type="dxa"/>
            <w:tcBorders>
              <w:top w:val="single" w:sz="6" w:space="0" w:color="auto"/>
              <w:left w:val="nil"/>
              <w:bottom w:val="nil"/>
              <w:right w:val="nil"/>
            </w:tcBorders>
          </w:tcPr>
          <w:p w:rsidR="00E25CC6" w:rsidRPr="002C33F2" w:rsidRDefault="00E25CC6" w:rsidP="002C33F2">
            <w:pPr>
              <w:autoSpaceDE w:val="0"/>
              <w:autoSpaceDN w:val="0"/>
              <w:adjustRightInd w:val="0"/>
              <w:spacing w:after="0"/>
              <w:ind w:left="227" w:hanging="227"/>
              <w:rPr>
                <w:rFonts w:ascii="Calibri" w:hAnsi="Calibri" w:cs="Calibri"/>
                <w:i/>
                <w:iCs/>
                <w:color w:val="000000"/>
                <w:sz w:val="19"/>
                <w:szCs w:val="22"/>
                <w:lang w:eastAsia="en-AU"/>
              </w:rPr>
            </w:pPr>
            <w:r w:rsidRPr="002C33F2">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r>
      <w:tr w:rsidR="00E25CC6" w:rsidRPr="002C33F2" w:rsidTr="002C33F2">
        <w:trPr>
          <w:cantSplit/>
        </w:trPr>
        <w:tc>
          <w:tcPr>
            <w:tcW w:w="3146" w:type="dxa"/>
            <w:tcBorders>
              <w:top w:val="nil"/>
              <w:left w:val="nil"/>
              <w:bottom w:val="nil"/>
              <w:right w:val="nil"/>
            </w:tcBorders>
          </w:tcPr>
          <w:p w:rsidR="00E25CC6" w:rsidRPr="002C33F2" w:rsidRDefault="00E25CC6" w:rsidP="002C33F2">
            <w:pPr>
              <w:pStyle w:val="OGTabText"/>
              <w:rPr>
                <w:lang w:eastAsia="en-AU"/>
              </w:rPr>
            </w:pPr>
            <w:r w:rsidRPr="002C33F2">
              <w:rPr>
                <w:lang w:eastAsia="en-AU"/>
              </w:rPr>
              <w:t>Advice given on legislation in response to written requests</w:t>
            </w:r>
          </w:p>
        </w:tc>
        <w:tc>
          <w:tcPr>
            <w:tcW w:w="907" w:type="dxa"/>
            <w:tcBorders>
              <w:top w:val="nil"/>
              <w:left w:val="nil"/>
              <w:bottom w:val="nil"/>
              <w:right w:val="nil"/>
            </w:tcBorders>
          </w:tcPr>
          <w:p w:rsidR="00E25CC6" w:rsidRPr="002C33F2" w:rsidRDefault="00E25CC6" w:rsidP="002C33F2">
            <w:pPr>
              <w:autoSpaceDE w:val="0"/>
              <w:autoSpaceDN w:val="0"/>
              <w:adjustRightInd w:val="0"/>
              <w:spacing w:after="0"/>
              <w:jc w:val="center"/>
              <w:rPr>
                <w:rFonts w:ascii="Calibri" w:hAnsi="Calibri" w:cs="Calibri"/>
                <w:color w:val="000000"/>
                <w:sz w:val="19"/>
                <w:szCs w:val="22"/>
                <w:lang w:eastAsia="en-AU"/>
              </w:rPr>
            </w:pPr>
            <w:r w:rsidRPr="002C33F2">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96</w:t>
            </w:r>
          </w:p>
        </w:tc>
        <w:tc>
          <w:tcPr>
            <w:tcW w:w="992"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96</w:t>
            </w:r>
          </w:p>
        </w:tc>
        <w:tc>
          <w:tcPr>
            <w:tcW w:w="907"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96</w:t>
            </w:r>
          </w:p>
        </w:tc>
        <w:tc>
          <w:tcPr>
            <w:tcW w:w="908"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98</w:t>
            </w:r>
          </w:p>
        </w:tc>
      </w:tr>
      <w:tr w:rsidR="00E25CC6" w:rsidRPr="002C33F2" w:rsidTr="00A959A3">
        <w:trPr>
          <w:cantSplit/>
        </w:trPr>
        <w:tc>
          <w:tcPr>
            <w:tcW w:w="7767" w:type="dxa"/>
            <w:gridSpan w:val="6"/>
            <w:tcBorders>
              <w:top w:val="nil"/>
              <w:left w:val="nil"/>
              <w:bottom w:val="single" w:sz="6" w:space="0" w:color="auto"/>
              <w:right w:val="nil"/>
            </w:tcBorders>
          </w:tcPr>
          <w:p w:rsidR="00E25CC6" w:rsidRPr="002C33F2" w:rsidRDefault="00E25CC6" w:rsidP="007634AF">
            <w:pPr>
              <w:pStyle w:val="OGNotes"/>
            </w:pPr>
            <w:r w:rsidRPr="002C33F2">
              <w:t>This performance measure was discontinued in 2015</w:t>
            </w:r>
            <w:r w:rsidRPr="00255F85">
              <w:noBreakHyphen/>
            </w:r>
            <w:r w:rsidRPr="002C33F2">
              <w:t xml:space="preserve">16 but retained following a PAEC Report recommendation. </w:t>
            </w:r>
            <w:r>
              <w:t>This performance measure has been</w:t>
            </w:r>
            <w:r w:rsidRPr="002C33F2">
              <w:t xml:space="preserve"> reviewed and replaced with the</w:t>
            </w:r>
            <w:r>
              <w:t xml:space="preserve"> more relevant measure</w:t>
            </w:r>
            <w:r w:rsidRPr="002C33F2">
              <w:t xml:space="preserve"> </w:t>
            </w:r>
            <w:r>
              <w:t>‘</w:t>
            </w:r>
            <w:r w:rsidRPr="002C33F2">
              <w:t>Formal advice provided on legislation</w:t>
            </w:r>
            <w:r>
              <w:t>’</w:t>
            </w:r>
            <w:r w:rsidRPr="002C33F2">
              <w:t xml:space="preserve">. </w:t>
            </w:r>
          </w:p>
        </w:tc>
      </w:tr>
      <w:tr w:rsidR="00E25CC6" w:rsidRPr="002C33F2" w:rsidTr="00A959A3">
        <w:trPr>
          <w:cantSplit/>
        </w:trPr>
        <w:tc>
          <w:tcPr>
            <w:tcW w:w="7767" w:type="dxa"/>
            <w:gridSpan w:val="6"/>
            <w:tcBorders>
              <w:top w:val="single" w:sz="6" w:space="0" w:color="auto"/>
              <w:left w:val="nil"/>
              <w:bottom w:val="single" w:sz="6" w:space="0" w:color="auto"/>
              <w:right w:val="nil"/>
            </w:tcBorders>
          </w:tcPr>
          <w:p w:rsidR="00E25CC6" w:rsidRPr="002C33F2" w:rsidRDefault="00E25CC6" w:rsidP="002C33F2">
            <w:pPr>
              <w:pStyle w:val="OGHeading2"/>
              <w:rPr>
                <w:lang w:eastAsia="en-AU"/>
              </w:rPr>
            </w:pPr>
            <w:r w:rsidRPr="002C33F2">
              <w:rPr>
                <w:lang w:eastAsia="en-AU"/>
              </w:rPr>
              <w:t>Aborig</w:t>
            </w:r>
            <w:r>
              <w:rPr>
                <w:lang w:eastAsia="en-AU"/>
              </w:rPr>
              <w:t>i</w:t>
            </w:r>
            <w:r w:rsidRPr="002C33F2">
              <w:rPr>
                <w:lang w:eastAsia="en-AU"/>
              </w:rPr>
              <w:t>nal policy, stren</w:t>
            </w:r>
            <w:r>
              <w:rPr>
                <w:lang w:eastAsia="en-AU"/>
              </w:rPr>
              <w:t>g</w:t>
            </w:r>
            <w:r w:rsidRPr="002C33F2">
              <w:rPr>
                <w:lang w:eastAsia="en-AU"/>
              </w:rPr>
              <w:t>thening Aboriginal cultural heritage and communities</w:t>
            </w:r>
          </w:p>
        </w:tc>
      </w:tr>
      <w:tr w:rsidR="00E25CC6" w:rsidRPr="002C33F2" w:rsidTr="00A959A3">
        <w:trPr>
          <w:cantSplit/>
        </w:trPr>
        <w:tc>
          <w:tcPr>
            <w:tcW w:w="3146" w:type="dxa"/>
            <w:tcBorders>
              <w:top w:val="single" w:sz="6" w:space="0" w:color="auto"/>
              <w:left w:val="nil"/>
              <w:bottom w:val="nil"/>
              <w:right w:val="nil"/>
            </w:tcBorders>
          </w:tcPr>
          <w:p w:rsidR="00E25CC6" w:rsidRPr="002C33F2" w:rsidRDefault="00E25CC6" w:rsidP="002C33F2">
            <w:pPr>
              <w:autoSpaceDE w:val="0"/>
              <w:autoSpaceDN w:val="0"/>
              <w:adjustRightInd w:val="0"/>
              <w:spacing w:after="0"/>
              <w:ind w:left="227" w:hanging="227"/>
              <w:rPr>
                <w:rFonts w:ascii="Calibri" w:hAnsi="Calibri" w:cs="Calibri"/>
                <w:i/>
                <w:iCs/>
                <w:color w:val="000000"/>
                <w:sz w:val="19"/>
                <w:szCs w:val="22"/>
                <w:lang w:eastAsia="en-AU"/>
              </w:rPr>
            </w:pPr>
            <w:r w:rsidRPr="002C33F2">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p>
        </w:tc>
      </w:tr>
      <w:tr w:rsidR="00E25CC6" w:rsidRPr="002C33F2" w:rsidTr="002C33F2">
        <w:trPr>
          <w:cantSplit/>
        </w:trPr>
        <w:tc>
          <w:tcPr>
            <w:tcW w:w="3146" w:type="dxa"/>
            <w:tcBorders>
              <w:top w:val="nil"/>
              <w:left w:val="nil"/>
              <w:bottom w:val="nil"/>
              <w:right w:val="nil"/>
            </w:tcBorders>
          </w:tcPr>
          <w:p w:rsidR="00E25CC6" w:rsidRPr="002C33F2" w:rsidRDefault="00E25CC6" w:rsidP="002C33F2">
            <w:pPr>
              <w:pStyle w:val="OGTabText"/>
              <w:rPr>
                <w:lang w:eastAsia="en-AU"/>
              </w:rPr>
            </w:pPr>
            <w:r w:rsidRPr="002C33F2">
              <w:rPr>
                <w:lang w:eastAsia="en-AU"/>
              </w:rPr>
              <w:t>Client service contacts for members of the Stolen Generations with Connecting Home Limited</w:t>
            </w:r>
          </w:p>
        </w:tc>
        <w:tc>
          <w:tcPr>
            <w:tcW w:w="907" w:type="dxa"/>
            <w:tcBorders>
              <w:top w:val="nil"/>
              <w:left w:val="nil"/>
              <w:bottom w:val="nil"/>
              <w:right w:val="nil"/>
            </w:tcBorders>
          </w:tcPr>
          <w:p w:rsidR="00E25CC6" w:rsidRPr="002C33F2" w:rsidRDefault="00E25CC6" w:rsidP="002C33F2">
            <w:pPr>
              <w:autoSpaceDE w:val="0"/>
              <w:autoSpaceDN w:val="0"/>
              <w:adjustRightInd w:val="0"/>
              <w:spacing w:after="0"/>
              <w:jc w:val="center"/>
              <w:rPr>
                <w:rFonts w:ascii="Calibri" w:hAnsi="Calibri" w:cs="Calibri"/>
                <w:color w:val="000000"/>
                <w:sz w:val="19"/>
                <w:szCs w:val="22"/>
                <w:lang w:eastAsia="en-AU"/>
              </w:rPr>
            </w:pPr>
            <w:r w:rsidRPr="002C33F2">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132</w:t>
            </w:r>
          </w:p>
        </w:tc>
        <w:tc>
          <w:tcPr>
            <w:tcW w:w="992"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132</w:t>
            </w:r>
          </w:p>
        </w:tc>
        <w:tc>
          <w:tcPr>
            <w:tcW w:w="907"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132</w:t>
            </w:r>
          </w:p>
        </w:tc>
        <w:tc>
          <w:tcPr>
            <w:tcW w:w="908"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205</w:t>
            </w:r>
          </w:p>
        </w:tc>
      </w:tr>
      <w:tr w:rsidR="00E25CC6" w:rsidRPr="002C33F2" w:rsidTr="002C33F2">
        <w:trPr>
          <w:cantSplit/>
        </w:trPr>
        <w:tc>
          <w:tcPr>
            <w:tcW w:w="7767" w:type="dxa"/>
            <w:gridSpan w:val="6"/>
            <w:tcBorders>
              <w:top w:val="nil"/>
              <w:left w:val="nil"/>
              <w:bottom w:val="single" w:sz="6" w:space="0" w:color="auto"/>
              <w:right w:val="nil"/>
            </w:tcBorders>
          </w:tcPr>
          <w:p w:rsidR="00E25CC6" w:rsidRPr="002C33F2" w:rsidRDefault="00E25CC6" w:rsidP="002C33F2">
            <w:pPr>
              <w:pStyle w:val="OGNotes"/>
            </w:pPr>
            <w:r w:rsidRPr="002C33F2">
              <w:t>This performance measure was discontinued in 2015</w:t>
            </w:r>
            <w:r w:rsidRPr="00255F85">
              <w:noBreakHyphen/>
            </w:r>
            <w:r w:rsidRPr="002C33F2">
              <w:t>16 but retained following a PAEC Report recommendation. This performance measure has been reviewed and replaced in 2016</w:t>
            </w:r>
            <w:r w:rsidRPr="00255F85">
              <w:noBreakHyphen/>
            </w:r>
            <w:r w:rsidRPr="002C33F2">
              <w:t xml:space="preserve">17 with the more relevant measure </w:t>
            </w:r>
            <w:r>
              <w:t>‘</w:t>
            </w:r>
            <w:r w:rsidRPr="002C33F2">
              <w:t>Average weekly hours of case management provided to members of the Stolen Generations</w:t>
            </w:r>
            <w:r>
              <w:t>’</w:t>
            </w:r>
            <w:r w:rsidRPr="002C33F2">
              <w:t>.</w:t>
            </w:r>
          </w:p>
        </w:tc>
      </w:tr>
      <w:tr w:rsidR="00E25CC6" w:rsidRPr="002C33F2" w:rsidTr="002C33F2">
        <w:trPr>
          <w:cantSplit/>
        </w:trPr>
        <w:tc>
          <w:tcPr>
            <w:tcW w:w="3146" w:type="dxa"/>
            <w:tcBorders>
              <w:top w:val="nil"/>
              <w:left w:val="nil"/>
              <w:bottom w:val="nil"/>
              <w:right w:val="nil"/>
            </w:tcBorders>
          </w:tcPr>
          <w:p w:rsidR="00E25CC6" w:rsidRPr="002C33F2" w:rsidRDefault="00E25CC6" w:rsidP="002C33F2">
            <w:pPr>
              <w:pStyle w:val="OGTabText"/>
              <w:rPr>
                <w:lang w:eastAsia="en-AU"/>
              </w:rPr>
            </w:pPr>
            <w:r w:rsidRPr="002C33F2">
              <w:rPr>
                <w:lang w:eastAsia="en-AU"/>
              </w:rPr>
              <w:t>Client service contacts for members of the Stolen Generations with the Victorian Koorie Family History Service</w:t>
            </w:r>
          </w:p>
        </w:tc>
        <w:tc>
          <w:tcPr>
            <w:tcW w:w="907" w:type="dxa"/>
            <w:tcBorders>
              <w:top w:val="nil"/>
              <w:left w:val="nil"/>
              <w:bottom w:val="nil"/>
              <w:right w:val="nil"/>
            </w:tcBorders>
          </w:tcPr>
          <w:p w:rsidR="00E25CC6" w:rsidRPr="002C33F2" w:rsidRDefault="00E25CC6" w:rsidP="002C33F2">
            <w:pPr>
              <w:autoSpaceDE w:val="0"/>
              <w:autoSpaceDN w:val="0"/>
              <w:adjustRightInd w:val="0"/>
              <w:spacing w:after="0"/>
              <w:jc w:val="center"/>
              <w:rPr>
                <w:rFonts w:ascii="Calibri" w:hAnsi="Calibri" w:cs="Calibri"/>
                <w:color w:val="000000"/>
                <w:sz w:val="19"/>
                <w:szCs w:val="22"/>
                <w:lang w:eastAsia="en-AU"/>
              </w:rPr>
            </w:pPr>
            <w:r w:rsidRPr="002C33F2">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154</w:t>
            </w:r>
          </w:p>
        </w:tc>
        <w:tc>
          <w:tcPr>
            <w:tcW w:w="992"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154</w:t>
            </w:r>
          </w:p>
        </w:tc>
        <w:tc>
          <w:tcPr>
            <w:tcW w:w="907"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154</w:t>
            </w:r>
          </w:p>
        </w:tc>
        <w:tc>
          <w:tcPr>
            <w:tcW w:w="908" w:type="dxa"/>
            <w:tcBorders>
              <w:top w:val="nil"/>
              <w:left w:val="nil"/>
              <w:bottom w:val="nil"/>
              <w:right w:val="nil"/>
            </w:tcBorders>
          </w:tcPr>
          <w:p w:rsidR="00E25CC6" w:rsidRPr="002C33F2" w:rsidRDefault="00E25CC6" w:rsidP="002C33F2">
            <w:pPr>
              <w:autoSpaceDE w:val="0"/>
              <w:autoSpaceDN w:val="0"/>
              <w:adjustRightInd w:val="0"/>
              <w:spacing w:after="0"/>
              <w:jc w:val="right"/>
              <w:rPr>
                <w:rFonts w:ascii="Calibri" w:hAnsi="Calibri" w:cs="Calibri"/>
                <w:color w:val="000000"/>
                <w:sz w:val="19"/>
                <w:szCs w:val="22"/>
                <w:lang w:eastAsia="en-AU"/>
              </w:rPr>
            </w:pPr>
            <w:r w:rsidRPr="002C33F2">
              <w:rPr>
                <w:rFonts w:ascii="Calibri" w:hAnsi="Calibri" w:cs="Calibri"/>
                <w:color w:val="000000"/>
                <w:sz w:val="19"/>
                <w:szCs w:val="22"/>
                <w:lang w:eastAsia="en-AU"/>
              </w:rPr>
              <w:t>152</w:t>
            </w:r>
          </w:p>
        </w:tc>
      </w:tr>
      <w:tr w:rsidR="00E25CC6" w:rsidRPr="002C33F2" w:rsidTr="002C33F2">
        <w:trPr>
          <w:cantSplit/>
        </w:trPr>
        <w:tc>
          <w:tcPr>
            <w:tcW w:w="7767" w:type="dxa"/>
            <w:gridSpan w:val="6"/>
            <w:tcBorders>
              <w:top w:val="nil"/>
              <w:left w:val="nil"/>
              <w:bottom w:val="single" w:sz="12" w:space="0" w:color="auto"/>
              <w:right w:val="nil"/>
            </w:tcBorders>
          </w:tcPr>
          <w:p w:rsidR="00E25CC6" w:rsidRPr="002C33F2" w:rsidRDefault="00E25CC6" w:rsidP="000A644F">
            <w:pPr>
              <w:pStyle w:val="OGNotes"/>
            </w:pPr>
            <w:r w:rsidRPr="002C33F2">
              <w:t>This performance measure was discontinued in 2015</w:t>
            </w:r>
            <w:r w:rsidRPr="00255F85">
              <w:noBreakHyphen/>
            </w:r>
            <w:r w:rsidRPr="002C33F2">
              <w:t>16 but retained following a PAEC Report recommendation. This performance measure has been reviewed and replaced in 2016</w:t>
            </w:r>
            <w:r w:rsidRPr="00255F85">
              <w:noBreakHyphen/>
            </w:r>
            <w:r w:rsidRPr="002C33F2">
              <w:t xml:space="preserve">17 with the more relevant measure </w:t>
            </w:r>
            <w:r>
              <w:t>‘</w:t>
            </w:r>
            <w:r w:rsidRPr="002C33F2">
              <w:t>Number of family history investigations conducted by the Victorian Koorie Family History Service on behalf of members of the Stolen Generations</w:t>
            </w:r>
            <w:r>
              <w:t>’</w:t>
            </w:r>
            <w:r w:rsidRPr="002C33F2">
              <w:t xml:space="preserve">. </w:t>
            </w:r>
          </w:p>
        </w:tc>
      </w:tr>
    </w:tbl>
    <w:p w:rsidR="00E25CC6" w:rsidRDefault="00E25CC6" w:rsidP="00A959A3">
      <w:pPr>
        <w:pStyle w:val="Source"/>
        <w:rPr>
          <w:rFonts w:eastAsiaTheme="minorHAnsi"/>
        </w:rPr>
      </w:pPr>
      <w:r>
        <w:rPr>
          <w:rFonts w:eastAsiaTheme="minorHAnsi"/>
        </w:rPr>
        <w:t>Source: Department of Premier and Cabinet</w:t>
      </w:r>
    </w:p>
    <w:p w:rsidR="00E25CC6" w:rsidRDefault="00E25CC6" w:rsidP="008B169C">
      <w:pPr>
        <w:spacing w:after="0"/>
        <w:rPr>
          <w:rFonts w:eastAsiaTheme="minorHAnsi"/>
        </w:rPr>
      </w:pPr>
    </w:p>
    <w:p w:rsidR="00E25CC6" w:rsidRDefault="00E25CC6">
      <w:pPr>
        <w:spacing w:after="0"/>
        <w:rPr>
          <w:rFonts w:ascii="Calibri" w:eastAsiaTheme="minorHAnsi" w:hAnsi="Calibri"/>
          <w:b/>
          <w:caps/>
          <w:sz w:val="26"/>
          <w:szCs w:val="22"/>
        </w:rPr>
      </w:pPr>
      <w:r>
        <w:rPr>
          <w:rFonts w:eastAsiaTheme="minorHAnsi"/>
        </w:rPr>
        <w:br w:type="page"/>
      </w:r>
    </w:p>
    <w:p w:rsidR="00E25CC6" w:rsidRDefault="00E25CC6" w:rsidP="0045210A">
      <w:pPr>
        <w:pStyle w:val="Heading1"/>
        <w:rPr>
          <w:rFonts w:eastAsiaTheme="minorHAnsi"/>
        </w:rPr>
      </w:pPr>
      <w:bookmarkStart w:id="118" w:name="_Toc449109454"/>
      <w:r>
        <w:rPr>
          <w:rFonts w:eastAsiaTheme="minorHAnsi"/>
        </w:rPr>
        <w:t>Department of Treasury and Finance</w:t>
      </w:r>
      <w:bookmarkEnd w:id="118"/>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B376BC" w:rsidTr="00A959A3">
        <w:trPr>
          <w:cantSplit/>
          <w:tblHeader/>
        </w:trPr>
        <w:tc>
          <w:tcPr>
            <w:tcW w:w="3146" w:type="dxa"/>
            <w:tcBorders>
              <w:top w:val="nil"/>
              <w:left w:val="nil"/>
              <w:bottom w:val="single" w:sz="6" w:space="0" w:color="auto"/>
              <w:right w:val="nil"/>
            </w:tcBorders>
            <w:shd w:val="solid" w:color="000000" w:fill="auto"/>
            <w:vAlign w:val="bottom"/>
          </w:tcPr>
          <w:p w:rsidR="00E25CC6" w:rsidRPr="00B376BC" w:rsidRDefault="00E25CC6" w:rsidP="00B376BC">
            <w:pPr>
              <w:autoSpaceDE w:val="0"/>
              <w:autoSpaceDN w:val="0"/>
              <w:adjustRightInd w:val="0"/>
              <w:spacing w:after="0"/>
              <w:rPr>
                <w:rFonts w:ascii="Calibri" w:hAnsi="Calibri" w:cs="Calibri"/>
                <w:i/>
                <w:iCs/>
                <w:color w:val="FFFFFF"/>
                <w:sz w:val="19"/>
                <w:szCs w:val="22"/>
                <w:lang w:eastAsia="en-AU"/>
              </w:rPr>
            </w:pPr>
            <w:r w:rsidRPr="00B376BC">
              <w:rPr>
                <w:rFonts w:ascii="Calibri" w:hAnsi="Calibri" w:cs="Calibri"/>
                <w:b/>
                <w:bCs/>
                <w:color w:val="FFFFFF"/>
                <w:sz w:val="19"/>
                <w:szCs w:val="22"/>
                <w:lang w:eastAsia="en-AU"/>
              </w:rPr>
              <w:t>Major outputs/deliverables</w:t>
            </w:r>
          </w:p>
          <w:p w:rsidR="00E25CC6" w:rsidRPr="00B376BC" w:rsidRDefault="00E25CC6" w:rsidP="00B376BC">
            <w:pPr>
              <w:autoSpaceDE w:val="0"/>
              <w:autoSpaceDN w:val="0"/>
              <w:adjustRightInd w:val="0"/>
              <w:spacing w:after="0"/>
              <w:rPr>
                <w:rFonts w:ascii="Calibri" w:hAnsi="Calibri" w:cs="Calibri"/>
                <w:i/>
                <w:iCs/>
                <w:color w:val="FFFFFF"/>
                <w:sz w:val="19"/>
                <w:szCs w:val="22"/>
                <w:lang w:eastAsia="en-AU"/>
              </w:rPr>
            </w:pPr>
            <w:r w:rsidRPr="00B376BC">
              <w:rPr>
                <w:rFonts w:ascii="Calibri" w:hAnsi="Calibri" w:cs="Calibri"/>
                <w:i/>
                <w:iCs/>
                <w:color w:val="FFFFFF"/>
                <w:sz w:val="19"/>
                <w:szCs w:val="22"/>
                <w:lang w:eastAsia="en-AU"/>
              </w:rPr>
              <w:t>Performance measures</w:t>
            </w:r>
          </w:p>
        </w:tc>
        <w:tc>
          <w:tcPr>
            <w:tcW w:w="907" w:type="dxa"/>
            <w:tcBorders>
              <w:top w:val="nil"/>
              <w:left w:val="nil"/>
              <w:bottom w:val="single" w:sz="6" w:space="0" w:color="auto"/>
              <w:right w:val="nil"/>
            </w:tcBorders>
            <w:shd w:val="solid" w:color="000000" w:fill="auto"/>
            <w:vAlign w:val="bottom"/>
          </w:tcPr>
          <w:p w:rsidR="00E25CC6" w:rsidRPr="00B376BC" w:rsidRDefault="00E25CC6" w:rsidP="00B376BC">
            <w:pPr>
              <w:autoSpaceDE w:val="0"/>
              <w:autoSpaceDN w:val="0"/>
              <w:adjustRightInd w:val="0"/>
              <w:spacing w:after="0"/>
              <w:jc w:val="center"/>
              <w:rPr>
                <w:rFonts w:ascii="Calibri" w:hAnsi="Calibri" w:cs="Calibri"/>
                <w:i/>
                <w:iCs/>
                <w:color w:val="FFFFFF"/>
                <w:sz w:val="19"/>
                <w:szCs w:val="22"/>
                <w:lang w:eastAsia="en-AU"/>
              </w:rPr>
            </w:pPr>
            <w:r w:rsidRPr="00B376BC">
              <w:rPr>
                <w:rFonts w:ascii="Calibri" w:hAnsi="Calibri" w:cs="Calibri"/>
                <w:i/>
                <w:iCs/>
                <w:color w:val="FFFFFF"/>
                <w:sz w:val="19"/>
                <w:szCs w:val="22"/>
                <w:lang w:eastAsia="en-AU"/>
              </w:rPr>
              <w:t>Unit of measure</w:t>
            </w:r>
          </w:p>
        </w:tc>
        <w:tc>
          <w:tcPr>
            <w:tcW w:w="907" w:type="dxa"/>
            <w:tcBorders>
              <w:top w:val="nil"/>
              <w:left w:val="nil"/>
              <w:bottom w:val="single" w:sz="6" w:space="0" w:color="auto"/>
              <w:right w:val="nil"/>
            </w:tcBorders>
            <w:shd w:val="solid" w:color="000000" w:fill="auto"/>
            <w:vAlign w:val="bottom"/>
          </w:tcPr>
          <w:p w:rsidR="00E25CC6" w:rsidRPr="00B376BC" w:rsidRDefault="00E25CC6" w:rsidP="00B376BC">
            <w:pPr>
              <w:autoSpaceDE w:val="0"/>
              <w:autoSpaceDN w:val="0"/>
              <w:adjustRightInd w:val="0"/>
              <w:spacing w:after="0"/>
              <w:jc w:val="right"/>
              <w:rPr>
                <w:rFonts w:ascii="Calibri" w:hAnsi="Calibri" w:cs="Calibri"/>
                <w:i/>
                <w:iCs/>
                <w:color w:val="FFFFFF"/>
                <w:sz w:val="19"/>
                <w:szCs w:val="22"/>
                <w:lang w:eastAsia="en-AU"/>
              </w:rPr>
            </w:pPr>
            <w:r w:rsidRPr="00B376BC">
              <w:rPr>
                <w:rFonts w:ascii="Calibri" w:hAnsi="Calibri" w:cs="Calibri"/>
                <w:i/>
                <w:iCs/>
                <w:color w:val="FFFFFF"/>
                <w:sz w:val="19"/>
                <w:szCs w:val="22"/>
                <w:lang w:eastAsia="en-AU"/>
              </w:rPr>
              <w:t>2016</w:t>
            </w:r>
            <w:r w:rsidRPr="00255F85">
              <w:rPr>
                <w:rFonts w:ascii="Calibri" w:hAnsi="Calibri" w:cs="Calibri"/>
                <w:i/>
                <w:iCs/>
                <w:color w:val="FFFFFF"/>
                <w:sz w:val="19"/>
                <w:szCs w:val="22"/>
                <w:lang w:eastAsia="en-AU"/>
              </w:rPr>
              <w:noBreakHyphen/>
            </w:r>
            <w:r w:rsidRPr="00B376BC">
              <w:rPr>
                <w:rFonts w:ascii="Calibri" w:hAnsi="Calibri" w:cs="Calibri"/>
                <w:i/>
                <w:iCs/>
                <w:color w:val="FFFFFF"/>
                <w:sz w:val="19"/>
                <w:szCs w:val="22"/>
                <w:lang w:eastAsia="en-AU"/>
              </w:rPr>
              <w:t>17 target</w:t>
            </w:r>
          </w:p>
        </w:tc>
        <w:tc>
          <w:tcPr>
            <w:tcW w:w="992" w:type="dxa"/>
            <w:tcBorders>
              <w:top w:val="nil"/>
              <w:left w:val="nil"/>
              <w:bottom w:val="single" w:sz="6" w:space="0" w:color="auto"/>
              <w:right w:val="nil"/>
            </w:tcBorders>
            <w:shd w:val="solid" w:color="000000" w:fill="auto"/>
            <w:vAlign w:val="bottom"/>
          </w:tcPr>
          <w:p w:rsidR="00E25CC6" w:rsidRPr="00B376BC" w:rsidRDefault="00E25CC6" w:rsidP="00B376BC">
            <w:pPr>
              <w:autoSpaceDE w:val="0"/>
              <w:autoSpaceDN w:val="0"/>
              <w:adjustRightInd w:val="0"/>
              <w:spacing w:after="0"/>
              <w:jc w:val="right"/>
              <w:rPr>
                <w:rFonts w:ascii="Calibri" w:hAnsi="Calibri" w:cs="Calibri"/>
                <w:i/>
                <w:iCs/>
                <w:color w:val="FFFFFF"/>
                <w:sz w:val="19"/>
                <w:szCs w:val="22"/>
                <w:lang w:eastAsia="en-AU"/>
              </w:rPr>
            </w:pPr>
            <w:r w:rsidRPr="00B376BC">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B376BC">
              <w:rPr>
                <w:rFonts w:ascii="Calibri" w:hAnsi="Calibri" w:cs="Calibri"/>
                <w:i/>
                <w:iCs/>
                <w:color w:val="FFFFFF"/>
                <w:sz w:val="19"/>
                <w:szCs w:val="22"/>
                <w:lang w:eastAsia="en-AU"/>
              </w:rPr>
              <w:t>16 expected outcome</w:t>
            </w:r>
          </w:p>
        </w:tc>
        <w:tc>
          <w:tcPr>
            <w:tcW w:w="907" w:type="dxa"/>
            <w:tcBorders>
              <w:top w:val="nil"/>
              <w:left w:val="nil"/>
              <w:bottom w:val="single" w:sz="6" w:space="0" w:color="auto"/>
              <w:right w:val="nil"/>
            </w:tcBorders>
            <w:shd w:val="solid" w:color="000000" w:fill="auto"/>
            <w:vAlign w:val="bottom"/>
          </w:tcPr>
          <w:p w:rsidR="00E25CC6" w:rsidRPr="00B376BC" w:rsidRDefault="00E25CC6" w:rsidP="00B376BC">
            <w:pPr>
              <w:autoSpaceDE w:val="0"/>
              <w:autoSpaceDN w:val="0"/>
              <w:adjustRightInd w:val="0"/>
              <w:spacing w:after="0"/>
              <w:jc w:val="right"/>
              <w:rPr>
                <w:rFonts w:ascii="Calibri" w:hAnsi="Calibri" w:cs="Calibri"/>
                <w:i/>
                <w:iCs/>
                <w:color w:val="FFFFFF"/>
                <w:sz w:val="19"/>
                <w:szCs w:val="22"/>
                <w:lang w:eastAsia="en-AU"/>
              </w:rPr>
            </w:pPr>
            <w:r w:rsidRPr="00B376BC">
              <w:rPr>
                <w:rFonts w:ascii="Calibri" w:hAnsi="Calibri" w:cs="Calibri"/>
                <w:i/>
                <w:iCs/>
                <w:color w:val="FFFFFF"/>
                <w:sz w:val="19"/>
                <w:szCs w:val="22"/>
                <w:lang w:eastAsia="en-AU"/>
              </w:rPr>
              <w:t>2015</w:t>
            </w:r>
            <w:r w:rsidRPr="00255F85">
              <w:rPr>
                <w:rFonts w:ascii="Calibri" w:hAnsi="Calibri" w:cs="Calibri"/>
                <w:i/>
                <w:iCs/>
                <w:color w:val="FFFFFF"/>
                <w:sz w:val="19"/>
                <w:szCs w:val="22"/>
                <w:lang w:eastAsia="en-AU"/>
              </w:rPr>
              <w:noBreakHyphen/>
            </w:r>
            <w:r w:rsidRPr="00B376BC">
              <w:rPr>
                <w:rFonts w:ascii="Calibri" w:hAnsi="Calibri" w:cs="Calibri"/>
                <w:i/>
                <w:iCs/>
                <w:color w:val="FFFFFF"/>
                <w:sz w:val="19"/>
                <w:szCs w:val="22"/>
                <w:lang w:eastAsia="en-AU"/>
              </w:rPr>
              <w:t>16 target</w:t>
            </w:r>
          </w:p>
        </w:tc>
        <w:tc>
          <w:tcPr>
            <w:tcW w:w="908" w:type="dxa"/>
            <w:tcBorders>
              <w:top w:val="nil"/>
              <w:left w:val="nil"/>
              <w:bottom w:val="single" w:sz="6" w:space="0" w:color="auto"/>
              <w:right w:val="nil"/>
            </w:tcBorders>
            <w:shd w:val="solid" w:color="000000" w:fill="auto"/>
            <w:vAlign w:val="bottom"/>
          </w:tcPr>
          <w:p w:rsidR="00E25CC6" w:rsidRPr="00B376BC" w:rsidRDefault="00E25CC6" w:rsidP="00B376BC">
            <w:pPr>
              <w:autoSpaceDE w:val="0"/>
              <w:autoSpaceDN w:val="0"/>
              <w:adjustRightInd w:val="0"/>
              <w:spacing w:after="0"/>
              <w:jc w:val="right"/>
              <w:rPr>
                <w:rFonts w:ascii="Calibri" w:hAnsi="Calibri" w:cs="Calibri"/>
                <w:i/>
                <w:iCs/>
                <w:color w:val="FFFFFF"/>
                <w:sz w:val="19"/>
                <w:szCs w:val="22"/>
                <w:lang w:eastAsia="en-AU"/>
              </w:rPr>
            </w:pPr>
            <w:r w:rsidRPr="00B376BC">
              <w:rPr>
                <w:rFonts w:ascii="Calibri" w:hAnsi="Calibri" w:cs="Calibri"/>
                <w:i/>
                <w:iCs/>
                <w:color w:val="FFFFFF"/>
                <w:sz w:val="19"/>
                <w:szCs w:val="22"/>
                <w:lang w:eastAsia="en-AU"/>
              </w:rPr>
              <w:t>2014</w:t>
            </w:r>
            <w:r w:rsidRPr="00255F85">
              <w:rPr>
                <w:rFonts w:ascii="Calibri" w:hAnsi="Calibri" w:cs="Calibri"/>
                <w:i/>
                <w:iCs/>
                <w:color w:val="FFFFFF"/>
                <w:sz w:val="19"/>
                <w:szCs w:val="22"/>
                <w:lang w:eastAsia="en-AU"/>
              </w:rPr>
              <w:noBreakHyphen/>
            </w:r>
            <w:r w:rsidRPr="00B376BC">
              <w:rPr>
                <w:rFonts w:ascii="Calibri" w:hAnsi="Calibri" w:cs="Calibri"/>
                <w:i/>
                <w:iCs/>
                <w:color w:val="FFFFFF"/>
                <w:sz w:val="19"/>
                <w:szCs w:val="22"/>
                <w:lang w:eastAsia="en-AU"/>
              </w:rPr>
              <w:t>15 actual</w:t>
            </w:r>
          </w:p>
        </w:tc>
      </w:tr>
      <w:tr w:rsidR="00E25CC6" w:rsidRPr="00B376BC" w:rsidTr="00A959A3">
        <w:trPr>
          <w:cantSplit/>
        </w:trPr>
        <w:tc>
          <w:tcPr>
            <w:tcW w:w="7767" w:type="dxa"/>
            <w:gridSpan w:val="6"/>
            <w:tcBorders>
              <w:top w:val="single" w:sz="6" w:space="0" w:color="auto"/>
              <w:left w:val="nil"/>
              <w:bottom w:val="single" w:sz="6" w:space="0" w:color="auto"/>
              <w:right w:val="nil"/>
            </w:tcBorders>
          </w:tcPr>
          <w:p w:rsidR="00E25CC6" w:rsidRPr="00B376BC" w:rsidRDefault="00E25CC6" w:rsidP="00B376BC">
            <w:pPr>
              <w:pStyle w:val="OGHeading2"/>
              <w:rPr>
                <w:lang w:eastAsia="en-AU"/>
              </w:rPr>
            </w:pPr>
            <w:r w:rsidRPr="00B376BC">
              <w:rPr>
                <w:lang w:eastAsia="en-AU"/>
              </w:rPr>
              <w:t xml:space="preserve">Financial and Resource Management Frameworks Maintenance and Support </w:t>
            </w:r>
          </w:p>
        </w:tc>
      </w:tr>
      <w:tr w:rsidR="00E25CC6" w:rsidRPr="00B376BC" w:rsidTr="00A959A3">
        <w:trPr>
          <w:cantSplit/>
        </w:trPr>
        <w:tc>
          <w:tcPr>
            <w:tcW w:w="3146" w:type="dxa"/>
            <w:tcBorders>
              <w:top w:val="single" w:sz="6" w:space="0" w:color="auto"/>
              <w:left w:val="nil"/>
              <w:bottom w:val="nil"/>
              <w:right w:val="nil"/>
            </w:tcBorders>
          </w:tcPr>
          <w:p w:rsidR="00E25CC6" w:rsidRPr="00B376BC" w:rsidRDefault="00E25CC6" w:rsidP="00B376BC">
            <w:pPr>
              <w:autoSpaceDE w:val="0"/>
              <w:autoSpaceDN w:val="0"/>
              <w:adjustRightInd w:val="0"/>
              <w:spacing w:after="0"/>
              <w:ind w:left="227" w:hanging="227"/>
              <w:rPr>
                <w:rFonts w:ascii="Calibri" w:hAnsi="Calibri" w:cs="Calibri"/>
                <w:i/>
                <w:iCs/>
                <w:color w:val="000000"/>
                <w:sz w:val="19"/>
                <w:szCs w:val="22"/>
                <w:lang w:eastAsia="en-AU"/>
              </w:rPr>
            </w:pPr>
            <w:r w:rsidRPr="00B376BC">
              <w:rPr>
                <w:rFonts w:ascii="Calibri" w:hAnsi="Calibri" w:cs="Calibri"/>
                <w:i/>
                <w:iCs/>
                <w:color w:val="000000"/>
                <w:sz w:val="19"/>
                <w:szCs w:val="22"/>
                <w:lang w:eastAsia="en-AU"/>
              </w:rPr>
              <w:t>Quality</w:t>
            </w:r>
          </w:p>
        </w:tc>
        <w:tc>
          <w:tcPr>
            <w:tcW w:w="907"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r>
      <w:tr w:rsidR="00E25CC6" w:rsidRPr="00B376BC" w:rsidTr="00B376BC">
        <w:trPr>
          <w:cantSplit/>
        </w:trPr>
        <w:tc>
          <w:tcPr>
            <w:tcW w:w="3146" w:type="dxa"/>
            <w:tcBorders>
              <w:top w:val="nil"/>
              <w:left w:val="nil"/>
              <w:bottom w:val="nil"/>
              <w:right w:val="nil"/>
            </w:tcBorders>
          </w:tcPr>
          <w:p w:rsidR="00E25CC6" w:rsidRPr="00B376BC" w:rsidRDefault="00E25CC6" w:rsidP="00B376BC">
            <w:pPr>
              <w:pStyle w:val="OGTabText"/>
              <w:rPr>
                <w:lang w:eastAsia="en-AU"/>
              </w:rPr>
            </w:pPr>
            <w:r w:rsidRPr="00B376BC">
              <w:rPr>
                <w:lang w:eastAsia="en-AU"/>
              </w:rPr>
              <w:t>VPS stakeholder feedback indicates delivery of advice and information sessions supported the VPS to understand the financial management framework</w:t>
            </w: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center"/>
              <w:rPr>
                <w:rFonts w:ascii="Calibri" w:hAnsi="Calibri" w:cs="Calibri"/>
                <w:color w:val="000000"/>
                <w:sz w:val="19"/>
                <w:szCs w:val="22"/>
                <w:lang w:eastAsia="en-AU"/>
              </w:rPr>
            </w:pPr>
            <w:r w:rsidRPr="00B376BC">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80</w:t>
            </w:r>
          </w:p>
        </w:tc>
        <w:tc>
          <w:tcPr>
            <w:tcW w:w="992"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80</w:t>
            </w: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80</w:t>
            </w:r>
          </w:p>
        </w:tc>
        <w:tc>
          <w:tcPr>
            <w:tcW w:w="908"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87</w:t>
            </w:r>
          </w:p>
        </w:tc>
      </w:tr>
      <w:tr w:rsidR="00E25CC6" w:rsidRPr="00B376BC" w:rsidTr="00A959A3">
        <w:trPr>
          <w:cantSplit/>
        </w:trPr>
        <w:tc>
          <w:tcPr>
            <w:tcW w:w="7767" w:type="dxa"/>
            <w:gridSpan w:val="6"/>
            <w:tcBorders>
              <w:top w:val="nil"/>
              <w:left w:val="nil"/>
              <w:bottom w:val="single" w:sz="6" w:space="0" w:color="auto"/>
              <w:right w:val="nil"/>
            </w:tcBorders>
          </w:tcPr>
          <w:p w:rsidR="00E25CC6" w:rsidRPr="00B376BC" w:rsidRDefault="00E25CC6" w:rsidP="003E79BE">
            <w:pPr>
              <w:pStyle w:val="OGNotes"/>
            </w:pPr>
            <w:r w:rsidRPr="00B376BC">
              <w:t>This performance measure is proposed to be discontinued as it has been consolidated into the 2016</w:t>
            </w:r>
            <w:r w:rsidRPr="00255F85">
              <w:noBreakHyphen/>
            </w:r>
            <w:r w:rsidRPr="00B376BC">
              <w:t xml:space="preserve">17 performance measure </w:t>
            </w:r>
            <w:r>
              <w:t>‘</w:t>
            </w:r>
            <w:r w:rsidRPr="00B376BC">
              <w:t>VPS stakeholder feedback indicates delivery of advice and information sessions supported the financial reporting framework across the VPS and supported the VPS to understand the financial management framework</w:t>
            </w:r>
            <w:r>
              <w:t>’</w:t>
            </w:r>
            <w:r w:rsidRPr="00B376BC">
              <w:t>.</w:t>
            </w:r>
          </w:p>
        </w:tc>
      </w:tr>
      <w:tr w:rsidR="00E25CC6" w:rsidRPr="00B376BC" w:rsidTr="00A959A3">
        <w:trPr>
          <w:cantSplit/>
        </w:trPr>
        <w:tc>
          <w:tcPr>
            <w:tcW w:w="7767" w:type="dxa"/>
            <w:gridSpan w:val="6"/>
            <w:tcBorders>
              <w:top w:val="single" w:sz="6" w:space="0" w:color="auto"/>
              <w:left w:val="nil"/>
              <w:bottom w:val="single" w:sz="6" w:space="0" w:color="auto"/>
              <w:right w:val="nil"/>
            </w:tcBorders>
          </w:tcPr>
          <w:p w:rsidR="00E25CC6" w:rsidRPr="00B376BC" w:rsidRDefault="00E25CC6" w:rsidP="00B376BC">
            <w:pPr>
              <w:pStyle w:val="OGHeading2"/>
              <w:rPr>
                <w:lang w:eastAsia="en-AU"/>
              </w:rPr>
            </w:pPr>
            <w:r w:rsidRPr="00B376BC">
              <w:rPr>
                <w:lang w:eastAsia="en-AU"/>
              </w:rPr>
              <w:t xml:space="preserve">Financial Reporting </w:t>
            </w:r>
          </w:p>
        </w:tc>
      </w:tr>
      <w:tr w:rsidR="00E25CC6" w:rsidRPr="00B376BC" w:rsidTr="00A959A3">
        <w:trPr>
          <w:cantSplit/>
        </w:trPr>
        <w:tc>
          <w:tcPr>
            <w:tcW w:w="3146" w:type="dxa"/>
            <w:tcBorders>
              <w:top w:val="single" w:sz="6" w:space="0" w:color="auto"/>
              <w:left w:val="nil"/>
              <w:bottom w:val="nil"/>
              <w:right w:val="nil"/>
            </w:tcBorders>
          </w:tcPr>
          <w:p w:rsidR="00E25CC6" w:rsidRPr="00B376BC" w:rsidRDefault="00E25CC6" w:rsidP="00B376BC">
            <w:pPr>
              <w:autoSpaceDE w:val="0"/>
              <w:autoSpaceDN w:val="0"/>
              <w:adjustRightInd w:val="0"/>
              <w:spacing w:after="0"/>
              <w:ind w:left="227" w:hanging="227"/>
              <w:rPr>
                <w:rFonts w:ascii="Calibri" w:hAnsi="Calibri" w:cs="Calibri"/>
                <w:i/>
                <w:iCs/>
                <w:color w:val="000000"/>
                <w:sz w:val="19"/>
                <w:szCs w:val="22"/>
                <w:lang w:eastAsia="en-AU"/>
              </w:rPr>
            </w:pPr>
            <w:r w:rsidRPr="00B376BC">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r>
      <w:tr w:rsidR="00E25CC6" w:rsidRPr="00B376BC" w:rsidTr="00B376BC">
        <w:trPr>
          <w:cantSplit/>
        </w:trPr>
        <w:tc>
          <w:tcPr>
            <w:tcW w:w="3146" w:type="dxa"/>
            <w:tcBorders>
              <w:top w:val="nil"/>
              <w:left w:val="nil"/>
              <w:bottom w:val="nil"/>
              <w:right w:val="nil"/>
            </w:tcBorders>
          </w:tcPr>
          <w:p w:rsidR="00E25CC6" w:rsidRPr="00B376BC" w:rsidRDefault="00E25CC6" w:rsidP="005C02B0">
            <w:pPr>
              <w:pStyle w:val="OGTabText"/>
              <w:rPr>
                <w:lang w:eastAsia="en-AU"/>
              </w:rPr>
            </w:pPr>
            <w:r w:rsidRPr="00B376BC">
              <w:rPr>
                <w:lang w:eastAsia="en-AU"/>
              </w:rPr>
              <w:t>Supporting the financial reporting framework across the VPS (survey</w:t>
            </w:r>
            <w:r>
              <w:rPr>
                <w:lang w:eastAsia="en-AU"/>
              </w:rPr>
              <w:t> </w:t>
            </w:r>
            <w:r w:rsidRPr="00B376BC">
              <w:rPr>
                <w:lang w:eastAsia="en-AU"/>
              </w:rPr>
              <w:t>data)</w:t>
            </w: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center"/>
              <w:rPr>
                <w:rFonts w:ascii="Calibri" w:hAnsi="Calibri" w:cs="Calibri"/>
                <w:color w:val="000000"/>
                <w:sz w:val="19"/>
                <w:szCs w:val="22"/>
                <w:lang w:eastAsia="en-AU"/>
              </w:rPr>
            </w:pPr>
            <w:r w:rsidRPr="00B376BC">
              <w:rPr>
                <w:rFonts w:ascii="Calibri"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80</w:t>
            </w:r>
          </w:p>
        </w:tc>
        <w:tc>
          <w:tcPr>
            <w:tcW w:w="992"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80</w:t>
            </w: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80</w:t>
            </w:r>
          </w:p>
        </w:tc>
        <w:tc>
          <w:tcPr>
            <w:tcW w:w="908"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83</w:t>
            </w:r>
          </w:p>
        </w:tc>
      </w:tr>
      <w:tr w:rsidR="00E25CC6" w:rsidRPr="00B376BC" w:rsidTr="00A959A3">
        <w:trPr>
          <w:cantSplit/>
        </w:trPr>
        <w:tc>
          <w:tcPr>
            <w:tcW w:w="7767" w:type="dxa"/>
            <w:gridSpan w:val="6"/>
            <w:tcBorders>
              <w:top w:val="nil"/>
              <w:left w:val="nil"/>
              <w:bottom w:val="single" w:sz="6" w:space="0" w:color="auto"/>
              <w:right w:val="nil"/>
            </w:tcBorders>
          </w:tcPr>
          <w:p w:rsidR="00E25CC6" w:rsidRPr="00B376BC" w:rsidRDefault="00E25CC6" w:rsidP="003E79BE">
            <w:pPr>
              <w:pStyle w:val="OGNotes"/>
            </w:pPr>
            <w:r w:rsidRPr="00B376BC">
              <w:t>This performance measure is proposed to be discontinued as it has been consolidated into the 2016</w:t>
            </w:r>
            <w:r w:rsidRPr="00255F85">
              <w:noBreakHyphen/>
            </w:r>
            <w:r w:rsidRPr="00B376BC">
              <w:t xml:space="preserve">17 performance measure </w:t>
            </w:r>
            <w:r>
              <w:t>‘</w:t>
            </w:r>
            <w:r w:rsidRPr="00B376BC">
              <w:t>VPS stakeholder feedback indicates delivery of advice and information sessions supported the financial reporting framework across the VPS and supported the VPS to understand the financial management framework</w:t>
            </w:r>
            <w:r>
              <w:t>’</w:t>
            </w:r>
            <w:r w:rsidRPr="00B376BC">
              <w:t>.</w:t>
            </w:r>
          </w:p>
        </w:tc>
      </w:tr>
      <w:tr w:rsidR="00E25CC6" w:rsidRPr="00B376BC" w:rsidTr="00A959A3">
        <w:trPr>
          <w:cantSplit/>
        </w:trPr>
        <w:tc>
          <w:tcPr>
            <w:tcW w:w="7767" w:type="dxa"/>
            <w:gridSpan w:val="6"/>
            <w:tcBorders>
              <w:top w:val="single" w:sz="6" w:space="0" w:color="auto"/>
              <w:left w:val="nil"/>
              <w:bottom w:val="single" w:sz="6" w:space="0" w:color="auto"/>
              <w:right w:val="nil"/>
            </w:tcBorders>
          </w:tcPr>
          <w:p w:rsidR="00E25CC6" w:rsidRPr="00B376BC" w:rsidRDefault="00E25CC6" w:rsidP="00B376BC">
            <w:pPr>
              <w:pStyle w:val="OGHeading2"/>
              <w:rPr>
                <w:lang w:eastAsia="en-AU"/>
              </w:rPr>
            </w:pPr>
            <w:r w:rsidRPr="00B376BC">
              <w:rPr>
                <w:lang w:eastAsia="en-AU"/>
              </w:rPr>
              <w:t>Business Environment Policy Advice</w:t>
            </w:r>
          </w:p>
        </w:tc>
      </w:tr>
      <w:tr w:rsidR="00E25CC6" w:rsidRPr="00B376BC" w:rsidTr="00A959A3">
        <w:trPr>
          <w:cantSplit/>
        </w:trPr>
        <w:tc>
          <w:tcPr>
            <w:tcW w:w="3146" w:type="dxa"/>
            <w:tcBorders>
              <w:top w:val="single" w:sz="6" w:space="0" w:color="auto"/>
              <w:left w:val="nil"/>
              <w:bottom w:val="nil"/>
              <w:right w:val="nil"/>
            </w:tcBorders>
          </w:tcPr>
          <w:p w:rsidR="00E25CC6" w:rsidRPr="00B376BC" w:rsidRDefault="00E25CC6" w:rsidP="00B376BC">
            <w:pPr>
              <w:autoSpaceDE w:val="0"/>
              <w:autoSpaceDN w:val="0"/>
              <w:adjustRightInd w:val="0"/>
              <w:spacing w:after="0"/>
              <w:ind w:left="227" w:hanging="227"/>
              <w:rPr>
                <w:rFonts w:ascii="Calibri" w:hAnsi="Calibri" w:cs="Calibri"/>
                <w:i/>
                <w:iCs/>
                <w:color w:val="000000"/>
                <w:sz w:val="19"/>
                <w:szCs w:val="22"/>
                <w:lang w:eastAsia="en-AU"/>
              </w:rPr>
            </w:pPr>
            <w:r w:rsidRPr="00B376BC">
              <w:rPr>
                <w:rFonts w:ascii="Calibri" w:hAnsi="Calibri" w:cs="Calibri"/>
                <w:i/>
                <w:iCs/>
                <w:color w:val="000000"/>
                <w:sz w:val="19"/>
                <w:szCs w:val="22"/>
                <w:lang w:eastAsia="en-AU"/>
              </w:rPr>
              <w:t>Quantity</w:t>
            </w:r>
          </w:p>
        </w:tc>
        <w:tc>
          <w:tcPr>
            <w:tcW w:w="907"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center"/>
              <w:rPr>
                <w:rFonts w:ascii="Calibri"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92"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07"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c>
          <w:tcPr>
            <w:tcW w:w="908" w:type="dxa"/>
            <w:tcBorders>
              <w:top w:val="single" w:sz="6" w:space="0" w:color="auto"/>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p>
        </w:tc>
      </w:tr>
      <w:tr w:rsidR="00E25CC6" w:rsidRPr="00B376BC" w:rsidTr="00B376BC">
        <w:trPr>
          <w:cantSplit/>
        </w:trPr>
        <w:tc>
          <w:tcPr>
            <w:tcW w:w="3146" w:type="dxa"/>
            <w:tcBorders>
              <w:top w:val="nil"/>
              <w:left w:val="nil"/>
              <w:bottom w:val="nil"/>
              <w:right w:val="nil"/>
            </w:tcBorders>
          </w:tcPr>
          <w:p w:rsidR="00E25CC6" w:rsidRPr="00B376BC" w:rsidRDefault="00E25CC6" w:rsidP="00B376BC">
            <w:pPr>
              <w:pStyle w:val="OGTabText"/>
              <w:rPr>
                <w:lang w:eastAsia="en-AU"/>
              </w:rPr>
            </w:pPr>
            <w:r w:rsidRPr="00B376BC">
              <w:rPr>
                <w:lang w:eastAsia="en-AU"/>
              </w:rPr>
              <w:t>Number of inquiry reports and regulatory improvement studies submitted to Government</w:t>
            </w: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center"/>
              <w:rPr>
                <w:rFonts w:ascii="Calibri" w:hAnsi="Calibri" w:cs="Calibri"/>
                <w:color w:val="000000"/>
                <w:sz w:val="19"/>
                <w:szCs w:val="22"/>
                <w:lang w:eastAsia="en-AU"/>
              </w:rPr>
            </w:pPr>
            <w:r w:rsidRPr="00B376BC">
              <w:rPr>
                <w:rFonts w:ascii="Calibri" w:hAnsi="Calibri" w:cs="Calibri"/>
                <w:color w:val="000000"/>
                <w:sz w:val="19"/>
                <w:szCs w:val="22"/>
                <w:lang w:eastAsia="en-AU"/>
              </w:rPr>
              <w:t>number</w:t>
            </w:r>
          </w:p>
        </w:tc>
        <w:tc>
          <w:tcPr>
            <w:tcW w:w="907" w:type="dxa"/>
            <w:tcBorders>
              <w:top w:val="nil"/>
              <w:left w:val="nil"/>
              <w:bottom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na</w:t>
            </w:r>
          </w:p>
        </w:tc>
        <w:tc>
          <w:tcPr>
            <w:tcW w:w="992"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na</w:t>
            </w: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4</w:t>
            </w:r>
          </w:p>
        </w:tc>
        <w:tc>
          <w:tcPr>
            <w:tcW w:w="908"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nm</w:t>
            </w:r>
          </w:p>
        </w:tc>
      </w:tr>
      <w:tr w:rsidR="00E25CC6" w:rsidRPr="00B376BC" w:rsidTr="00B376BC">
        <w:trPr>
          <w:cantSplit/>
        </w:trPr>
        <w:tc>
          <w:tcPr>
            <w:tcW w:w="7767" w:type="dxa"/>
            <w:gridSpan w:val="6"/>
            <w:tcBorders>
              <w:top w:val="nil"/>
              <w:left w:val="nil"/>
              <w:bottom w:val="single" w:sz="6" w:space="0" w:color="auto"/>
              <w:right w:val="nil"/>
            </w:tcBorders>
          </w:tcPr>
          <w:p w:rsidR="00E25CC6" w:rsidRPr="00B376BC" w:rsidRDefault="00E25CC6" w:rsidP="00B376BC">
            <w:pPr>
              <w:pStyle w:val="OGNotes"/>
            </w:pPr>
            <w:r w:rsidRPr="00B376BC">
              <w:t>This performance measure is proposed to be discontinued as it is no longer relevant to the revised functions of this output.</w:t>
            </w:r>
          </w:p>
          <w:p w:rsidR="00E25CC6" w:rsidRPr="00B376BC" w:rsidRDefault="00E25CC6" w:rsidP="00B376BC">
            <w:pPr>
              <w:pStyle w:val="OGNotes"/>
            </w:pPr>
            <w:r w:rsidRPr="00B376BC">
              <w:t>The 2015</w:t>
            </w:r>
            <w:r w:rsidRPr="00255F85">
              <w:noBreakHyphen/>
            </w:r>
            <w:r w:rsidRPr="00B376BC">
              <w:t xml:space="preserve">16 </w:t>
            </w:r>
            <w:r w:rsidRPr="00AF58D1">
              <w:t>expected outcome</w:t>
            </w:r>
            <w:r w:rsidRPr="00B376BC">
              <w:t xml:space="preserve"> is lower than the 2015</w:t>
            </w:r>
            <w:r w:rsidRPr="00255F85">
              <w:noBreakHyphen/>
            </w:r>
            <w:r w:rsidRPr="00B376BC">
              <w:t xml:space="preserve">16 </w:t>
            </w:r>
            <w:r w:rsidRPr="00AF58D1">
              <w:t>target</w:t>
            </w:r>
            <w:r w:rsidRPr="00B376BC">
              <w:t xml:space="preserve"> as the former Victorian Competition and Efficiency Commission did not receive any terms of reference for new inquires or regulatory improvement studies before it was abolished in September 2015.</w:t>
            </w:r>
          </w:p>
        </w:tc>
      </w:tr>
      <w:tr w:rsidR="00E25CC6" w:rsidRPr="00B376BC" w:rsidTr="00B376BC">
        <w:trPr>
          <w:cantSplit/>
        </w:trPr>
        <w:tc>
          <w:tcPr>
            <w:tcW w:w="3146" w:type="dxa"/>
            <w:tcBorders>
              <w:top w:val="nil"/>
              <w:left w:val="nil"/>
              <w:bottom w:val="nil"/>
              <w:right w:val="nil"/>
            </w:tcBorders>
          </w:tcPr>
          <w:p w:rsidR="00E25CC6" w:rsidRPr="00B376BC" w:rsidRDefault="00E25CC6" w:rsidP="00B376BC">
            <w:pPr>
              <w:autoSpaceDE w:val="0"/>
              <w:autoSpaceDN w:val="0"/>
              <w:adjustRightInd w:val="0"/>
              <w:spacing w:after="0"/>
              <w:ind w:left="227" w:hanging="227"/>
              <w:rPr>
                <w:rFonts w:ascii="Calibri" w:hAnsi="Calibri" w:cs="Calibri"/>
                <w:i/>
                <w:iCs/>
                <w:color w:val="000000"/>
                <w:sz w:val="19"/>
                <w:szCs w:val="22"/>
                <w:lang w:eastAsia="en-AU"/>
              </w:rPr>
            </w:pPr>
            <w:r w:rsidRPr="00B376BC">
              <w:rPr>
                <w:rFonts w:ascii="Calibri" w:hAnsi="Calibri" w:cs="Calibri"/>
                <w:i/>
                <w:iCs/>
                <w:color w:val="000000"/>
                <w:sz w:val="19"/>
                <w:szCs w:val="22"/>
                <w:lang w:eastAsia="en-AU"/>
              </w:rPr>
              <w:t>Timeliness</w:t>
            </w: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center"/>
              <w:rPr>
                <w:rFonts w:ascii="Calibri" w:hAnsi="Calibri" w:cs="Calibri"/>
                <w:i/>
                <w:iCs/>
                <w:color w:val="000000"/>
                <w:sz w:val="19"/>
                <w:szCs w:val="22"/>
                <w:lang w:eastAsia="en-AU"/>
              </w:rPr>
            </w:pPr>
          </w:p>
        </w:tc>
        <w:tc>
          <w:tcPr>
            <w:tcW w:w="907" w:type="dxa"/>
            <w:tcBorders>
              <w:top w:val="nil"/>
              <w:left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i/>
                <w:iCs/>
                <w:color w:val="000000"/>
                <w:sz w:val="19"/>
                <w:szCs w:val="22"/>
                <w:lang w:eastAsia="en-AU"/>
              </w:rPr>
            </w:pPr>
          </w:p>
        </w:tc>
        <w:tc>
          <w:tcPr>
            <w:tcW w:w="992"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i/>
                <w:iCs/>
                <w:color w:val="000000"/>
                <w:sz w:val="19"/>
                <w:szCs w:val="22"/>
                <w:lang w:eastAsia="en-AU"/>
              </w:rPr>
            </w:pPr>
          </w:p>
        </w:tc>
        <w:tc>
          <w:tcPr>
            <w:tcW w:w="907"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i/>
                <w:iCs/>
                <w:color w:val="000000"/>
                <w:sz w:val="19"/>
                <w:szCs w:val="22"/>
                <w:lang w:eastAsia="en-AU"/>
              </w:rPr>
            </w:pPr>
          </w:p>
        </w:tc>
        <w:tc>
          <w:tcPr>
            <w:tcW w:w="908" w:type="dxa"/>
            <w:tcBorders>
              <w:top w:val="nil"/>
              <w:left w:val="nil"/>
              <w:bottom w:val="nil"/>
              <w:right w:val="nil"/>
            </w:tcBorders>
          </w:tcPr>
          <w:p w:rsidR="00E25CC6" w:rsidRPr="00B376BC" w:rsidRDefault="00E25CC6" w:rsidP="00B376BC">
            <w:pPr>
              <w:autoSpaceDE w:val="0"/>
              <w:autoSpaceDN w:val="0"/>
              <w:adjustRightInd w:val="0"/>
              <w:spacing w:after="0"/>
              <w:jc w:val="right"/>
              <w:rPr>
                <w:rFonts w:ascii="Calibri" w:hAnsi="Calibri" w:cs="Calibri"/>
                <w:i/>
                <w:iCs/>
                <w:color w:val="000000"/>
                <w:sz w:val="19"/>
                <w:szCs w:val="22"/>
                <w:lang w:eastAsia="en-AU"/>
              </w:rPr>
            </w:pPr>
          </w:p>
        </w:tc>
      </w:tr>
      <w:tr w:rsidR="00E25CC6" w:rsidRPr="00B376BC" w:rsidTr="00B376BC">
        <w:trPr>
          <w:cantSplit/>
        </w:trPr>
        <w:tc>
          <w:tcPr>
            <w:tcW w:w="3146" w:type="dxa"/>
            <w:tcBorders>
              <w:top w:val="nil"/>
              <w:left w:val="nil"/>
              <w:right w:val="nil"/>
            </w:tcBorders>
          </w:tcPr>
          <w:p w:rsidR="00E25CC6" w:rsidRPr="00B376BC" w:rsidRDefault="00E25CC6" w:rsidP="00B376BC">
            <w:pPr>
              <w:pStyle w:val="OGTabText"/>
              <w:rPr>
                <w:lang w:eastAsia="en-AU"/>
              </w:rPr>
            </w:pPr>
            <w:r w:rsidRPr="00B376BC">
              <w:rPr>
                <w:lang w:eastAsia="en-AU"/>
              </w:rPr>
              <w:t>Completion of inquiry reports and regu</w:t>
            </w:r>
            <w:r>
              <w:rPr>
                <w:lang w:eastAsia="en-AU"/>
              </w:rPr>
              <w:t>l</w:t>
            </w:r>
            <w:r w:rsidRPr="00B376BC">
              <w:rPr>
                <w:lang w:eastAsia="en-AU"/>
              </w:rPr>
              <w:t>atory improvement studies by due date</w:t>
            </w:r>
          </w:p>
        </w:tc>
        <w:tc>
          <w:tcPr>
            <w:tcW w:w="907" w:type="dxa"/>
            <w:tcBorders>
              <w:top w:val="nil"/>
              <w:left w:val="nil"/>
              <w:right w:val="nil"/>
            </w:tcBorders>
          </w:tcPr>
          <w:p w:rsidR="00E25CC6" w:rsidRPr="00B376BC" w:rsidRDefault="00E25CC6" w:rsidP="00B376BC">
            <w:pPr>
              <w:autoSpaceDE w:val="0"/>
              <w:autoSpaceDN w:val="0"/>
              <w:adjustRightInd w:val="0"/>
              <w:spacing w:after="0"/>
              <w:jc w:val="center"/>
              <w:rPr>
                <w:rFonts w:ascii="Calibri" w:hAnsi="Calibri" w:cs="Calibri"/>
                <w:color w:val="000000"/>
                <w:sz w:val="19"/>
                <w:szCs w:val="22"/>
                <w:lang w:eastAsia="en-AU"/>
              </w:rPr>
            </w:pPr>
            <w:r w:rsidRPr="00B376BC">
              <w:rPr>
                <w:rFonts w:ascii="Calibri"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na</w:t>
            </w:r>
          </w:p>
        </w:tc>
        <w:tc>
          <w:tcPr>
            <w:tcW w:w="992" w:type="dxa"/>
            <w:tcBorders>
              <w:top w:val="nil"/>
              <w:left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Pr>
                <w:rFonts w:ascii="Calibri" w:hAnsi="Calibri" w:cs="Calibri"/>
                <w:color w:val="000000"/>
                <w:sz w:val="19"/>
                <w:szCs w:val="22"/>
                <w:lang w:eastAsia="en-AU"/>
              </w:rPr>
              <w:t>na</w:t>
            </w:r>
          </w:p>
        </w:tc>
        <w:tc>
          <w:tcPr>
            <w:tcW w:w="907" w:type="dxa"/>
            <w:tcBorders>
              <w:top w:val="nil"/>
              <w:left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100</w:t>
            </w:r>
          </w:p>
        </w:tc>
        <w:tc>
          <w:tcPr>
            <w:tcW w:w="908" w:type="dxa"/>
            <w:tcBorders>
              <w:top w:val="nil"/>
              <w:left w:val="nil"/>
              <w:right w:val="nil"/>
            </w:tcBorders>
          </w:tcPr>
          <w:p w:rsidR="00E25CC6" w:rsidRPr="00B376BC" w:rsidRDefault="00E25CC6" w:rsidP="00B376BC">
            <w:pPr>
              <w:autoSpaceDE w:val="0"/>
              <w:autoSpaceDN w:val="0"/>
              <w:adjustRightInd w:val="0"/>
              <w:spacing w:after="0"/>
              <w:jc w:val="right"/>
              <w:rPr>
                <w:rFonts w:ascii="Calibri" w:hAnsi="Calibri" w:cs="Calibri"/>
                <w:color w:val="000000"/>
                <w:sz w:val="19"/>
                <w:szCs w:val="22"/>
                <w:lang w:eastAsia="en-AU"/>
              </w:rPr>
            </w:pPr>
            <w:r w:rsidRPr="00B376BC">
              <w:rPr>
                <w:rFonts w:ascii="Calibri" w:hAnsi="Calibri" w:cs="Calibri"/>
                <w:color w:val="000000"/>
                <w:sz w:val="19"/>
                <w:szCs w:val="22"/>
                <w:lang w:eastAsia="en-AU"/>
              </w:rPr>
              <w:t>nm</w:t>
            </w:r>
          </w:p>
        </w:tc>
      </w:tr>
      <w:tr w:rsidR="00E25CC6" w:rsidRPr="00B376BC" w:rsidTr="00B376BC">
        <w:trPr>
          <w:cantSplit/>
        </w:trPr>
        <w:tc>
          <w:tcPr>
            <w:tcW w:w="7767" w:type="dxa"/>
            <w:gridSpan w:val="6"/>
            <w:tcBorders>
              <w:top w:val="nil"/>
              <w:left w:val="nil"/>
              <w:bottom w:val="single" w:sz="12" w:space="0" w:color="auto"/>
              <w:right w:val="nil"/>
            </w:tcBorders>
          </w:tcPr>
          <w:p w:rsidR="00E25CC6" w:rsidRPr="00B376BC" w:rsidRDefault="00E25CC6" w:rsidP="00B376BC">
            <w:pPr>
              <w:pStyle w:val="OGNotes"/>
            </w:pPr>
            <w:r w:rsidRPr="00B376BC">
              <w:t>This performance measure is proposed to be discontinued as it is no longer relevant to the revised functions of this output.</w:t>
            </w:r>
          </w:p>
          <w:p w:rsidR="00E25CC6" w:rsidRPr="00B376BC" w:rsidRDefault="00E25CC6" w:rsidP="00B376BC">
            <w:pPr>
              <w:pStyle w:val="OGNotes"/>
            </w:pPr>
            <w:r w:rsidRPr="00B376BC">
              <w:t>The 2015</w:t>
            </w:r>
            <w:r w:rsidRPr="00255F85">
              <w:noBreakHyphen/>
            </w:r>
            <w:r w:rsidRPr="00B376BC">
              <w:t xml:space="preserve">16 </w:t>
            </w:r>
            <w:r w:rsidRPr="00AF58D1">
              <w:t>expected outcome</w:t>
            </w:r>
            <w:r w:rsidRPr="00B376BC">
              <w:t xml:space="preserve"> is lower than the 2015</w:t>
            </w:r>
            <w:r w:rsidRPr="00255F85">
              <w:noBreakHyphen/>
            </w:r>
            <w:r w:rsidRPr="00B376BC">
              <w:t xml:space="preserve">16 </w:t>
            </w:r>
            <w:r w:rsidRPr="00AF58D1">
              <w:t>target</w:t>
            </w:r>
            <w:r w:rsidRPr="00B376BC">
              <w:t xml:space="preserve"> as the former Victorian Competition and Efficiency Commission did not receive any terms of reference for new inquires or regulatory improvement studies before it was abolished in September 2015.</w:t>
            </w:r>
          </w:p>
        </w:tc>
      </w:tr>
    </w:tbl>
    <w:p w:rsidR="00E25CC6" w:rsidRDefault="00E25CC6" w:rsidP="00A959A3">
      <w:pPr>
        <w:pStyle w:val="Source"/>
        <w:rPr>
          <w:rFonts w:eastAsiaTheme="minorHAnsi"/>
        </w:rPr>
      </w:pPr>
      <w:r>
        <w:rPr>
          <w:rFonts w:eastAsiaTheme="minorHAnsi"/>
        </w:rPr>
        <w:t>Source: Department of Treasury and Finance</w:t>
      </w:r>
    </w:p>
    <w:p w:rsidR="00E25CC6" w:rsidRDefault="00E25CC6">
      <w:pPr>
        <w:spacing w:after="0"/>
        <w:rPr>
          <w:rFonts w:ascii="Calibri" w:eastAsiaTheme="minorHAnsi" w:hAnsi="Calibri"/>
          <w:i/>
          <w:sz w:val="15"/>
        </w:rPr>
      </w:pPr>
      <w:r>
        <w:rPr>
          <w:rFonts w:eastAsiaTheme="minorHAnsi"/>
        </w:rPr>
        <w:br w:type="page"/>
      </w:r>
    </w:p>
    <w:p w:rsidR="00E25CC6" w:rsidRPr="00995DA6" w:rsidRDefault="00E25CC6" w:rsidP="00995DA6">
      <w:pPr>
        <w:pStyle w:val="Heading1"/>
        <w:rPr>
          <w:rFonts w:eastAsiaTheme="minorHAnsi"/>
        </w:rPr>
      </w:pPr>
      <w:bookmarkStart w:id="119" w:name="_Toc449109455"/>
      <w:r>
        <w:rPr>
          <w:rFonts w:eastAsiaTheme="minorHAnsi"/>
        </w:rPr>
        <w:t>Courts</w:t>
      </w:r>
      <w:bookmarkEnd w:id="119"/>
    </w:p>
    <w:tbl>
      <w:tblPr>
        <w:tblW w:w="7767" w:type="dxa"/>
        <w:tblInd w:w="45" w:type="dxa"/>
        <w:tblLayout w:type="fixed"/>
        <w:tblCellMar>
          <w:left w:w="45" w:type="dxa"/>
          <w:right w:w="45" w:type="dxa"/>
        </w:tblCellMar>
        <w:tblLook w:val="0000" w:firstRow="0" w:lastRow="0" w:firstColumn="0" w:lastColumn="0" w:noHBand="0" w:noVBand="0"/>
      </w:tblPr>
      <w:tblGrid>
        <w:gridCol w:w="3146"/>
        <w:gridCol w:w="907"/>
        <w:gridCol w:w="907"/>
        <w:gridCol w:w="992"/>
        <w:gridCol w:w="907"/>
        <w:gridCol w:w="908"/>
      </w:tblGrid>
      <w:tr w:rsidR="00E25CC6" w:rsidRPr="00995DA6" w:rsidTr="00995DA6">
        <w:trPr>
          <w:cantSplit/>
          <w:tblHeader/>
        </w:trPr>
        <w:tc>
          <w:tcPr>
            <w:tcW w:w="3146" w:type="dxa"/>
            <w:tcBorders>
              <w:top w:val="nil"/>
              <w:left w:val="nil"/>
              <w:bottom w:val="single" w:sz="4" w:space="0" w:color="auto"/>
              <w:right w:val="nil"/>
            </w:tcBorders>
            <w:shd w:val="solid" w:color="000000" w:fill="auto"/>
            <w:vAlign w:val="bottom"/>
          </w:tcPr>
          <w:p w:rsidR="00E25CC6" w:rsidRPr="00995DA6" w:rsidRDefault="00E25CC6" w:rsidP="00995DA6">
            <w:pPr>
              <w:autoSpaceDE w:val="0"/>
              <w:autoSpaceDN w:val="0"/>
              <w:adjustRightInd w:val="0"/>
              <w:spacing w:after="0"/>
              <w:rPr>
                <w:rFonts w:ascii="Calibri" w:eastAsiaTheme="minorEastAsia" w:hAnsi="Calibri" w:cs="Calibri"/>
                <w:i/>
                <w:iCs/>
                <w:color w:val="FFFFFF"/>
                <w:sz w:val="19"/>
                <w:szCs w:val="22"/>
                <w:lang w:eastAsia="en-AU"/>
              </w:rPr>
            </w:pPr>
            <w:r w:rsidRPr="00995DA6">
              <w:rPr>
                <w:rFonts w:ascii="Calibri" w:eastAsiaTheme="minorEastAsia" w:hAnsi="Calibri" w:cs="Calibri"/>
                <w:b/>
                <w:bCs/>
                <w:color w:val="FFFFFF"/>
                <w:sz w:val="19"/>
                <w:szCs w:val="22"/>
                <w:lang w:eastAsia="en-AU"/>
              </w:rPr>
              <w:t>Major outputs/deliverables</w:t>
            </w:r>
          </w:p>
          <w:p w:rsidR="00E25CC6" w:rsidRPr="00995DA6" w:rsidRDefault="00E25CC6" w:rsidP="00995DA6">
            <w:pPr>
              <w:autoSpaceDE w:val="0"/>
              <w:autoSpaceDN w:val="0"/>
              <w:adjustRightInd w:val="0"/>
              <w:spacing w:after="0"/>
              <w:rPr>
                <w:rFonts w:ascii="Calibri" w:eastAsiaTheme="minorEastAsia" w:hAnsi="Calibri" w:cs="Calibri"/>
                <w:i/>
                <w:iCs/>
                <w:color w:val="FFFFFF"/>
                <w:sz w:val="19"/>
                <w:szCs w:val="22"/>
                <w:lang w:eastAsia="en-AU"/>
              </w:rPr>
            </w:pPr>
            <w:r w:rsidRPr="00995DA6">
              <w:rPr>
                <w:rFonts w:ascii="Calibri" w:eastAsiaTheme="minorEastAsia" w:hAnsi="Calibri" w:cs="Calibri"/>
                <w:i/>
                <w:iCs/>
                <w:color w:val="FFFFFF"/>
                <w:sz w:val="19"/>
                <w:szCs w:val="22"/>
                <w:lang w:eastAsia="en-AU"/>
              </w:rPr>
              <w:t>Performance measures</w:t>
            </w:r>
          </w:p>
        </w:tc>
        <w:tc>
          <w:tcPr>
            <w:tcW w:w="907" w:type="dxa"/>
            <w:tcBorders>
              <w:top w:val="nil"/>
              <w:left w:val="nil"/>
              <w:bottom w:val="single" w:sz="4" w:space="0" w:color="auto"/>
              <w:right w:val="nil"/>
            </w:tcBorders>
            <w:shd w:val="solid" w:color="000000" w:fill="auto"/>
            <w:vAlign w:val="bottom"/>
          </w:tcPr>
          <w:p w:rsidR="00E25CC6" w:rsidRPr="00995DA6" w:rsidRDefault="00E25CC6" w:rsidP="00995DA6">
            <w:pPr>
              <w:autoSpaceDE w:val="0"/>
              <w:autoSpaceDN w:val="0"/>
              <w:adjustRightInd w:val="0"/>
              <w:spacing w:after="0"/>
              <w:jc w:val="center"/>
              <w:rPr>
                <w:rFonts w:ascii="Calibri" w:eastAsiaTheme="minorEastAsia" w:hAnsi="Calibri" w:cs="Calibri"/>
                <w:i/>
                <w:iCs/>
                <w:color w:val="FFFFFF"/>
                <w:sz w:val="19"/>
                <w:szCs w:val="22"/>
                <w:lang w:eastAsia="en-AU"/>
              </w:rPr>
            </w:pPr>
            <w:r w:rsidRPr="00995DA6">
              <w:rPr>
                <w:rFonts w:ascii="Calibri" w:eastAsiaTheme="minorEastAsia" w:hAnsi="Calibri" w:cs="Calibri"/>
                <w:i/>
                <w:iCs/>
                <w:color w:val="FFFFFF"/>
                <w:sz w:val="19"/>
                <w:szCs w:val="22"/>
                <w:lang w:eastAsia="en-AU"/>
              </w:rPr>
              <w:t>Unit of measure</w:t>
            </w:r>
          </w:p>
        </w:tc>
        <w:tc>
          <w:tcPr>
            <w:tcW w:w="907" w:type="dxa"/>
            <w:tcBorders>
              <w:top w:val="nil"/>
              <w:left w:val="nil"/>
              <w:bottom w:val="single" w:sz="4" w:space="0" w:color="auto"/>
              <w:right w:val="nil"/>
            </w:tcBorders>
            <w:shd w:val="solid" w:color="000000" w:fill="auto"/>
            <w:vAlign w:val="bottom"/>
          </w:tcPr>
          <w:p w:rsidR="00E25CC6" w:rsidRPr="00995DA6" w:rsidRDefault="00E25CC6" w:rsidP="00995DA6">
            <w:pPr>
              <w:autoSpaceDE w:val="0"/>
              <w:autoSpaceDN w:val="0"/>
              <w:adjustRightInd w:val="0"/>
              <w:spacing w:after="0"/>
              <w:jc w:val="right"/>
              <w:rPr>
                <w:rFonts w:ascii="Calibri" w:eastAsiaTheme="minorEastAsia" w:hAnsi="Calibri" w:cs="Calibri"/>
                <w:i/>
                <w:iCs/>
                <w:color w:val="FFFFFF"/>
                <w:sz w:val="19"/>
                <w:szCs w:val="22"/>
                <w:lang w:eastAsia="en-AU"/>
              </w:rPr>
            </w:pPr>
            <w:r w:rsidRPr="00995DA6">
              <w:rPr>
                <w:rFonts w:ascii="Calibri" w:eastAsiaTheme="minorEastAsia" w:hAnsi="Calibri" w:cs="Calibri"/>
                <w:i/>
                <w:iCs/>
                <w:color w:val="FFFFFF"/>
                <w:sz w:val="19"/>
                <w:szCs w:val="22"/>
                <w:lang w:eastAsia="en-AU"/>
              </w:rPr>
              <w:t>2016</w:t>
            </w:r>
            <w:r w:rsidRPr="00255F85">
              <w:rPr>
                <w:rFonts w:ascii="Calibri" w:eastAsiaTheme="minorEastAsia" w:hAnsi="Calibri" w:cs="Calibri"/>
                <w:i/>
                <w:iCs/>
                <w:color w:val="FFFFFF"/>
                <w:sz w:val="19"/>
                <w:szCs w:val="22"/>
                <w:lang w:eastAsia="en-AU"/>
              </w:rPr>
              <w:noBreakHyphen/>
            </w:r>
            <w:r w:rsidRPr="00995DA6">
              <w:rPr>
                <w:rFonts w:ascii="Calibri" w:eastAsiaTheme="minorEastAsia" w:hAnsi="Calibri" w:cs="Calibri"/>
                <w:i/>
                <w:iCs/>
                <w:color w:val="FFFFFF"/>
                <w:sz w:val="19"/>
                <w:szCs w:val="22"/>
                <w:lang w:eastAsia="en-AU"/>
              </w:rPr>
              <w:t>17 target</w:t>
            </w:r>
          </w:p>
        </w:tc>
        <w:tc>
          <w:tcPr>
            <w:tcW w:w="992" w:type="dxa"/>
            <w:tcBorders>
              <w:top w:val="nil"/>
              <w:left w:val="nil"/>
              <w:bottom w:val="single" w:sz="4" w:space="0" w:color="auto"/>
              <w:right w:val="nil"/>
            </w:tcBorders>
            <w:shd w:val="solid" w:color="000000" w:fill="auto"/>
            <w:vAlign w:val="bottom"/>
          </w:tcPr>
          <w:p w:rsidR="00E25CC6" w:rsidRPr="00995DA6" w:rsidRDefault="00E25CC6" w:rsidP="00995DA6">
            <w:pPr>
              <w:autoSpaceDE w:val="0"/>
              <w:autoSpaceDN w:val="0"/>
              <w:adjustRightInd w:val="0"/>
              <w:spacing w:after="0"/>
              <w:jc w:val="right"/>
              <w:rPr>
                <w:rFonts w:ascii="Calibri" w:eastAsiaTheme="minorEastAsia" w:hAnsi="Calibri" w:cs="Calibri"/>
                <w:i/>
                <w:iCs/>
                <w:color w:val="FFFFFF"/>
                <w:sz w:val="19"/>
                <w:szCs w:val="22"/>
                <w:lang w:eastAsia="en-AU"/>
              </w:rPr>
            </w:pPr>
            <w:r w:rsidRPr="00995DA6">
              <w:rPr>
                <w:rFonts w:ascii="Calibri" w:eastAsiaTheme="minorEastAsia" w:hAnsi="Calibri" w:cs="Calibri"/>
                <w:i/>
                <w:iCs/>
                <w:color w:val="FFFFFF"/>
                <w:sz w:val="19"/>
                <w:szCs w:val="22"/>
                <w:lang w:eastAsia="en-AU"/>
              </w:rPr>
              <w:t>2015</w:t>
            </w:r>
            <w:r w:rsidRPr="00255F85">
              <w:rPr>
                <w:rFonts w:ascii="Calibri" w:eastAsiaTheme="minorEastAsia" w:hAnsi="Calibri" w:cs="Calibri"/>
                <w:i/>
                <w:iCs/>
                <w:color w:val="FFFFFF"/>
                <w:sz w:val="19"/>
                <w:szCs w:val="22"/>
                <w:lang w:eastAsia="en-AU"/>
              </w:rPr>
              <w:noBreakHyphen/>
            </w:r>
            <w:r w:rsidRPr="00995DA6">
              <w:rPr>
                <w:rFonts w:ascii="Calibri" w:eastAsiaTheme="minorEastAsia" w:hAnsi="Calibri" w:cs="Calibri"/>
                <w:i/>
                <w:iCs/>
                <w:color w:val="FFFFFF"/>
                <w:sz w:val="19"/>
                <w:szCs w:val="22"/>
                <w:lang w:eastAsia="en-AU"/>
              </w:rPr>
              <w:t>16 expected outcome</w:t>
            </w:r>
          </w:p>
        </w:tc>
        <w:tc>
          <w:tcPr>
            <w:tcW w:w="907" w:type="dxa"/>
            <w:tcBorders>
              <w:top w:val="nil"/>
              <w:left w:val="nil"/>
              <w:bottom w:val="single" w:sz="4" w:space="0" w:color="auto"/>
              <w:right w:val="nil"/>
            </w:tcBorders>
            <w:shd w:val="solid" w:color="000000" w:fill="auto"/>
            <w:vAlign w:val="bottom"/>
          </w:tcPr>
          <w:p w:rsidR="00E25CC6" w:rsidRPr="00995DA6" w:rsidRDefault="00E25CC6" w:rsidP="00995DA6">
            <w:pPr>
              <w:autoSpaceDE w:val="0"/>
              <w:autoSpaceDN w:val="0"/>
              <w:adjustRightInd w:val="0"/>
              <w:spacing w:after="0"/>
              <w:jc w:val="right"/>
              <w:rPr>
                <w:rFonts w:ascii="Calibri" w:eastAsiaTheme="minorEastAsia" w:hAnsi="Calibri" w:cs="Calibri"/>
                <w:i/>
                <w:iCs/>
                <w:color w:val="FFFFFF"/>
                <w:sz w:val="19"/>
                <w:szCs w:val="22"/>
                <w:lang w:eastAsia="en-AU"/>
              </w:rPr>
            </w:pPr>
            <w:r w:rsidRPr="00995DA6">
              <w:rPr>
                <w:rFonts w:ascii="Calibri" w:eastAsiaTheme="minorEastAsia" w:hAnsi="Calibri" w:cs="Calibri"/>
                <w:i/>
                <w:iCs/>
                <w:color w:val="FFFFFF"/>
                <w:sz w:val="19"/>
                <w:szCs w:val="22"/>
                <w:lang w:eastAsia="en-AU"/>
              </w:rPr>
              <w:t>2015</w:t>
            </w:r>
            <w:r w:rsidRPr="00255F85">
              <w:rPr>
                <w:rFonts w:ascii="Calibri" w:eastAsiaTheme="minorEastAsia" w:hAnsi="Calibri" w:cs="Calibri"/>
                <w:i/>
                <w:iCs/>
                <w:color w:val="FFFFFF"/>
                <w:sz w:val="19"/>
                <w:szCs w:val="22"/>
                <w:lang w:eastAsia="en-AU"/>
              </w:rPr>
              <w:noBreakHyphen/>
            </w:r>
            <w:r w:rsidRPr="00995DA6">
              <w:rPr>
                <w:rFonts w:ascii="Calibri" w:eastAsiaTheme="minorEastAsia" w:hAnsi="Calibri" w:cs="Calibri"/>
                <w:i/>
                <w:iCs/>
                <w:color w:val="FFFFFF"/>
                <w:sz w:val="19"/>
                <w:szCs w:val="22"/>
                <w:lang w:eastAsia="en-AU"/>
              </w:rPr>
              <w:t>16 target</w:t>
            </w:r>
          </w:p>
        </w:tc>
        <w:tc>
          <w:tcPr>
            <w:tcW w:w="908" w:type="dxa"/>
            <w:tcBorders>
              <w:top w:val="nil"/>
              <w:left w:val="nil"/>
              <w:bottom w:val="single" w:sz="4" w:space="0" w:color="auto"/>
              <w:right w:val="nil"/>
            </w:tcBorders>
            <w:shd w:val="solid" w:color="000000" w:fill="auto"/>
            <w:vAlign w:val="bottom"/>
          </w:tcPr>
          <w:p w:rsidR="00E25CC6" w:rsidRPr="00995DA6" w:rsidRDefault="00E25CC6" w:rsidP="00995DA6">
            <w:pPr>
              <w:autoSpaceDE w:val="0"/>
              <w:autoSpaceDN w:val="0"/>
              <w:adjustRightInd w:val="0"/>
              <w:spacing w:after="0"/>
              <w:jc w:val="right"/>
              <w:rPr>
                <w:rFonts w:ascii="Calibri" w:eastAsiaTheme="minorEastAsia" w:hAnsi="Calibri" w:cs="Calibri"/>
                <w:i/>
                <w:iCs/>
                <w:color w:val="FFFFFF"/>
                <w:sz w:val="19"/>
                <w:szCs w:val="22"/>
                <w:lang w:eastAsia="en-AU"/>
              </w:rPr>
            </w:pPr>
            <w:r w:rsidRPr="00995DA6">
              <w:rPr>
                <w:rFonts w:ascii="Calibri" w:eastAsiaTheme="minorEastAsia" w:hAnsi="Calibri" w:cs="Calibri"/>
                <w:i/>
                <w:iCs/>
                <w:color w:val="FFFFFF"/>
                <w:sz w:val="19"/>
                <w:szCs w:val="22"/>
                <w:lang w:eastAsia="en-AU"/>
              </w:rPr>
              <w:t>2014</w:t>
            </w:r>
            <w:r w:rsidRPr="00255F85">
              <w:rPr>
                <w:rFonts w:ascii="Calibri" w:eastAsiaTheme="minorEastAsia" w:hAnsi="Calibri" w:cs="Calibri"/>
                <w:i/>
                <w:iCs/>
                <w:color w:val="FFFFFF"/>
                <w:sz w:val="19"/>
                <w:szCs w:val="22"/>
                <w:lang w:eastAsia="en-AU"/>
              </w:rPr>
              <w:noBreakHyphen/>
            </w:r>
            <w:r w:rsidRPr="00995DA6">
              <w:rPr>
                <w:rFonts w:ascii="Calibri" w:eastAsiaTheme="minorEastAsia" w:hAnsi="Calibri" w:cs="Calibri"/>
                <w:i/>
                <w:iCs/>
                <w:color w:val="FFFFFF"/>
                <w:sz w:val="19"/>
                <w:szCs w:val="22"/>
                <w:lang w:eastAsia="en-AU"/>
              </w:rPr>
              <w:t>15 actual</w:t>
            </w:r>
          </w:p>
        </w:tc>
      </w:tr>
      <w:tr w:rsidR="00E25CC6" w:rsidRPr="00995DA6" w:rsidTr="00995DA6">
        <w:trPr>
          <w:cantSplit/>
        </w:trPr>
        <w:tc>
          <w:tcPr>
            <w:tcW w:w="3146" w:type="dxa"/>
            <w:tcBorders>
              <w:top w:val="nil"/>
              <w:left w:val="nil"/>
              <w:bottom w:val="nil"/>
              <w:right w:val="nil"/>
            </w:tcBorders>
          </w:tcPr>
          <w:p w:rsidR="00E25CC6" w:rsidRPr="00995DA6" w:rsidRDefault="00E25CC6" w:rsidP="00995DA6">
            <w:pPr>
              <w:autoSpaceDE w:val="0"/>
              <w:autoSpaceDN w:val="0"/>
              <w:adjustRightInd w:val="0"/>
              <w:spacing w:after="0"/>
              <w:ind w:left="227" w:hanging="227"/>
              <w:rPr>
                <w:rFonts w:ascii="Calibri" w:eastAsiaTheme="minorEastAsia" w:hAnsi="Calibri" w:cs="Calibri"/>
                <w:i/>
                <w:iCs/>
                <w:color w:val="000000"/>
                <w:sz w:val="19"/>
                <w:szCs w:val="22"/>
                <w:lang w:eastAsia="en-AU"/>
              </w:rPr>
            </w:pPr>
            <w:r w:rsidRPr="00995DA6">
              <w:rPr>
                <w:rFonts w:ascii="Calibri" w:eastAsiaTheme="minorEastAsia" w:hAnsi="Calibri" w:cs="Calibri"/>
                <w:i/>
                <w:iCs/>
                <w:color w:val="000000"/>
                <w:sz w:val="19"/>
                <w:szCs w:val="22"/>
                <w:lang w:eastAsia="en-AU"/>
              </w:rPr>
              <w:t>Quality</w:t>
            </w:r>
          </w:p>
        </w:tc>
        <w:tc>
          <w:tcPr>
            <w:tcW w:w="907" w:type="dxa"/>
            <w:tcBorders>
              <w:top w:val="nil"/>
              <w:left w:val="nil"/>
              <w:bottom w:val="nil"/>
              <w:right w:val="nil"/>
            </w:tcBorders>
          </w:tcPr>
          <w:p w:rsidR="00E25CC6" w:rsidRPr="00995DA6" w:rsidRDefault="00E25CC6" w:rsidP="00995DA6">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single" w:sz="6" w:space="0" w:color="auto"/>
              <w:left w:val="nil"/>
              <w:right w:val="nil"/>
            </w:tcBorders>
            <w:shd w:val="clear" w:color="auto" w:fill="DCDCDC"/>
          </w:tcPr>
          <w:p w:rsidR="00E25CC6" w:rsidRPr="00995DA6" w:rsidRDefault="00E25CC6" w:rsidP="00995DA6">
            <w:pPr>
              <w:autoSpaceDE w:val="0"/>
              <w:autoSpaceDN w:val="0"/>
              <w:adjustRightInd w:val="0"/>
              <w:spacing w:after="0"/>
              <w:rPr>
                <w:rFonts w:ascii="Calibri" w:eastAsiaTheme="minorEastAsia" w:hAnsi="Calibri" w:cs="Calibri"/>
                <w:color w:val="000000"/>
                <w:sz w:val="19"/>
                <w:szCs w:val="22"/>
                <w:lang w:eastAsia="en-AU"/>
              </w:rPr>
            </w:pPr>
          </w:p>
        </w:tc>
        <w:tc>
          <w:tcPr>
            <w:tcW w:w="992" w:type="dxa"/>
            <w:tcBorders>
              <w:top w:val="nil"/>
              <w:left w:val="nil"/>
              <w:bottom w:val="nil"/>
              <w:right w:val="nil"/>
            </w:tcBorders>
          </w:tcPr>
          <w:p w:rsidR="00E25CC6" w:rsidRPr="00995DA6" w:rsidRDefault="00E25CC6" w:rsidP="00995DA6">
            <w:pPr>
              <w:autoSpaceDE w:val="0"/>
              <w:autoSpaceDN w:val="0"/>
              <w:adjustRightInd w:val="0"/>
              <w:spacing w:after="0"/>
              <w:rPr>
                <w:rFonts w:ascii="Calibri" w:eastAsiaTheme="minorEastAsia" w:hAnsi="Calibri" w:cs="Calibri"/>
                <w:color w:val="000000"/>
                <w:sz w:val="19"/>
                <w:szCs w:val="22"/>
                <w:lang w:eastAsia="en-AU"/>
              </w:rPr>
            </w:pPr>
          </w:p>
        </w:tc>
        <w:tc>
          <w:tcPr>
            <w:tcW w:w="907" w:type="dxa"/>
            <w:tcBorders>
              <w:top w:val="nil"/>
              <w:left w:val="nil"/>
              <w:bottom w:val="nil"/>
              <w:right w:val="nil"/>
            </w:tcBorders>
          </w:tcPr>
          <w:p w:rsidR="00E25CC6" w:rsidRPr="00995DA6" w:rsidRDefault="00E25CC6" w:rsidP="00995DA6">
            <w:pPr>
              <w:autoSpaceDE w:val="0"/>
              <w:autoSpaceDN w:val="0"/>
              <w:adjustRightInd w:val="0"/>
              <w:spacing w:after="0"/>
              <w:rPr>
                <w:rFonts w:ascii="Calibri" w:eastAsiaTheme="minorEastAsia" w:hAnsi="Calibri" w:cs="Calibri"/>
                <w:color w:val="000000"/>
                <w:sz w:val="19"/>
                <w:szCs w:val="22"/>
                <w:lang w:eastAsia="en-AU"/>
              </w:rPr>
            </w:pPr>
          </w:p>
        </w:tc>
        <w:tc>
          <w:tcPr>
            <w:tcW w:w="908" w:type="dxa"/>
            <w:tcBorders>
              <w:top w:val="nil"/>
              <w:left w:val="nil"/>
              <w:bottom w:val="nil"/>
              <w:right w:val="nil"/>
            </w:tcBorders>
          </w:tcPr>
          <w:p w:rsidR="00E25CC6" w:rsidRPr="00995DA6" w:rsidRDefault="00E25CC6" w:rsidP="00995DA6">
            <w:pPr>
              <w:autoSpaceDE w:val="0"/>
              <w:autoSpaceDN w:val="0"/>
              <w:adjustRightInd w:val="0"/>
              <w:spacing w:after="0"/>
              <w:rPr>
                <w:rFonts w:ascii="Calibri" w:eastAsiaTheme="minorEastAsia" w:hAnsi="Calibri" w:cs="Calibri"/>
                <w:color w:val="000000"/>
                <w:sz w:val="19"/>
                <w:szCs w:val="22"/>
                <w:lang w:eastAsia="en-AU"/>
              </w:rPr>
            </w:pPr>
          </w:p>
        </w:tc>
      </w:tr>
      <w:tr w:rsidR="00E25CC6" w:rsidRPr="00995DA6" w:rsidTr="00995DA6">
        <w:trPr>
          <w:cantSplit/>
        </w:trPr>
        <w:tc>
          <w:tcPr>
            <w:tcW w:w="3146" w:type="dxa"/>
            <w:tcBorders>
              <w:top w:val="nil"/>
              <w:left w:val="nil"/>
              <w:bottom w:val="nil"/>
              <w:right w:val="nil"/>
            </w:tcBorders>
          </w:tcPr>
          <w:p w:rsidR="00E25CC6" w:rsidRPr="00995DA6" w:rsidRDefault="00E25CC6" w:rsidP="00995DA6">
            <w:pPr>
              <w:pStyle w:val="OGTabText"/>
              <w:rPr>
                <w:rFonts w:eastAsiaTheme="minorEastAsia"/>
                <w:lang w:eastAsia="en-AU"/>
              </w:rPr>
            </w:pPr>
            <w:r w:rsidRPr="00995DA6">
              <w:rPr>
                <w:rFonts w:eastAsiaTheme="minorEastAsia"/>
                <w:lang w:eastAsia="en-AU"/>
              </w:rPr>
              <w:t>Quality of court registry services in Supreme Court</w:t>
            </w:r>
          </w:p>
        </w:tc>
        <w:tc>
          <w:tcPr>
            <w:tcW w:w="907" w:type="dxa"/>
            <w:tcBorders>
              <w:top w:val="nil"/>
              <w:left w:val="nil"/>
              <w:bottom w:val="nil"/>
              <w:right w:val="nil"/>
            </w:tcBorders>
          </w:tcPr>
          <w:p w:rsidR="00E25CC6" w:rsidRPr="00995DA6" w:rsidRDefault="00E25CC6" w:rsidP="00995DA6">
            <w:pPr>
              <w:autoSpaceDE w:val="0"/>
              <w:autoSpaceDN w:val="0"/>
              <w:adjustRightInd w:val="0"/>
              <w:spacing w:after="0"/>
              <w:jc w:val="center"/>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w:t>
            </w:r>
          </w:p>
        </w:tc>
      </w:tr>
      <w:tr w:rsidR="00E25CC6" w:rsidRPr="00995DA6" w:rsidTr="00995DA6">
        <w:trPr>
          <w:cantSplit/>
        </w:trPr>
        <w:tc>
          <w:tcPr>
            <w:tcW w:w="7767" w:type="dxa"/>
            <w:gridSpan w:val="6"/>
            <w:tcBorders>
              <w:top w:val="nil"/>
              <w:left w:val="nil"/>
              <w:bottom w:val="single" w:sz="6" w:space="0" w:color="auto"/>
              <w:right w:val="nil"/>
            </w:tcBorders>
          </w:tcPr>
          <w:p w:rsidR="00E25CC6" w:rsidRPr="00995DA6" w:rsidRDefault="00E25CC6" w:rsidP="00995DA6">
            <w:pPr>
              <w:pStyle w:val="OGNotes"/>
              <w:rPr>
                <w:rFonts w:eastAsiaTheme="minorEastAsia"/>
              </w:rPr>
            </w:pPr>
            <w:r w:rsidRPr="00995DA6">
              <w:rPr>
                <w:rFonts w:eastAsiaTheme="minorEastAsia"/>
              </w:rPr>
              <w:t>This performance measure is proposed to be discontinued as it has been replaced by the 2016</w:t>
            </w:r>
            <w:r w:rsidRPr="00255F85">
              <w:rPr>
                <w:rFonts w:eastAsiaTheme="minorEastAsia"/>
              </w:rPr>
              <w:noBreakHyphen/>
            </w:r>
            <w:r w:rsidRPr="00995DA6">
              <w:rPr>
                <w:rFonts w:eastAsiaTheme="minorEastAsia"/>
              </w:rPr>
              <w:t>17 performance measure ‘Court file integrity in the Supreme Court – availability, accuracy and completeness’.</w:t>
            </w:r>
          </w:p>
          <w:p w:rsidR="00E25CC6" w:rsidRPr="00995DA6" w:rsidRDefault="00E25CC6" w:rsidP="00995DA6">
            <w:pPr>
              <w:pStyle w:val="OGNotes"/>
              <w:rPr>
                <w:rFonts w:eastAsiaTheme="minorEastAsia"/>
              </w:rPr>
            </w:pPr>
            <w:r w:rsidRPr="00995DA6">
              <w:rPr>
                <w:rFonts w:eastAsiaTheme="minorEastAsia"/>
              </w:rPr>
              <w:t xml:space="preserve">This performance measure is based on the results of the annual </w:t>
            </w:r>
            <w:r>
              <w:rPr>
                <w:rFonts w:eastAsiaTheme="minorEastAsia"/>
              </w:rPr>
              <w:t>survey of court registry users.</w:t>
            </w:r>
          </w:p>
        </w:tc>
      </w:tr>
      <w:tr w:rsidR="00E25CC6" w:rsidRPr="00995DA6" w:rsidTr="00995DA6">
        <w:trPr>
          <w:cantSplit/>
        </w:trPr>
        <w:tc>
          <w:tcPr>
            <w:tcW w:w="3146" w:type="dxa"/>
            <w:tcBorders>
              <w:top w:val="nil"/>
              <w:left w:val="nil"/>
              <w:bottom w:val="nil"/>
              <w:right w:val="nil"/>
            </w:tcBorders>
          </w:tcPr>
          <w:p w:rsidR="00E25CC6" w:rsidRPr="00995DA6" w:rsidRDefault="00E25CC6" w:rsidP="00995DA6">
            <w:pPr>
              <w:pStyle w:val="OGTabText"/>
              <w:rPr>
                <w:rFonts w:eastAsiaTheme="minorEastAsia"/>
                <w:lang w:eastAsia="en-AU"/>
              </w:rPr>
            </w:pPr>
            <w:r w:rsidRPr="00995DA6">
              <w:rPr>
                <w:rFonts w:eastAsiaTheme="minorEastAsia"/>
                <w:lang w:eastAsia="en-AU"/>
              </w:rPr>
              <w:t>Quality of court registry services in County Court</w:t>
            </w:r>
          </w:p>
        </w:tc>
        <w:tc>
          <w:tcPr>
            <w:tcW w:w="907" w:type="dxa"/>
            <w:tcBorders>
              <w:top w:val="nil"/>
              <w:left w:val="nil"/>
              <w:bottom w:val="nil"/>
              <w:right w:val="nil"/>
            </w:tcBorders>
          </w:tcPr>
          <w:p w:rsidR="00E25CC6" w:rsidRPr="00995DA6" w:rsidRDefault="00E25CC6" w:rsidP="00995DA6">
            <w:pPr>
              <w:autoSpaceDE w:val="0"/>
              <w:autoSpaceDN w:val="0"/>
              <w:adjustRightInd w:val="0"/>
              <w:spacing w:after="0"/>
              <w:jc w:val="center"/>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per cent</w:t>
            </w:r>
          </w:p>
        </w:tc>
        <w:tc>
          <w:tcPr>
            <w:tcW w:w="907" w:type="dxa"/>
            <w:tcBorders>
              <w:top w:val="nil"/>
              <w:left w:val="nil"/>
              <w:bottom w:val="nil"/>
              <w:right w:val="nil"/>
            </w:tcBorders>
            <w:shd w:val="clear" w:color="auto" w:fill="DCDCDC"/>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w:t>
            </w:r>
          </w:p>
        </w:tc>
        <w:tc>
          <w:tcPr>
            <w:tcW w:w="992" w:type="dxa"/>
            <w:tcBorders>
              <w:top w:val="nil"/>
              <w:left w:val="nil"/>
              <w:bottom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w:t>
            </w:r>
          </w:p>
        </w:tc>
        <w:tc>
          <w:tcPr>
            <w:tcW w:w="907" w:type="dxa"/>
            <w:tcBorders>
              <w:top w:val="nil"/>
              <w:left w:val="nil"/>
              <w:bottom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w:t>
            </w:r>
          </w:p>
        </w:tc>
        <w:tc>
          <w:tcPr>
            <w:tcW w:w="908" w:type="dxa"/>
            <w:tcBorders>
              <w:top w:val="nil"/>
              <w:left w:val="nil"/>
              <w:bottom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90</w:t>
            </w:r>
          </w:p>
        </w:tc>
      </w:tr>
      <w:tr w:rsidR="00E25CC6" w:rsidRPr="00995DA6" w:rsidTr="00995DA6">
        <w:trPr>
          <w:cantSplit/>
        </w:trPr>
        <w:tc>
          <w:tcPr>
            <w:tcW w:w="7767" w:type="dxa"/>
            <w:gridSpan w:val="6"/>
            <w:tcBorders>
              <w:top w:val="nil"/>
              <w:left w:val="nil"/>
              <w:bottom w:val="single" w:sz="6" w:space="0" w:color="auto"/>
              <w:right w:val="nil"/>
            </w:tcBorders>
          </w:tcPr>
          <w:p w:rsidR="00E25CC6" w:rsidRPr="00995DA6" w:rsidRDefault="00E25CC6" w:rsidP="00995DA6">
            <w:pPr>
              <w:pStyle w:val="OGNotes"/>
              <w:rPr>
                <w:rFonts w:eastAsiaTheme="minorEastAsia"/>
              </w:rPr>
            </w:pPr>
            <w:r w:rsidRPr="00995DA6">
              <w:rPr>
                <w:rFonts w:eastAsiaTheme="minorEastAsia"/>
              </w:rPr>
              <w:t>This performance measure is proposed to be discontinued as it has been replaced by the 2016</w:t>
            </w:r>
            <w:r w:rsidRPr="00255F85">
              <w:rPr>
                <w:rFonts w:eastAsiaTheme="minorEastAsia"/>
              </w:rPr>
              <w:noBreakHyphen/>
            </w:r>
            <w:r w:rsidRPr="00995DA6">
              <w:rPr>
                <w:rFonts w:eastAsiaTheme="minorEastAsia"/>
              </w:rPr>
              <w:t xml:space="preserve">17 performance measure ‘Court file integrity in the County Court </w:t>
            </w:r>
            <w:r>
              <w:rPr>
                <w:rFonts w:eastAsiaTheme="minorEastAsia"/>
              </w:rPr>
              <w:t>–</w:t>
            </w:r>
            <w:r w:rsidRPr="00995DA6">
              <w:rPr>
                <w:rFonts w:eastAsiaTheme="minorEastAsia"/>
              </w:rPr>
              <w:t xml:space="preserve"> availability, accuracy and completeness’.</w:t>
            </w:r>
          </w:p>
          <w:p w:rsidR="00E25CC6" w:rsidRPr="00995DA6" w:rsidRDefault="00E25CC6" w:rsidP="00995DA6">
            <w:pPr>
              <w:pStyle w:val="OGNotes"/>
              <w:rPr>
                <w:rFonts w:eastAsiaTheme="minorEastAsia"/>
              </w:rPr>
            </w:pPr>
            <w:r w:rsidRPr="00995DA6">
              <w:rPr>
                <w:rFonts w:eastAsiaTheme="minorEastAsia"/>
              </w:rPr>
              <w:t>This performance measure is based on the results of the Count</w:t>
            </w:r>
            <w:r>
              <w:rPr>
                <w:rFonts w:eastAsiaTheme="minorEastAsia"/>
              </w:rPr>
              <w:t>y Court annual customer survey.</w:t>
            </w:r>
          </w:p>
        </w:tc>
      </w:tr>
      <w:tr w:rsidR="00E25CC6" w:rsidRPr="00995DA6" w:rsidTr="00995DA6">
        <w:trPr>
          <w:cantSplit/>
        </w:trPr>
        <w:tc>
          <w:tcPr>
            <w:tcW w:w="3146" w:type="dxa"/>
            <w:tcBorders>
              <w:top w:val="nil"/>
              <w:left w:val="nil"/>
              <w:right w:val="nil"/>
            </w:tcBorders>
          </w:tcPr>
          <w:p w:rsidR="00E25CC6" w:rsidRPr="00995DA6" w:rsidRDefault="00E25CC6" w:rsidP="00995DA6">
            <w:pPr>
              <w:pStyle w:val="OGTabText"/>
              <w:rPr>
                <w:rFonts w:eastAsiaTheme="minorEastAsia"/>
                <w:lang w:eastAsia="en-AU"/>
              </w:rPr>
            </w:pPr>
            <w:r w:rsidRPr="00995DA6">
              <w:rPr>
                <w:rFonts w:eastAsiaTheme="minorEastAsia"/>
                <w:lang w:eastAsia="en-AU"/>
              </w:rPr>
              <w:t>Quality of court registry services in Magistrates' Court</w:t>
            </w:r>
          </w:p>
        </w:tc>
        <w:tc>
          <w:tcPr>
            <w:tcW w:w="907" w:type="dxa"/>
            <w:tcBorders>
              <w:top w:val="nil"/>
              <w:left w:val="nil"/>
              <w:right w:val="nil"/>
            </w:tcBorders>
          </w:tcPr>
          <w:p w:rsidR="00E25CC6" w:rsidRPr="00995DA6" w:rsidRDefault="00E25CC6" w:rsidP="00995DA6">
            <w:pPr>
              <w:autoSpaceDE w:val="0"/>
              <w:autoSpaceDN w:val="0"/>
              <w:adjustRightInd w:val="0"/>
              <w:spacing w:after="0"/>
              <w:jc w:val="center"/>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per cent</w:t>
            </w:r>
          </w:p>
        </w:tc>
        <w:tc>
          <w:tcPr>
            <w:tcW w:w="907" w:type="dxa"/>
            <w:tcBorders>
              <w:top w:val="nil"/>
              <w:left w:val="nil"/>
              <w:right w:val="nil"/>
            </w:tcBorders>
            <w:shd w:val="clear" w:color="auto" w:fill="DCDCDC"/>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91</w:t>
            </w:r>
          </w:p>
        </w:tc>
        <w:tc>
          <w:tcPr>
            <w:tcW w:w="992" w:type="dxa"/>
            <w:tcBorders>
              <w:top w:val="nil"/>
              <w:left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91</w:t>
            </w:r>
          </w:p>
        </w:tc>
        <w:tc>
          <w:tcPr>
            <w:tcW w:w="907" w:type="dxa"/>
            <w:tcBorders>
              <w:top w:val="nil"/>
              <w:left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91</w:t>
            </w:r>
          </w:p>
        </w:tc>
        <w:tc>
          <w:tcPr>
            <w:tcW w:w="908" w:type="dxa"/>
            <w:tcBorders>
              <w:top w:val="nil"/>
              <w:left w:val="nil"/>
              <w:right w:val="nil"/>
            </w:tcBorders>
          </w:tcPr>
          <w:p w:rsidR="00E25CC6" w:rsidRPr="00995DA6" w:rsidRDefault="00E25CC6" w:rsidP="00995DA6">
            <w:pPr>
              <w:autoSpaceDE w:val="0"/>
              <w:autoSpaceDN w:val="0"/>
              <w:adjustRightInd w:val="0"/>
              <w:spacing w:after="0"/>
              <w:jc w:val="right"/>
              <w:rPr>
                <w:rFonts w:ascii="Calibri" w:eastAsiaTheme="minorEastAsia" w:hAnsi="Calibri" w:cs="Calibri"/>
                <w:color w:val="000000"/>
                <w:sz w:val="19"/>
                <w:szCs w:val="22"/>
                <w:lang w:eastAsia="en-AU"/>
              </w:rPr>
            </w:pPr>
            <w:r w:rsidRPr="00995DA6">
              <w:rPr>
                <w:rFonts w:ascii="Calibri" w:eastAsiaTheme="minorEastAsia" w:hAnsi="Calibri" w:cs="Calibri"/>
                <w:color w:val="000000"/>
                <w:sz w:val="19"/>
                <w:szCs w:val="22"/>
                <w:lang w:eastAsia="en-AU"/>
              </w:rPr>
              <w:t>85.8</w:t>
            </w:r>
          </w:p>
        </w:tc>
      </w:tr>
      <w:tr w:rsidR="00E25CC6" w:rsidRPr="00995DA6" w:rsidTr="00995DA6">
        <w:trPr>
          <w:cantSplit/>
        </w:trPr>
        <w:tc>
          <w:tcPr>
            <w:tcW w:w="7767" w:type="dxa"/>
            <w:gridSpan w:val="6"/>
            <w:tcBorders>
              <w:top w:val="nil"/>
              <w:left w:val="nil"/>
              <w:bottom w:val="single" w:sz="12" w:space="0" w:color="auto"/>
              <w:right w:val="nil"/>
            </w:tcBorders>
          </w:tcPr>
          <w:p w:rsidR="00E25CC6" w:rsidRPr="00995DA6" w:rsidRDefault="00E25CC6" w:rsidP="00995DA6">
            <w:pPr>
              <w:pStyle w:val="OGNotes"/>
              <w:rPr>
                <w:rFonts w:eastAsiaTheme="minorEastAsia"/>
              </w:rPr>
            </w:pPr>
            <w:r w:rsidRPr="00995DA6">
              <w:rPr>
                <w:rFonts w:eastAsiaTheme="minorEastAsia"/>
              </w:rPr>
              <w:t>This performance measure is proposed to be discontinued as it has been replaced by the 2016</w:t>
            </w:r>
            <w:r w:rsidRPr="00255F85">
              <w:rPr>
                <w:rFonts w:eastAsiaTheme="minorEastAsia"/>
              </w:rPr>
              <w:noBreakHyphen/>
            </w:r>
            <w:r w:rsidRPr="00995DA6">
              <w:rPr>
                <w:rFonts w:eastAsiaTheme="minorEastAsia"/>
              </w:rPr>
              <w:t>17 performance measure ‘Court file integrity in the Magistrates’ Court – availability, accuracy and completeness’.</w:t>
            </w:r>
          </w:p>
          <w:p w:rsidR="00E25CC6" w:rsidRPr="00995DA6" w:rsidRDefault="00E25CC6" w:rsidP="00995DA6">
            <w:pPr>
              <w:pStyle w:val="OGNotes"/>
              <w:rPr>
                <w:rFonts w:eastAsiaTheme="minorEastAsia"/>
              </w:rPr>
            </w:pPr>
            <w:r w:rsidRPr="00995DA6">
              <w:rPr>
                <w:rFonts w:eastAsiaTheme="minorEastAsia"/>
              </w:rPr>
              <w:t>This performance measure is based on the results of an annual internal assessment of registry services at a number of metropolitan and regional court locations.</w:t>
            </w:r>
          </w:p>
        </w:tc>
      </w:tr>
    </w:tbl>
    <w:p w:rsidR="00E25CC6" w:rsidRDefault="00E25CC6" w:rsidP="00EE7431">
      <w:pPr>
        <w:pStyle w:val="Source"/>
        <w:rPr>
          <w:rFonts w:eastAsiaTheme="minorHAnsi"/>
        </w:rPr>
      </w:pPr>
      <w:r>
        <w:rPr>
          <w:rFonts w:eastAsiaTheme="minorHAnsi"/>
        </w:rPr>
        <w:t>Source: Court Services Victoria</w:t>
      </w:r>
    </w:p>
    <w:p w:rsidR="00E25CC6" w:rsidRDefault="00E25CC6" w:rsidP="00243370">
      <w:pPr>
        <w:rPr>
          <w:rFonts w:eastAsiaTheme="minorHAnsi"/>
        </w:rPr>
      </w:pPr>
    </w:p>
    <w:p w:rsidR="00E25CC6" w:rsidRDefault="00E25CC6" w:rsidP="00243370">
      <w:pPr>
        <w:rPr>
          <w:rFonts w:eastAsiaTheme="minorHAnsi"/>
        </w:rPr>
        <w:sectPr w:rsidR="00E25CC6" w:rsidSect="00E25CC6">
          <w:footerReference w:type="even" r:id="rId47"/>
          <w:footerReference w:type="default" r:id="rId48"/>
          <w:type w:val="oddPage"/>
          <w:pgSz w:w="9979" w:h="14181" w:code="138"/>
          <w:pgMar w:top="1140" w:right="1140" w:bottom="1140" w:left="1140" w:header="720" w:footer="431" w:gutter="0"/>
          <w:cols w:space="708"/>
          <w:docGrid w:linePitch="360"/>
        </w:sectPr>
      </w:pPr>
    </w:p>
    <w:p w:rsidR="00E25CC6" w:rsidRPr="00F16216" w:rsidRDefault="00E25CC6" w:rsidP="00776C77">
      <w:pPr>
        <w:pStyle w:val="ChapterHeading"/>
      </w:pPr>
      <w:bookmarkStart w:id="120" w:name="_Toc449109456"/>
      <w:r w:rsidRPr="00F16216">
        <w:t>Appendix B – Local Government financial relations</w:t>
      </w:r>
      <w:bookmarkEnd w:id="120"/>
    </w:p>
    <w:p w:rsidR="00E25CC6" w:rsidRDefault="00E25CC6" w:rsidP="00165BBE">
      <w:pPr>
        <w:rPr>
          <w:rFonts w:eastAsiaTheme="minorHAnsi"/>
        </w:rPr>
      </w:pPr>
      <w:r>
        <w:rPr>
          <w:rFonts w:eastAsiaTheme="minorHAnsi"/>
        </w:rPr>
        <w:t xml:space="preserve">This appendix provides an overview of the local government sector in Victoria and highlights the </w:t>
      </w:r>
      <w:r>
        <w:rPr>
          <w:rFonts w:eastAsiaTheme="minorHAnsi"/>
          <w:i/>
        </w:rPr>
        <w:t>2016</w:t>
      </w:r>
      <w:r>
        <w:rPr>
          <w:rFonts w:eastAsiaTheme="minorHAnsi"/>
          <w:i/>
        </w:rPr>
        <w:noBreakHyphen/>
        <w:t xml:space="preserve">17 Budget </w:t>
      </w:r>
      <w:r>
        <w:rPr>
          <w:rFonts w:eastAsiaTheme="minorHAnsi"/>
        </w:rPr>
        <w:t>initiatives that impact on councils.</w:t>
      </w:r>
    </w:p>
    <w:p w:rsidR="00E25CC6" w:rsidRDefault="00E25CC6" w:rsidP="00C40D81">
      <w:pPr>
        <w:rPr>
          <w:rFonts w:eastAsiaTheme="minorHAnsi"/>
        </w:rPr>
      </w:pPr>
      <w:r w:rsidRPr="0047426A">
        <w:rPr>
          <w:rFonts w:eastAsiaTheme="minorHAnsi"/>
        </w:rPr>
        <w:t>Local government is a distinct and essential tier of government, enshrined in Victoria</w:t>
      </w:r>
      <w:r>
        <w:rPr>
          <w:rFonts w:eastAsiaTheme="minorHAnsi"/>
        </w:rPr>
        <w:t>’</w:t>
      </w:r>
      <w:r w:rsidRPr="0047426A">
        <w:rPr>
          <w:rFonts w:eastAsiaTheme="minorHAnsi"/>
        </w:rPr>
        <w:t>s Constitution. Victoria has 79 councils providing a wide range of services. Many government programs are either delivered by, or in partnership with, local government. In</w:t>
      </w:r>
      <w:r>
        <w:rPr>
          <w:rFonts w:eastAsiaTheme="minorHAnsi"/>
        </w:rPr>
        <w:t xml:space="preserve"> many cases programs operate in a specific local government area with in</w:t>
      </w:r>
      <w:r>
        <w:rPr>
          <w:rFonts w:eastAsiaTheme="minorHAnsi"/>
        </w:rPr>
        <w:noBreakHyphen/>
        <w:t>kind support from, and collaboration with, local government.</w:t>
      </w:r>
    </w:p>
    <w:p w:rsidR="00E25CC6" w:rsidRPr="001D5206" w:rsidRDefault="00E25CC6" w:rsidP="00AC3AEF">
      <w:pPr>
        <w:pStyle w:val="Heading1"/>
        <w:rPr>
          <w:rFonts w:eastAsiaTheme="minorHAnsi"/>
        </w:rPr>
      </w:pPr>
      <w:bookmarkStart w:id="121" w:name="_Toc449109457"/>
      <w:r w:rsidRPr="001D5206">
        <w:rPr>
          <w:rFonts w:eastAsiaTheme="minorHAnsi"/>
        </w:rPr>
        <w:t>Supporting Local Government in creating liveable communities</w:t>
      </w:r>
      <w:bookmarkEnd w:id="121"/>
      <w:r w:rsidRPr="001D5206">
        <w:rPr>
          <w:rFonts w:eastAsiaTheme="minorHAnsi"/>
        </w:rPr>
        <w:t xml:space="preserve"> </w:t>
      </w:r>
    </w:p>
    <w:p w:rsidR="00E25CC6" w:rsidRPr="00DC7F56" w:rsidRDefault="00E25CC6" w:rsidP="00DC7F56">
      <w:pPr>
        <w:rPr>
          <w:rFonts w:eastAsiaTheme="minorHAnsi"/>
        </w:rPr>
      </w:pPr>
      <w:bookmarkStart w:id="122" w:name="LocalGvmnt"/>
      <w:r w:rsidRPr="00DC7F56">
        <w:rPr>
          <w:rFonts w:eastAsiaTheme="minorHAnsi"/>
        </w:rPr>
        <w:t>The Victorian Government recognises the important role that local councils play in creating liveable communities and places that Victorians are proud to live and work in.</w:t>
      </w:r>
      <w:r>
        <w:rPr>
          <w:rFonts w:eastAsiaTheme="minorHAnsi"/>
        </w:rPr>
        <w:t xml:space="preserve"> </w:t>
      </w:r>
      <w:r w:rsidRPr="00DC7F56">
        <w:rPr>
          <w:rFonts w:eastAsiaTheme="minorHAnsi"/>
        </w:rPr>
        <w:t xml:space="preserve">The services and infrastructure that local councils provide contribute to the wellbeing of local communities and are tailored to respond to local circumstances and the particular needs of members of the community. </w:t>
      </w:r>
    </w:p>
    <w:p w:rsidR="00E25CC6" w:rsidRPr="00DC7F56" w:rsidRDefault="00E25CC6" w:rsidP="00DC7F56">
      <w:pPr>
        <w:rPr>
          <w:rFonts w:eastAsiaTheme="minorHAnsi"/>
        </w:rPr>
      </w:pPr>
      <w:r w:rsidRPr="00DC7F56">
        <w:rPr>
          <w:rFonts w:eastAsiaTheme="minorHAnsi"/>
        </w:rPr>
        <w:t xml:space="preserve">For instance, all 79 councils have public library services that provide free access to a wealth of information and encourage continued engagement in lifelong learning. More than 32 million visits per year are made to Victorian public libraries, and almost half of all Victorians are a member of a public library. </w:t>
      </w:r>
    </w:p>
    <w:p w:rsidR="00E25CC6" w:rsidRPr="00DC7F56" w:rsidRDefault="00E25CC6" w:rsidP="00DC7F56">
      <w:pPr>
        <w:rPr>
          <w:rFonts w:eastAsiaTheme="minorHAnsi"/>
        </w:rPr>
      </w:pPr>
      <w:r>
        <w:rPr>
          <w:rFonts w:eastAsiaTheme="minorHAnsi"/>
        </w:rPr>
        <w:t>This b</w:t>
      </w:r>
      <w:r w:rsidRPr="00C937EA">
        <w:rPr>
          <w:rFonts w:eastAsiaTheme="minorHAnsi"/>
        </w:rPr>
        <w:t>udget will support Victoria</w:t>
      </w:r>
      <w:r>
        <w:rPr>
          <w:rFonts w:eastAsiaTheme="minorHAnsi"/>
        </w:rPr>
        <w:t>’</w:t>
      </w:r>
      <w:r w:rsidRPr="00C937EA">
        <w:rPr>
          <w:rFonts w:eastAsiaTheme="minorHAnsi"/>
        </w:rPr>
        <w:t>s public libraries by continuing to fund the Living Libraries Infrastructure program</w:t>
      </w:r>
      <w:r>
        <w:rPr>
          <w:rFonts w:eastAsiaTheme="minorHAnsi"/>
        </w:rPr>
        <w:t>.</w:t>
      </w:r>
      <w:r w:rsidRPr="00C937EA">
        <w:rPr>
          <w:rFonts w:eastAsiaTheme="minorHAnsi"/>
        </w:rPr>
        <w:t xml:space="preserve"> </w:t>
      </w:r>
      <w:r>
        <w:rPr>
          <w:rFonts w:eastAsiaTheme="minorHAnsi"/>
        </w:rPr>
        <w:t>The program</w:t>
      </w:r>
      <w:r w:rsidRPr="00C937EA">
        <w:rPr>
          <w:rFonts w:eastAsiaTheme="minorHAnsi"/>
        </w:rPr>
        <w:t xml:space="preserve"> co</w:t>
      </w:r>
      <w:r>
        <w:rPr>
          <w:rFonts w:eastAsiaTheme="minorHAnsi"/>
        </w:rPr>
        <w:noBreakHyphen/>
      </w:r>
      <w:r w:rsidRPr="00C937EA">
        <w:rPr>
          <w:rFonts w:eastAsiaTheme="minorHAnsi"/>
        </w:rPr>
        <w:t>funds local governments for capital works to improve public libraries and continue the Premiers</w:t>
      </w:r>
      <w:r>
        <w:rPr>
          <w:rFonts w:eastAsiaTheme="minorHAnsi"/>
        </w:rPr>
        <w:t>’</w:t>
      </w:r>
      <w:r w:rsidRPr="00C937EA">
        <w:rPr>
          <w:rFonts w:eastAsiaTheme="minorHAnsi"/>
        </w:rPr>
        <w:t xml:space="preserve"> Reading Challenge book fund, ensuring all public libraries can purchase new books and reading material.</w:t>
      </w:r>
      <w:r>
        <w:rPr>
          <w:rFonts w:eastAsiaTheme="minorHAnsi"/>
        </w:rPr>
        <w:t xml:space="preserve"> </w:t>
      </w:r>
      <w:r w:rsidRPr="00DC7F56">
        <w:rPr>
          <w:rFonts w:eastAsiaTheme="minorHAnsi"/>
        </w:rPr>
        <w:t>Financial support is required to ensure libraries continue to meet the diverse and growing needs of the Victorian community and the Government continues to provide such financial support.</w:t>
      </w:r>
      <w:r>
        <w:rPr>
          <w:rFonts w:eastAsiaTheme="minorHAnsi"/>
        </w:rPr>
        <w:t xml:space="preserve"> </w:t>
      </w:r>
      <w:r>
        <w:rPr>
          <w:rFonts w:eastAsiaTheme="minorHAnsi"/>
        </w:rPr>
        <w:fldChar w:fldCharType="begin"/>
      </w:r>
      <w:r>
        <w:instrText xml:space="preserve"> XE "</w:instrText>
      </w:r>
      <w:r w:rsidRPr="00515978">
        <w:instrText>Public Libraries</w:instrText>
      </w:r>
      <w:r>
        <w:instrText xml:space="preserve">" </w:instrText>
      </w:r>
      <w:r>
        <w:rPr>
          <w:rFonts w:eastAsiaTheme="minorHAnsi"/>
        </w:rPr>
        <w:fldChar w:fldCharType="end"/>
      </w:r>
    </w:p>
    <w:p w:rsidR="00E25CC6" w:rsidRPr="00DC7F56" w:rsidRDefault="00E25CC6" w:rsidP="00DC7F56">
      <w:pPr>
        <w:rPr>
          <w:rFonts w:eastAsiaTheme="minorHAnsi"/>
        </w:rPr>
      </w:pPr>
      <w:r w:rsidRPr="00DC7F56">
        <w:rPr>
          <w:rFonts w:eastAsiaTheme="minorHAnsi"/>
        </w:rPr>
        <w:t xml:space="preserve">The metropolitan interface councils have </w:t>
      </w:r>
      <w:r>
        <w:rPr>
          <w:rFonts w:eastAsiaTheme="minorHAnsi"/>
        </w:rPr>
        <w:t>experienced</w:t>
      </w:r>
      <w:r w:rsidRPr="00DC7F56">
        <w:rPr>
          <w:rFonts w:eastAsiaTheme="minorHAnsi"/>
        </w:rPr>
        <w:t xml:space="preserve"> significant population growth over the </w:t>
      </w:r>
      <w:r>
        <w:rPr>
          <w:rFonts w:eastAsiaTheme="minorHAnsi"/>
        </w:rPr>
        <w:t>p</w:t>
      </w:r>
      <w:r w:rsidRPr="00DC7F56">
        <w:rPr>
          <w:rFonts w:eastAsiaTheme="minorHAnsi"/>
        </w:rPr>
        <w:t>ast two decades, with growth consistently doubling the State</w:t>
      </w:r>
      <w:r>
        <w:rPr>
          <w:rFonts w:eastAsiaTheme="minorHAnsi"/>
        </w:rPr>
        <w:t>’</w:t>
      </w:r>
      <w:r w:rsidRPr="00DC7F56">
        <w:rPr>
          <w:rFonts w:eastAsiaTheme="minorHAnsi"/>
        </w:rPr>
        <w:t>s average. This is expected to continue with more than 1</w:t>
      </w:r>
      <w:r>
        <w:rPr>
          <w:rFonts w:eastAsiaTheme="minorHAnsi"/>
        </w:rPr>
        <w:t> </w:t>
      </w:r>
      <w:r w:rsidRPr="00DC7F56">
        <w:rPr>
          <w:rFonts w:eastAsiaTheme="minorHAnsi"/>
        </w:rPr>
        <w:t>million additional residents expe</w:t>
      </w:r>
      <w:r>
        <w:rPr>
          <w:rFonts w:eastAsiaTheme="minorHAnsi"/>
        </w:rPr>
        <w:t>cted to be living in interface c</w:t>
      </w:r>
      <w:r w:rsidRPr="00DC7F56">
        <w:rPr>
          <w:rFonts w:eastAsiaTheme="minorHAnsi"/>
        </w:rPr>
        <w:t>ouncils by 2031. As a result, these communities face some of Victoria</w:t>
      </w:r>
      <w:r>
        <w:rPr>
          <w:rFonts w:eastAsiaTheme="minorHAnsi"/>
        </w:rPr>
        <w:t>’</w:t>
      </w:r>
      <w:r w:rsidRPr="00DC7F56">
        <w:rPr>
          <w:rFonts w:eastAsiaTheme="minorHAnsi"/>
        </w:rPr>
        <w:t xml:space="preserve">s greatest infrastructure challenges with recent delivery of local infrastructure and services failing to keep pace with demand. </w:t>
      </w:r>
    </w:p>
    <w:p w:rsidR="00E25CC6" w:rsidRPr="00DC7F56" w:rsidRDefault="00E25CC6" w:rsidP="00DC7F56">
      <w:pPr>
        <w:rPr>
          <w:rFonts w:eastAsiaTheme="minorHAnsi"/>
        </w:rPr>
      </w:pPr>
      <w:r w:rsidRPr="00DC7F56">
        <w:rPr>
          <w:rFonts w:eastAsiaTheme="minorHAnsi"/>
        </w:rPr>
        <w:t>Local infrastructure is primarily delivered and managed by local governments. The services, activities and opportunities for social and economic participation enabled by local infrastructure provide an important anchor for local community life and a foundation for building a sense of community within newly established suburbs. It also provides a platform for the delivery of a broad range of State Government portfolio priorities</w:t>
      </w:r>
      <w:r>
        <w:rPr>
          <w:rFonts w:eastAsiaTheme="minorHAnsi"/>
        </w:rPr>
        <w:t>,</w:t>
      </w:r>
      <w:r w:rsidRPr="00DC7F56">
        <w:rPr>
          <w:rFonts w:eastAsiaTheme="minorHAnsi"/>
        </w:rPr>
        <w:t xml:space="preserve"> including addressing entrenched social disadvantage.</w:t>
      </w:r>
      <w:r>
        <w:rPr>
          <w:rFonts w:eastAsiaTheme="minorHAnsi"/>
        </w:rPr>
        <w:t xml:space="preserve"> </w:t>
      </w:r>
      <w:r>
        <w:rPr>
          <w:rFonts w:eastAsiaTheme="minorHAnsi"/>
        </w:rPr>
        <w:fldChar w:fldCharType="begin"/>
      </w:r>
      <w:r>
        <w:instrText xml:space="preserve"> XE "</w:instrText>
      </w:r>
      <w:r w:rsidRPr="00515978">
        <w:instrText>Infrastructure</w:instrText>
      </w:r>
      <w:r>
        <w:instrText xml:space="preserve">" </w:instrText>
      </w:r>
      <w:r>
        <w:rPr>
          <w:rFonts w:eastAsiaTheme="minorHAnsi"/>
        </w:rPr>
        <w:fldChar w:fldCharType="end"/>
      </w:r>
    </w:p>
    <w:p w:rsidR="00E25CC6" w:rsidRPr="00DC7F56" w:rsidRDefault="00E25CC6" w:rsidP="00DC7F56">
      <w:pPr>
        <w:rPr>
          <w:rFonts w:eastAsiaTheme="minorHAnsi"/>
        </w:rPr>
      </w:pPr>
      <w:r w:rsidRPr="00DC7F56">
        <w:rPr>
          <w:rFonts w:eastAsiaTheme="minorHAnsi"/>
        </w:rPr>
        <w:t>The Government is extending the 2015</w:t>
      </w:r>
      <w:r>
        <w:rPr>
          <w:rFonts w:eastAsiaTheme="minorHAnsi"/>
        </w:rPr>
        <w:noBreakHyphen/>
      </w:r>
      <w:r w:rsidRPr="00DC7F56">
        <w:rPr>
          <w:rFonts w:eastAsiaTheme="minorHAnsi"/>
        </w:rPr>
        <w:t>16 Interface Growth Fund (IGF) program, by investing a further $50 million in 2016</w:t>
      </w:r>
      <w:r>
        <w:rPr>
          <w:rFonts w:eastAsiaTheme="minorHAnsi"/>
        </w:rPr>
        <w:noBreakHyphen/>
        <w:t>17. This will accelerate</w:t>
      </w:r>
      <w:r w:rsidRPr="00DC7F56">
        <w:rPr>
          <w:rFonts w:eastAsiaTheme="minorHAnsi"/>
        </w:rPr>
        <w:t xml:space="preserve"> the delivery of critical infrastructure in Melbourne</w:t>
      </w:r>
      <w:r>
        <w:rPr>
          <w:rFonts w:eastAsiaTheme="minorHAnsi"/>
        </w:rPr>
        <w:t>’</w:t>
      </w:r>
      <w:r w:rsidRPr="00DC7F56">
        <w:rPr>
          <w:rFonts w:eastAsiaTheme="minorHAnsi"/>
        </w:rPr>
        <w:t>s interface</w:t>
      </w:r>
      <w:r>
        <w:rPr>
          <w:rFonts w:eastAsiaTheme="minorHAnsi"/>
        </w:rPr>
        <w:t xml:space="preserve"> suburbs</w:t>
      </w:r>
      <w:r w:rsidRPr="00DC7F56">
        <w:rPr>
          <w:rFonts w:eastAsiaTheme="minorHAnsi"/>
        </w:rPr>
        <w:t xml:space="preserve">, contributing to local job creation, addressing social disadvantage and helping to build healthy and liveable communities. </w:t>
      </w:r>
    </w:p>
    <w:p w:rsidR="00E25CC6" w:rsidRPr="00DC7F56" w:rsidRDefault="00E25CC6" w:rsidP="00DC7F56">
      <w:pPr>
        <w:rPr>
          <w:rFonts w:eastAsiaTheme="minorHAnsi"/>
        </w:rPr>
      </w:pPr>
      <w:r w:rsidRPr="00DC7F56">
        <w:rPr>
          <w:rFonts w:eastAsiaTheme="minorHAnsi"/>
        </w:rPr>
        <w:t>This program is a targeted investment in new and</w:t>
      </w:r>
      <w:r>
        <w:rPr>
          <w:rFonts w:eastAsiaTheme="minorHAnsi"/>
        </w:rPr>
        <w:t>/</w:t>
      </w:r>
      <w:r w:rsidRPr="00DC7F56">
        <w:rPr>
          <w:rFonts w:eastAsiaTheme="minorHAnsi"/>
        </w:rPr>
        <w:t>or upgraded local infrastructure such as family and community centres, town centre and civic revitalisation projects, open space and amenity improvements. It include</w:t>
      </w:r>
      <w:r>
        <w:rPr>
          <w:rFonts w:eastAsiaTheme="minorHAnsi"/>
        </w:rPr>
        <w:t>s</w:t>
      </w:r>
      <w:r w:rsidRPr="00DC7F56">
        <w:rPr>
          <w:rFonts w:eastAsiaTheme="minorHAnsi"/>
        </w:rPr>
        <w:t xml:space="preserve"> grants to drive further innovation and value for money in local infrastructure delivery. This broad scope reflects the diverse range of infrastructure that communities need to be active, resilient and liveable.</w:t>
      </w:r>
    </w:p>
    <w:p w:rsidR="00E25CC6" w:rsidRPr="00DC7F56" w:rsidRDefault="00E25CC6" w:rsidP="00DC7F56">
      <w:pPr>
        <w:rPr>
          <w:rFonts w:eastAsiaTheme="minorHAnsi"/>
        </w:rPr>
      </w:pPr>
      <w:r w:rsidRPr="00DC7F56">
        <w:rPr>
          <w:rFonts w:eastAsiaTheme="minorHAnsi"/>
        </w:rPr>
        <w:t>It is critical that support for local government goes beyond financial support.</w:t>
      </w:r>
      <w:r>
        <w:rPr>
          <w:rFonts w:eastAsiaTheme="minorHAnsi"/>
        </w:rPr>
        <w:t xml:space="preserve"> </w:t>
      </w:r>
      <w:r w:rsidRPr="00DC7F56">
        <w:rPr>
          <w:rFonts w:eastAsiaTheme="minorHAnsi"/>
        </w:rPr>
        <w:t>The Government also recognises that it has a role in developing and enhancing the organisational capacity of local councils.</w:t>
      </w:r>
      <w:r>
        <w:rPr>
          <w:rFonts w:eastAsiaTheme="minorHAnsi"/>
        </w:rPr>
        <w:t xml:space="preserve"> </w:t>
      </w:r>
      <w:r w:rsidRPr="00DC7F56">
        <w:rPr>
          <w:rFonts w:eastAsiaTheme="minorHAnsi"/>
        </w:rPr>
        <w:t>Local councils need to have the capacity to engage in continual improvement and deliver better outcomes for the communities they</w:t>
      </w:r>
      <w:r>
        <w:rPr>
          <w:rFonts w:eastAsiaTheme="minorHAnsi"/>
        </w:rPr>
        <w:t> </w:t>
      </w:r>
      <w:r w:rsidRPr="00DC7F56">
        <w:rPr>
          <w:rFonts w:eastAsiaTheme="minorHAnsi"/>
        </w:rPr>
        <w:t xml:space="preserve">serve. </w:t>
      </w:r>
    </w:p>
    <w:p w:rsidR="00E25CC6" w:rsidRPr="00DC7F56" w:rsidRDefault="00E25CC6" w:rsidP="00DC7F56">
      <w:pPr>
        <w:rPr>
          <w:rFonts w:eastAsiaTheme="minorHAnsi"/>
        </w:rPr>
      </w:pPr>
      <w:r w:rsidRPr="00DC7F56">
        <w:rPr>
          <w:rFonts w:eastAsiaTheme="minorHAnsi"/>
        </w:rPr>
        <w:t>Victorian councils collectively hold in excess of $2.4 billion in cash and investments and approximately $1.1 billion in borrowings. Sound financial and treasury management will go a long way in ensuring that local councils strengthen their integrity, capacity, performance, sustainability and the value they deliver to</w:t>
      </w:r>
      <w:r>
        <w:rPr>
          <w:rFonts w:eastAsiaTheme="minorHAnsi"/>
        </w:rPr>
        <w:t xml:space="preserve"> all</w:t>
      </w:r>
      <w:r w:rsidRPr="00DC7F56">
        <w:rPr>
          <w:rFonts w:eastAsiaTheme="minorHAnsi"/>
        </w:rPr>
        <w:t xml:space="preserve"> Victorian</w:t>
      </w:r>
      <w:r>
        <w:rPr>
          <w:rFonts w:eastAsiaTheme="minorHAnsi"/>
        </w:rPr>
        <w:t>s</w:t>
      </w:r>
      <w:r w:rsidRPr="00DC7F56">
        <w:rPr>
          <w:rFonts w:eastAsiaTheme="minorHAnsi"/>
        </w:rPr>
        <w:t>.</w:t>
      </w:r>
      <w:r>
        <w:rPr>
          <w:rFonts w:eastAsiaTheme="minorHAnsi"/>
        </w:rPr>
        <w:t xml:space="preserve"> </w:t>
      </w:r>
      <w:r w:rsidRPr="00DC7F56">
        <w:rPr>
          <w:rFonts w:eastAsiaTheme="minorHAnsi"/>
        </w:rPr>
        <w:t>Local councils will be better positioned to engage in a modern, collaborative and co</w:t>
      </w:r>
      <w:r>
        <w:rPr>
          <w:rFonts w:eastAsiaTheme="minorHAnsi"/>
        </w:rPr>
        <w:noBreakHyphen/>
      </w:r>
      <w:r w:rsidRPr="00DC7F56">
        <w:rPr>
          <w:rFonts w:eastAsiaTheme="minorHAnsi"/>
        </w:rPr>
        <w:t>productive relationship with the Victorian Government to meet the challenges facing government today.</w:t>
      </w:r>
    </w:p>
    <w:p w:rsidR="00E25CC6" w:rsidRPr="00DC7F56" w:rsidRDefault="00E25CC6" w:rsidP="00DC7F56">
      <w:pPr>
        <w:rPr>
          <w:rFonts w:eastAsiaTheme="minorHAnsi"/>
        </w:rPr>
      </w:pPr>
      <w:r w:rsidRPr="00DC7F56">
        <w:rPr>
          <w:rFonts w:eastAsiaTheme="minorHAnsi"/>
        </w:rPr>
        <w:t>The establishment of the Local Government Support Teams, funded in this budget, will enable the Victorian Government to respond to the challenges that local councils face, whil</w:t>
      </w:r>
      <w:r>
        <w:rPr>
          <w:rFonts w:eastAsiaTheme="minorHAnsi"/>
        </w:rPr>
        <w:t>e</w:t>
      </w:r>
      <w:r w:rsidRPr="00DC7F56">
        <w:rPr>
          <w:rFonts w:eastAsiaTheme="minorHAnsi"/>
        </w:rPr>
        <w:t xml:space="preserve"> also contributing to better strategic financial management and planning through better information to support council decision</w:t>
      </w:r>
      <w:r>
        <w:rPr>
          <w:rFonts w:eastAsiaTheme="minorHAnsi"/>
        </w:rPr>
        <w:noBreakHyphen/>
      </w:r>
      <w:r w:rsidRPr="00DC7F56">
        <w:rPr>
          <w:rFonts w:eastAsiaTheme="minorHAnsi"/>
        </w:rPr>
        <w:t>making.</w:t>
      </w:r>
    </w:p>
    <w:p w:rsidR="00E25CC6" w:rsidRPr="00DC7F56" w:rsidRDefault="00E25CC6" w:rsidP="00DC7F56">
      <w:pPr>
        <w:rPr>
          <w:rFonts w:eastAsiaTheme="minorHAnsi"/>
        </w:rPr>
      </w:pPr>
      <w:r w:rsidRPr="00DC7F56">
        <w:rPr>
          <w:rFonts w:eastAsiaTheme="minorHAnsi"/>
        </w:rPr>
        <w:t xml:space="preserve">Such support is necessary to further progress the reforms that have been achieved through the introduction of the Fair Go Rates System, the Local Government Performance Reporting Framework and previous reforms in collaborative procurement and shared services. </w:t>
      </w:r>
    </w:p>
    <w:p w:rsidR="00E25CC6" w:rsidRPr="00DC7F56" w:rsidRDefault="00E25CC6" w:rsidP="00DC7F56">
      <w:pPr>
        <w:rPr>
          <w:rFonts w:eastAsiaTheme="minorHAnsi"/>
        </w:rPr>
      </w:pPr>
      <w:r w:rsidRPr="00DC7F56">
        <w:rPr>
          <w:rFonts w:eastAsiaTheme="minorHAnsi"/>
        </w:rPr>
        <w:t>These reforms have incentivised and enabled councils to seek greater efficiencies in meeting their responsibilities and put downward pressure on annual rate rises, while ensuring greater transparency and accountability.</w:t>
      </w:r>
      <w:r>
        <w:rPr>
          <w:rFonts w:eastAsiaTheme="minorHAnsi"/>
        </w:rPr>
        <w:t xml:space="preserve"> </w:t>
      </w:r>
      <w:r w:rsidRPr="00DC7F56">
        <w:rPr>
          <w:rFonts w:eastAsiaTheme="minorHAnsi"/>
        </w:rPr>
        <w:t>With the establishment of the Know Your Council website, Victorians have a simple and user</w:t>
      </w:r>
      <w:r>
        <w:rPr>
          <w:rFonts w:eastAsiaTheme="minorHAnsi"/>
        </w:rPr>
        <w:noBreakHyphen/>
      </w:r>
      <w:r w:rsidRPr="00DC7F56">
        <w:rPr>
          <w:rFonts w:eastAsiaTheme="minorHAnsi"/>
        </w:rPr>
        <w:t xml:space="preserve">friendly way to discover how well their council is doing on a range of performance indicators, and engage their councils in performance improvement discussions. </w:t>
      </w:r>
    </w:p>
    <w:p w:rsidR="00E25CC6" w:rsidRDefault="00E25CC6">
      <w:pPr>
        <w:spacing w:after="0"/>
        <w:rPr>
          <w:rFonts w:eastAsiaTheme="minorHAnsi"/>
        </w:rPr>
      </w:pPr>
      <w:r>
        <w:rPr>
          <w:rFonts w:eastAsiaTheme="minorHAnsi"/>
        </w:rPr>
        <w:br w:type="page"/>
      </w:r>
    </w:p>
    <w:p w:rsidR="00E25CC6" w:rsidRPr="00DC7F56" w:rsidRDefault="00E25CC6" w:rsidP="00DC7F56">
      <w:pPr>
        <w:rPr>
          <w:rFonts w:eastAsiaTheme="minorHAnsi"/>
        </w:rPr>
      </w:pPr>
      <w:r w:rsidRPr="00DC7F56">
        <w:rPr>
          <w:rFonts w:eastAsiaTheme="minorHAnsi"/>
        </w:rPr>
        <w:t>The Government</w:t>
      </w:r>
      <w:r>
        <w:rPr>
          <w:rFonts w:eastAsiaTheme="minorHAnsi"/>
        </w:rPr>
        <w:t>’</w:t>
      </w:r>
      <w:r w:rsidRPr="00DC7F56">
        <w:rPr>
          <w:rFonts w:eastAsiaTheme="minorHAnsi"/>
        </w:rPr>
        <w:t xml:space="preserve">s commitment to a comprehensive review of the </w:t>
      </w:r>
      <w:r w:rsidRPr="00FB2032">
        <w:rPr>
          <w:rFonts w:eastAsiaTheme="minorHAnsi"/>
          <w:i/>
        </w:rPr>
        <w:t>Local Government Act 1989</w:t>
      </w:r>
      <w:r w:rsidRPr="00DC7F56">
        <w:rPr>
          <w:rFonts w:eastAsiaTheme="minorHAnsi"/>
        </w:rPr>
        <w:t xml:space="preserve"> has been progressed through an initial consultation process that was supported by the development of a discussion paper.</w:t>
      </w:r>
      <w:r>
        <w:rPr>
          <w:rFonts w:eastAsiaTheme="minorHAnsi"/>
        </w:rPr>
        <w:t xml:space="preserve"> </w:t>
      </w:r>
      <w:r w:rsidRPr="00DC7F56">
        <w:rPr>
          <w:rFonts w:eastAsiaTheme="minorHAnsi"/>
        </w:rPr>
        <w:t>Another round of consultations following the release of a Directions Paper is intended in coming months.</w:t>
      </w:r>
      <w:r>
        <w:rPr>
          <w:rFonts w:eastAsiaTheme="minorHAnsi"/>
        </w:rPr>
        <w:t xml:space="preserve"> </w:t>
      </w:r>
      <w:r w:rsidRPr="00DC7F56">
        <w:rPr>
          <w:rFonts w:eastAsiaTheme="minorHAnsi"/>
        </w:rPr>
        <w:t xml:space="preserve">This initiative is aimed at creating a legislative framework that provides clear guidance to the sector and the community on local government roles and responsibilities into the future. </w:t>
      </w:r>
    </w:p>
    <w:p w:rsidR="00E25CC6" w:rsidRPr="00F16216" w:rsidRDefault="00E25CC6" w:rsidP="00AC3AEF">
      <w:pPr>
        <w:pStyle w:val="Heading1"/>
        <w:rPr>
          <w:rFonts w:eastAsiaTheme="minorHAnsi"/>
        </w:rPr>
      </w:pPr>
      <w:bookmarkStart w:id="123" w:name="_Toc449109458"/>
      <w:r w:rsidRPr="00F16216">
        <w:rPr>
          <w:rFonts w:eastAsiaTheme="minorHAnsi"/>
        </w:rPr>
        <w:t>Funding sources to Local Government in Victoria</w:t>
      </w:r>
      <w:bookmarkEnd w:id="123"/>
    </w:p>
    <w:p w:rsidR="00E25CC6" w:rsidRPr="00BE538B" w:rsidRDefault="00E25CC6" w:rsidP="00165BBE">
      <w:pPr>
        <w:rPr>
          <w:rFonts w:eastAsiaTheme="minorHAnsi"/>
        </w:rPr>
      </w:pPr>
      <w:r w:rsidRPr="00BE538B">
        <w:rPr>
          <w:rFonts w:eastAsiaTheme="minorHAnsi"/>
        </w:rPr>
        <w:t>Victorian local governments spend around $7.69</w:t>
      </w:r>
      <w:r>
        <w:rPr>
          <w:rFonts w:eastAsiaTheme="minorHAnsi"/>
        </w:rPr>
        <w:t> billion</w:t>
      </w:r>
      <w:r w:rsidRPr="00BE538B">
        <w:rPr>
          <w:rFonts w:eastAsiaTheme="minorHAnsi"/>
        </w:rPr>
        <w:t xml:space="preserve"> a year</w:t>
      </w:r>
      <w:r>
        <w:rPr>
          <w:rFonts w:eastAsiaTheme="minorHAnsi"/>
        </w:rPr>
        <w:t>.</w:t>
      </w:r>
      <w:r>
        <w:rPr>
          <w:rStyle w:val="FootnoteReference"/>
          <w:rFonts w:eastAsiaTheme="minorHAnsi"/>
        </w:rPr>
        <w:footnoteReference w:id="1"/>
      </w:r>
      <w:r w:rsidRPr="00BE538B">
        <w:rPr>
          <w:rFonts w:eastAsiaTheme="minorHAnsi"/>
        </w:rPr>
        <w:t xml:space="preserve"> Councils </w:t>
      </w:r>
      <w:r>
        <w:rPr>
          <w:rFonts w:eastAsiaTheme="minorHAnsi"/>
        </w:rPr>
        <w:t xml:space="preserve">have </w:t>
      </w:r>
      <w:r w:rsidRPr="00BE538B">
        <w:rPr>
          <w:rFonts w:eastAsiaTheme="minorHAnsi"/>
        </w:rPr>
        <w:t xml:space="preserve">vital responsibilities which include community services, local roads, waste management, recreation and cultural activities. </w:t>
      </w:r>
    </w:p>
    <w:p w:rsidR="00E25CC6" w:rsidRPr="00BE538B" w:rsidRDefault="00E25CC6" w:rsidP="00165BBE">
      <w:pPr>
        <w:rPr>
          <w:rFonts w:eastAsiaTheme="minorHAnsi"/>
        </w:rPr>
      </w:pPr>
      <w:r w:rsidRPr="00BE538B">
        <w:rPr>
          <w:rFonts w:eastAsiaTheme="minorHAnsi"/>
        </w:rPr>
        <w:t>In 2014</w:t>
      </w:r>
      <w:r>
        <w:rPr>
          <w:rFonts w:eastAsiaTheme="minorHAnsi"/>
        </w:rPr>
        <w:noBreakHyphen/>
      </w:r>
      <w:r w:rsidRPr="00BE538B">
        <w:rPr>
          <w:rFonts w:eastAsiaTheme="minorHAnsi"/>
        </w:rPr>
        <w:t xml:space="preserve">15, around 63 per cent of local government recurrent revenue was from rates and charges levied by councils. Around 20 per cent of council recurrent revenue was provided by grants which include Commonwealth general purpose grants and local road grants. The remaining 17 per cent of ongoing revenue comes from Maternal Child Health (MCH) and Home and Community Care (HACC) program payments as well as revenues from interest on bank deposits and rental income from assets owned by local government. </w:t>
      </w:r>
    </w:p>
    <w:p w:rsidR="00E25CC6" w:rsidRDefault="00E25CC6" w:rsidP="00165BBE">
      <w:pPr>
        <w:rPr>
          <w:rFonts w:eastAsiaTheme="minorHAnsi"/>
          <w:i/>
          <w:szCs w:val="22"/>
        </w:rPr>
      </w:pPr>
      <w:r w:rsidRPr="00BE538B">
        <w:rPr>
          <w:rFonts w:eastAsiaTheme="minorHAnsi"/>
          <w:szCs w:val="22"/>
        </w:rPr>
        <w:t xml:space="preserve">The Government provides land and payroll tax exemptions to local government. It is estimated that these exemptions will benefit Victorian councils by nearly </w:t>
      </w:r>
      <w:r w:rsidRPr="00B50129">
        <w:rPr>
          <w:rFonts w:eastAsiaTheme="minorHAnsi"/>
          <w:szCs w:val="22"/>
        </w:rPr>
        <w:t>$445 million in 2016</w:t>
      </w:r>
      <w:r>
        <w:rPr>
          <w:rFonts w:eastAsiaTheme="minorHAnsi"/>
          <w:szCs w:val="22"/>
        </w:rPr>
        <w:noBreakHyphen/>
      </w:r>
      <w:r w:rsidRPr="00B50129">
        <w:rPr>
          <w:rFonts w:eastAsiaTheme="minorHAnsi"/>
          <w:szCs w:val="22"/>
        </w:rPr>
        <w:t>17</w:t>
      </w:r>
      <w:r w:rsidRPr="00BE538B">
        <w:rPr>
          <w:rFonts w:eastAsiaTheme="minorHAnsi"/>
          <w:szCs w:val="22"/>
        </w:rPr>
        <w:t xml:space="preserve"> (refer to Tables 5.2 and 5.4 in </w:t>
      </w:r>
      <w:r w:rsidRPr="00BE538B">
        <w:rPr>
          <w:rFonts w:eastAsiaTheme="minorHAnsi"/>
          <w:i/>
          <w:szCs w:val="22"/>
        </w:rPr>
        <w:t>Budget Paper No. 5).</w:t>
      </w:r>
    </w:p>
    <w:p w:rsidR="00E25CC6" w:rsidRPr="00165BBE" w:rsidRDefault="00E25CC6" w:rsidP="00165BBE">
      <w:pPr>
        <w:pStyle w:val="Tableheading"/>
        <w:rPr>
          <w:rFonts w:eastAsiaTheme="minorHAnsi"/>
        </w:rPr>
      </w:pPr>
      <w:r>
        <w:rPr>
          <w:rFonts w:eastAsiaTheme="minorHAnsi"/>
        </w:rPr>
        <w:t xml:space="preserve">Table B.1: </w:t>
      </w:r>
      <w:r>
        <w:rPr>
          <w:rFonts w:eastAsiaTheme="minorHAnsi"/>
        </w:rPr>
        <w:tab/>
        <w:t>Grants and transfers to local government</w:t>
      </w:r>
    </w:p>
    <w:p w:rsidR="00E25CC6" w:rsidRPr="00AC3AEF" w:rsidRDefault="00E25CC6" w:rsidP="00AC3AEF">
      <w:pPr>
        <w:pStyle w:val="million"/>
        <w:rPr>
          <w:rFonts w:eastAsiaTheme="minorHAnsi"/>
        </w:rPr>
      </w:pPr>
      <w:r>
        <w:rPr>
          <w:rFonts w:eastAsiaTheme="minorHAnsi"/>
        </w:rPr>
        <w:t xml:space="preserve">($ </w:t>
      </w:r>
      <w:r w:rsidRPr="00FB2032">
        <w:rPr>
          <w:rFonts w:eastAsiaTheme="minorHAnsi"/>
        </w:rPr>
        <w:t>thousand</w:t>
      </w:r>
      <w:r>
        <w:rPr>
          <w:rFonts w:eastAsiaTheme="minorHAnsi"/>
        </w:rPr>
        <w:t>)</w:t>
      </w:r>
    </w:p>
    <w:tbl>
      <w:tblPr>
        <w:tblW w:w="7766" w:type="dxa"/>
        <w:tblInd w:w="45" w:type="dxa"/>
        <w:tblLayout w:type="fixed"/>
        <w:tblCellMar>
          <w:left w:w="45" w:type="dxa"/>
          <w:right w:w="45" w:type="dxa"/>
        </w:tblCellMar>
        <w:tblLook w:val="0000" w:firstRow="0" w:lastRow="0" w:firstColumn="0" w:lastColumn="0" w:noHBand="0" w:noVBand="0"/>
      </w:tblPr>
      <w:tblGrid>
        <w:gridCol w:w="4860"/>
        <w:gridCol w:w="968"/>
        <w:gridCol w:w="969"/>
        <w:gridCol w:w="969"/>
      </w:tblGrid>
      <w:tr w:rsidR="00E25CC6" w:rsidRPr="00AC3AEF" w:rsidTr="00AC3AEF">
        <w:trPr>
          <w:tblHeader/>
        </w:trPr>
        <w:tc>
          <w:tcPr>
            <w:tcW w:w="4860" w:type="dxa"/>
            <w:tcBorders>
              <w:top w:val="nil"/>
              <w:left w:val="nil"/>
              <w:right w:val="nil"/>
            </w:tcBorders>
            <w:shd w:val="solid" w:color="000000" w:fill="auto"/>
            <w:vAlign w:val="bottom"/>
          </w:tcPr>
          <w:p w:rsidR="00E25CC6" w:rsidRPr="00AC3AEF" w:rsidRDefault="00E25CC6" w:rsidP="00AC3AEF">
            <w:pPr>
              <w:autoSpaceDE w:val="0"/>
              <w:autoSpaceDN w:val="0"/>
              <w:adjustRightInd w:val="0"/>
              <w:spacing w:after="0"/>
              <w:jc w:val="right"/>
              <w:rPr>
                <w:rFonts w:ascii="Calibri" w:eastAsiaTheme="minorEastAsia" w:hAnsi="Calibri" w:cs="Calibri"/>
                <w:color w:val="FFFFFF"/>
                <w:sz w:val="19"/>
                <w:szCs w:val="19"/>
                <w:lang w:eastAsia="en-AU"/>
              </w:rPr>
            </w:pPr>
          </w:p>
        </w:tc>
        <w:tc>
          <w:tcPr>
            <w:tcW w:w="968" w:type="dxa"/>
            <w:tcBorders>
              <w:top w:val="nil"/>
              <w:left w:val="nil"/>
              <w:right w:val="nil"/>
            </w:tcBorders>
            <w:shd w:val="solid" w:color="000000" w:fill="auto"/>
            <w:vAlign w:val="bottom"/>
          </w:tcPr>
          <w:p w:rsidR="00E25CC6" w:rsidRPr="00AC3AEF" w:rsidRDefault="00E25CC6" w:rsidP="00AC3AEF">
            <w:pPr>
              <w:autoSpaceDE w:val="0"/>
              <w:autoSpaceDN w:val="0"/>
              <w:adjustRightInd w:val="0"/>
              <w:spacing w:after="0"/>
              <w:jc w:val="right"/>
              <w:rPr>
                <w:rFonts w:ascii="Calibri" w:eastAsiaTheme="minorEastAsia" w:hAnsi="Calibri" w:cs="Calibri"/>
                <w:i/>
                <w:iCs/>
                <w:color w:val="FFFFFF"/>
                <w:sz w:val="19"/>
                <w:szCs w:val="19"/>
                <w:lang w:eastAsia="en-AU"/>
              </w:rPr>
            </w:pPr>
            <w:r w:rsidRPr="00AC3AEF">
              <w:rPr>
                <w:rFonts w:ascii="Calibri" w:eastAsiaTheme="minorEastAsia" w:hAnsi="Calibri" w:cs="Calibri"/>
                <w:i/>
                <w:iCs/>
                <w:color w:val="FFFFFF"/>
                <w:sz w:val="19"/>
                <w:szCs w:val="19"/>
                <w:lang w:eastAsia="en-AU"/>
              </w:rPr>
              <w:t>2015-16 budget</w:t>
            </w:r>
          </w:p>
        </w:tc>
        <w:tc>
          <w:tcPr>
            <w:tcW w:w="969" w:type="dxa"/>
            <w:tcBorders>
              <w:top w:val="nil"/>
              <w:left w:val="nil"/>
              <w:right w:val="nil"/>
            </w:tcBorders>
            <w:shd w:val="solid" w:color="000000" w:fill="auto"/>
            <w:vAlign w:val="bottom"/>
          </w:tcPr>
          <w:p w:rsidR="00E25CC6" w:rsidRPr="00AC3AEF" w:rsidRDefault="00E25CC6" w:rsidP="00AC3AEF">
            <w:pPr>
              <w:autoSpaceDE w:val="0"/>
              <w:autoSpaceDN w:val="0"/>
              <w:adjustRightInd w:val="0"/>
              <w:spacing w:after="0"/>
              <w:jc w:val="right"/>
              <w:rPr>
                <w:rFonts w:ascii="Calibri" w:eastAsiaTheme="minorEastAsia" w:hAnsi="Calibri" w:cs="Calibri"/>
                <w:i/>
                <w:iCs/>
                <w:color w:val="FFFFFF"/>
                <w:sz w:val="19"/>
                <w:szCs w:val="19"/>
                <w:lang w:eastAsia="en-AU"/>
              </w:rPr>
            </w:pPr>
            <w:r w:rsidRPr="00AC3AEF">
              <w:rPr>
                <w:rFonts w:ascii="Calibri" w:eastAsiaTheme="minorEastAsia" w:hAnsi="Calibri" w:cs="Calibri"/>
                <w:i/>
                <w:iCs/>
                <w:color w:val="FFFFFF"/>
                <w:sz w:val="19"/>
                <w:szCs w:val="19"/>
                <w:lang w:eastAsia="en-AU"/>
              </w:rPr>
              <w:t>2015-16 revised</w:t>
            </w:r>
          </w:p>
        </w:tc>
        <w:tc>
          <w:tcPr>
            <w:tcW w:w="969" w:type="dxa"/>
            <w:tcBorders>
              <w:top w:val="nil"/>
              <w:left w:val="nil"/>
              <w:right w:val="nil"/>
            </w:tcBorders>
            <w:shd w:val="solid" w:color="000000" w:fill="auto"/>
            <w:vAlign w:val="bottom"/>
          </w:tcPr>
          <w:p w:rsidR="00E25CC6" w:rsidRPr="00AC3AEF" w:rsidRDefault="00E25CC6" w:rsidP="00AC3AEF">
            <w:pPr>
              <w:autoSpaceDE w:val="0"/>
              <w:autoSpaceDN w:val="0"/>
              <w:adjustRightInd w:val="0"/>
              <w:spacing w:after="0"/>
              <w:jc w:val="right"/>
              <w:rPr>
                <w:rFonts w:ascii="Calibri" w:eastAsiaTheme="minorEastAsia" w:hAnsi="Calibri" w:cs="Calibri"/>
                <w:i/>
                <w:iCs/>
                <w:color w:val="FFFFFF"/>
                <w:sz w:val="19"/>
                <w:szCs w:val="19"/>
                <w:lang w:eastAsia="en-AU"/>
              </w:rPr>
            </w:pPr>
            <w:r w:rsidRPr="00AC3AEF">
              <w:rPr>
                <w:rFonts w:ascii="Calibri" w:eastAsiaTheme="minorEastAsia" w:hAnsi="Calibri" w:cs="Calibri"/>
                <w:i/>
                <w:iCs/>
                <w:color w:val="FFFFFF"/>
                <w:sz w:val="19"/>
                <w:szCs w:val="19"/>
                <w:lang w:eastAsia="en-AU"/>
              </w:rPr>
              <w:t>2016-17 budget</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Department of Economic Development, Jobs, Transport and Resources</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153 686.1</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175 535.1</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140 534.2</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6"/>
                <w:lang w:eastAsia="en-AU"/>
              </w:rPr>
            </w:pPr>
            <w:r w:rsidRPr="00AC3AEF">
              <w:rPr>
                <w:rFonts w:ascii="Calibri" w:eastAsiaTheme="minorEastAsia" w:hAnsi="Calibri" w:cs="Calibri"/>
                <w:color w:val="000000"/>
                <w:sz w:val="19"/>
                <w:szCs w:val="19"/>
                <w:lang w:eastAsia="en-AU"/>
              </w:rPr>
              <w:t xml:space="preserve">Department of Education and Training </w:t>
            </w:r>
            <w:r w:rsidRPr="00AC3AEF">
              <w:rPr>
                <w:rFonts w:ascii="Calibri" w:eastAsiaTheme="minorEastAsia" w:hAnsi="Calibri" w:cs="Calibri"/>
                <w:color w:val="000000"/>
                <w:sz w:val="19"/>
                <w:szCs w:val="16"/>
                <w:vertAlign w:val="superscript"/>
                <w:lang w:eastAsia="en-AU"/>
              </w:rPr>
              <w:t>(a)</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5 564.1</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5 564.1</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10 576.0</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 xml:space="preserve">Department of Environment, Land, Water and Planning  </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661 202.7</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398 394.6</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668 024.6</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 xml:space="preserve">    Catchment Management Authorities</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153.2</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153.2</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153.2</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 xml:space="preserve">    Parks Victoria</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13.9</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13.9</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14.3</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6"/>
                <w:lang w:eastAsia="en-AU"/>
              </w:rPr>
            </w:pPr>
            <w:r w:rsidRPr="00AC3AEF">
              <w:rPr>
                <w:rFonts w:ascii="Calibri" w:eastAsiaTheme="minorEastAsia" w:hAnsi="Calibri" w:cs="Calibri"/>
                <w:color w:val="000000"/>
                <w:sz w:val="19"/>
                <w:szCs w:val="19"/>
                <w:lang w:eastAsia="en-AU"/>
              </w:rPr>
              <w:t xml:space="preserve">Department of Health and Human Services </w:t>
            </w:r>
            <w:r w:rsidRPr="00AC3AEF">
              <w:rPr>
                <w:rFonts w:ascii="Calibri" w:eastAsiaTheme="minorEastAsia" w:hAnsi="Calibri" w:cs="Calibri"/>
                <w:color w:val="000000"/>
                <w:sz w:val="19"/>
                <w:szCs w:val="16"/>
                <w:vertAlign w:val="superscript"/>
                <w:lang w:eastAsia="en-AU"/>
              </w:rPr>
              <w:t>(b)</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30 010.8</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43 998.8</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49 500.8</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Department of Justice and Regulation</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9 613.5</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13 650.5</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12 650.6</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Country Fire Authority</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300.0</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300.0</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308.0</w:t>
            </w:r>
          </w:p>
        </w:tc>
      </w:tr>
      <w:tr w:rsidR="00E25CC6" w:rsidRPr="00AC3AEF" w:rsidTr="00AC3AEF">
        <w:tc>
          <w:tcPr>
            <w:tcW w:w="4860" w:type="dxa"/>
            <w:tcBorders>
              <w:top w:val="nil"/>
              <w:left w:val="nil"/>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Department of Premier and Cabinet</w:t>
            </w:r>
          </w:p>
        </w:tc>
        <w:tc>
          <w:tcPr>
            <w:tcW w:w="968"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8 565.3</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4 432.5</w:t>
            </w:r>
          </w:p>
        </w:tc>
        <w:tc>
          <w:tcPr>
            <w:tcW w:w="969" w:type="dxa"/>
            <w:tcBorders>
              <w:top w:val="nil"/>
              <w:left w:val="nil"/>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3 452.5</w:t>
            </w:r>
          </w:p>
        </w:tc>
      </w:tr>
      <w:tr w:rsidR="00E25CC6" w:rsidRPr="00AC3AEF" w:rsidTr="00AC3AEF">
        <w:tc>
          <w:tcPr>
            <w:tcW w:w="4860" w:type="dxa"/>
            <w:tcBorders>
              <w:top w:val="nil"/>
              <w:left w:val="nil"/>
              <w:bottom w:val="single" w:sz="6" w:space="0" w:color="auto"/>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Department of Treasury and Finance</w:t>
            </w:r>
          </w:p>
        </w:tc>
        <w:tc>
          <w:tcPr>
            <w:tcW w:w="968" w:type="dxa"/>
            <w:tcBorders>
              <w:top w:val="nil"/>
              <w:left w:val="nil"/>
              <w:bottom w:val="single" w:sz="6" w:space="0" w:color="auto"/>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4 753.7</w:t>
            </w:r>
          </w:p>
        </w:tc>
        <w:tc>
          <w:tcPr>
            <w:tcW w:w="969" w:type="dxa"/>
            <w:tcBorders>
              <w:top w:val="nil"/>
              <w:left w:val="nil"/>
              <w:bottom w:val="single" w:sz="6" w:space="0" w:color="auto"/>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28 116.7</w:t>
            </w:r>
          </w:p>
        </w:tc>
        <w:tc>
          <w:tcPr>
            <w:tcW w:w="969" w:type="dxa"/>
            <w:tcBorders>
              <w:top w:val="nil"/>
              <w:left w:val="nil"/>
              <w:bottom w:val="single" w:sz="6" w:space="0" w:color="auto"/>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color w:val="000000"/>
                <w:sz w:val="19"/>
                <w:szCs w:val="19"/>
                <w:lang w:eastAsia="en-AU"/>
              </w:rPr>
            </w:pPr>
            <w:r w:rsidRPr="00AC3AEF">
              <w:rPr>
                <w:rFonts w:ascii="Calibri" w:eastAsiaTheme="minorEastAsia" w:hAnsi="Calibri" w:cs="Calibri"/>
                <w:color w:val="000000"/>
                <w:sz w:val="19"/>
                <w:szCs w:val="19"/>
                <w:lang w:eastAsia="en-AU"/>
              </w:rPr>
              <w:t>12 890.6</w:t>
            </w:r>
          </w:p>
        </w:tc>
      </w:tr>
      <w:tr w:rsidR="00E25CC6" w:rsidRPr="00AC3AEF" w:rsidTr="00AC3AEF">
        <w:tc>
          <w:tcPr>
            <w:tcW w:w="4860" w:type="dxa"/>
            <w:tcBorders>
              <w:top w:val="single" w:sz="6" w:space="0" w:color="auto"/>
              <w:left w:val="nil"/>
              <w:bottom w:val="single" w:sz="12" w:space="0" w:color="auto"/>
              <w:right w:val="nil"/>
            </w:tcBorders>
            <w:shd w:val="clear" w:color="auto" w:fill="FFFFFF"/>
          </w:tcPr>
          <w:p w:rsidR="00E25CC6" w:rsidRPr="00AC3AEF" w:rsidRDefault="00E25CC6" w:rsidP="00AC3AEF">
            <w:pPr>
              <w:autoSpaceDE w:val="0"/>
              <w:autoSpaceDN w:val="0"/>
              <w:adjustRightInd w:val="0"/>
              <w:spacing w:after="0"/>
              <w:ind w:left="227" w:hanging="227"/>
              <w:rPr>
                <w:rFonts w:ascii="Calibri" w:eastAsiaTheme="minorEastAsia" w:hAnsi="Calibri" w:cs="Calibri"/>
                <w:b/>
                <w:bCs/>
                <w:color w:val="000000"/>
                <w:sz w:val="19"/>
                <w:szCs w:val="19"/>
                <w:lang w:eastAsia="en-AU"/>
              </w:rPr>
            </w:pPr>
            <w:r w:rsidRPr="00AC3AEF">
              <w:rPr>
                <w:rFonts w:ascii="Calibri" w:eastAsiaTheme="minorEastAsia" w:hAnsi="Calibri" w:cs="Calibri"/>
                <w:b/>
                <w:bCs/>
                <w:color w:val="000000"/>
                <w:sz w:val="19"/>
                <w:szCs w:val="19"/>
                <w:lang w:eastAsia="en-AU"/>
              </w:rPr>
              <w:t>Total grants</w:t>
            </w:r>
          </w:p>
        </w:tc>
        <w:tc>
          <w:tcPr>
            <w:tcW w:w="968" w:type="dxa"/>
            <w:tcBorders>
              <w:top w:val="single" w:sz="6" w:space="0" w:color="auto"/>
              <w:left w:val="nil"/>
              <w:bottom w:val="single" w:sz="12" w:space="0" w:color="auto"/>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b/>
                <w:bCs/>
                <w:color w:val="000000"/>
                <w:sz w:val="19"/>
                <w:szCs w:val="19"/>
                <w:lang w:eastAsia="en-AU"/>
              </w:rPr>
            </w:pPr>
            <w:r w:rsidRPr="00AC3AEF">
              <w:rPr>
                <w:rFonts w:ascii="Calibri" w:eastAsiaTheme="minorEastAsia" w:hAnsi="Calibri" w:cs="Calibri"/>
                <w:b/>
                <w:bCs/>
                <w:color w:val="000000"/>
                <w:sz w:val="19"/>
                <w:szCs w:val="19"/>
                <w:lang w:eastAsia="en-AU"/>
              </w:rPr>
              <w:t>873 863.3</w:t>
            </w:r>
          </w:p>
        </w:tc>
        <w:tc>
          <w:tcPr>
            <w:tcW w:w="969" w:type="dxa"/>
            <w:tcBorders>
              <w:top w:val="single" w:sz="6" w:space="0" w:color="auto"/>
              <w:left w:val="nil"/>
              <w:bottom w:val="single" w:sz="12" w:space="0" w:color="auto"/>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b/>
                <w:bCs/>
                <w:color w:val="000000"/>
                <w:sz w:val="19"/>
                <w:szCs w:val="19"/>
                <w:lang w:eastAsia="en-AU"/>
              </w:rPr>
            </w:pPr>
            <w:r w:rsidRPr="00AC3AEF">
              <w:rPr>
                <w:rFonts w:ascii="Calibri" w:eastAsiaTheme="minorEastAsia" w:hAnsi="Calibri" w:cs="Calibri"/>
                <w:b/>
                <w:bCs/>
                <w:color w:val="000000"/>
                <w:sz w:val="19"/>
                <w:szCs w:val="19"/>
                <w:lang w:eastAsia="en-AU"/>
              </w:rPr>
              <w:t>670 159.4</w:t>
            </w:r>
          </w:p>
        </w:tc>
        <w:tc>
          <w:tcPr>
            <w:tcW w:w="969" w:type="dxa"/>
            <w:tcBorders>
              <w:top w:val="single" w:sz="6" w:space="0" w:color="auto"/>
              <w:left w:val="nil"/>
              <w:bottom w:val="single" w:sz="12" w:space="0" w:color="auto"/>
              <w:right w:val="nil"/>
            </w:tcBorders>
            <w:shd w:val="clear" w:color="auto" w:fill="FFFFFF"/>
          </w:tcPr>
          <w:p w:rsidR="00E25CC6" w:rsidRPr="00AC3AEF" w:rsidRDefault="00E25CC6" w:rsidP="00AC3AEF">
            <w:pPr>
              <w:autoSpaceDE w:val="0"/>
              <w:autoSpaceDN w:val="0"/>
              <w:adjustRightInd w:val="0"/>
              <w:spacing w:after="0"/>
              <w:jc w:val="right"/>
              <w:rPr>
                <w:rFonts w:ascii="Calibri" w:eastAsiaTheme="minorEastAsia" w:hAnsi="Calibri" w:cs="Calibri"/>
                <w:b/>
                <w:bCs/>
                <w:color w:val="000000"/>
                <w:sz w:val="19"/>
                <w:szCs w:val="19"/>
                <w:lang w:eastAsia="en-AU"/>
              </w:rPr>
            </w:pPr>
            <w:r w:rsidRPr="00AC3AEF">
              <w:rPr>
                <w:rFonts w:ascii="Calibri" w:eastAsiaTheme="minorEastAsia" w:hAnsi="Calibri" w:cs="Calibri"/>
                <w:b/>
                <w:bCs/>
                <w:color w:val="000000"/>
                <w:sz w:val="19"/>
                <w:szCs w:val="19"/>
                <w:lang w:eastAsia="en-AU"/>
              </w:rPr>
              <w:t>898 104.8</w:t>
            </w:r>
          </w:p>
        </w:tc>
      </w:tr>
    </w:tbl>
    <w:p w:rsidR="00E25CC6" w:rsidRDefault="00E25CC6" w:rsidP="00795F54">
      <w:pPr>
        <w:pStyle w:val="Source"/>
        <w:rPr>
          <w:rFonts w:eastAsiaTheme="minorHAnsi"/>
        </w:rPr>
      </w:pPr>
      <w:r>
        <w:rPr>
          <w:rFonts w:eastAsiaTheme="minorHAnsi"/>
        </w:rPr>
        <w:t>Source: Department of Treasury and Finance</w:t>
      </w:r>
    </w:p>
    <w:p w:rsidR="00E25CC6" w:rsidRDefault="00E25CC6" w:rsidP="001B6576">
      <w:pPr>
        <w:pStyle w:val="Notes"/>
        <w:rPr>
          <w:rFonts w:eastAsiaTheme="minorHAnsi"/>
        </w:rPr>
      </w:pPr>
      <w:r>
        <w:rPr>
          <w:rFonts w:eastAsiaTheme="minorHAnsi"/>
        </w:rPr>
        <w:t>Notes:</w:t>
      </w:r>
    </w:p>
    <w:p w:rsidR="00E25CC6" w:rsidRDefault="00E25CC6" w:rsidP="001B6576">
      <w:pPr>
        <w:pStyle w:val="Notes"/>
        <w:rPr>
          <w:rFonts w:eastAsiaTheme="minorHAnsi"/>
        </w:rPr>
      </w:pPr>
      <w:r w:rsidRPr="001B6576">
        <w:rPr>
          <w:rFonts w:eastAsiaTheme="minorHAnsi"/>
        </w:rPr>
        <w:t xml:space="preserve">(a) </w:t>
      </w:r>
      <w:r>
        <w:rPr>
          <w:rFonts w:eastAsiaTheme="minorHAnsi"/>
        </w:rPr>
        <w:tab/>
      </w:r>
      <w:r w:rsidRPr="001B6576">
        <w:rPr>
          <w:rFonts w:eastAsiaTheme="minorHAnsi"/>
        </w:rPr>
        <w:t>Excludes funds provided to local government for service delivery.</w:t>
      </w:r>
    </w:p>
    <w:p w:rsidR="00E25CC6" w:rsidRPr="001B6576" w:rsidRDefault="00E25CC6" w:rsidP="001B6576">
      <w:pPr>
        <w:pStyle w:val="Notes"/>
        <w:rPr>
          <w:rFonts w:eastAsiaTheme="minorHAnsi"/>
        </w:rPr>
      </w:pPr>
      <w:r w:rsidRPr="001B6576">
        <w:rPr>
          <w:rFonts w:eastAsiaTheme="minorHAnsi"/>
        </w:rPr>
        <w:t xml:space="preserve">(b) </w:t>
      </w:r>
      <w:r>
        <w:rPr>
          <w:rFonts w:eastAsiaTheme="minorHAnsi"/>
        </w:rPr>
        <w:tab/>
      </w:r>
      <w:r w:rsidRPr="001B6576">
        <w:rPr>
          <w:rFonts w:eastAsiaTheme="minorHAnsi"/>
        </w:rPr>
        <w:t>Excludes funds provided to local government for service delivery inc</w:t>
      </w:r>
      <w:r>
        <w:rPr>
          <w:rFonts w:eastAsiaTheme="minorHAnsi"/>
        </w:rPr>
        <w:t>luding</w:t>
      </w:r>
      <w:r w:rsidRPr="001B6576">
        <w:rPr>
          <w:rFonts w:eastAsiaTheme="minorHAnsi"/>
        </w:rPr>
        <w:t xml:space="preserve"> the </w:t>
      </w:r>
      <w:r>
        <w:rPr>
          <w:rFonts w:eastAsiaTheme="minorHAnsi"/>
        </w:rPr>
        <w:t>Home and Community Care program.</w:t>
      </w:r>
    </w:p>
    <w:p w:rsidR="00E25CC6" w:rsidRDefault="00E25CC6">
      <w:pPr>
        <w:spacing w:after="0"/>
        <w:rPr>
          <w:rFonts w:eastAsiaTheme="minorHAnsi"/>
          <w:szCs w:val="22"/>
        </w:rPr>
      </w:pPr>
      <w:r>
        <w:rPr>
          <w:rFonts w:eastAsiaTheme="minorHAnsi"/>
          <w:szCs w:val="22"/>
        </w:rPr>
        <w:br w:type="page"/>
      </w:r>
    </w:p>
    <w:p w:rsidR="00E25CC6" w:rsidRPr="00BE538B" w:rsidRDefault="00E25CC6" w:rsidP="00731406">
      <w:pPr>
        <w:rPr>
          <w:rFonts w:eastAsiaTheme="minorHAnsi"/>
          <w:szCs w:val="22"/>
        </w:rPr>
      </w:pPr>
      <w:r w:rsidRPr="00BE538B">
        <w:rPr>
          <w:rFonts w:eastAsiaTheme="minorHAnsi"/>
          <w:szCs w:val="22"/>
        </w:rPr>
        <w:t xml:space="preserve">Local Government Victoria, within the </w:t>
      </w:r>
      <w:r w:rsidRPr="00C95927">
        <w:rPr>
          <w:rFonts w:eastAsiaTheme="minorHAnsi"/>
          <w:szCs w:val="22"/>
        </w:rPr>
        <w:t>Department</w:t>
      </w:r>
      <w:r w:rsidRPr="00BE538B">
        <w:rPr>
          <w:rFonts w:eastAsiaTheme="minorHAnsi"/>
          <w:szCs w:val="22"/>
        </w:rPr>
        <w:t xml:space="preserve"> of Environment, Land, Water and Planning, provides the majority of funds to local government. For 2016</w:t>
      </w:r>
      <w:r>
        <w:rPr>
          <w:rFonts w:eastAsiaTheme="minorHAnsi"/>
          <w:szCs w:val="22"/>
        </w:rPr>
        <w:noBreakHyphen/>
      </w:r>
      <w:r w:rsidRPr="00BE538B">
        <w:rPr>
          <w:rFonts w:eastAsiaTheme="minorHAnsi"/>
          <w:szCs w:val="22"/>
        </w:rPr>
        <w:t>17</w:t>
      </w:r>
      <w:r>
        <w:rPr>
          <w:rFonts w:eastAsiaTheme="minorHAnsi"/>
          <w:szCs w:val="22"/>
        </w:rPr>
        <w:t>,</w:t>
      </w:r>
      <w:r w:rsidRPr="00BE538B">
        <w:rPr>
          <w:rFonts w:eastAsiaTheme="minorHAnsi"/>
          <w:szCs w:val="22"/>
        </w:rPr>
        <w:t xml:space="preserve"> it is estimated that around </w:t>
      </w:r>
      <w:r w:rsidRPr="00131CC7">
        <w:rPr>
          <w:rFonts w:eastAsiaTheme="minorHAnsi"/>
          <w:szCs w:val="22"/>
        </w:rPr>
        <w:t>$540 million (81 per cent)</w:t>
      </w:r>
      <w:r w:rsidRPr="00BE538B">
        <w:rPr>
          <w:rFonts w:eastAsiaTheme="minorHAnsi"/>
          <w:szCs w:val="22"/>
        </w:rPr>
        <w:t xml:space="preserve"> of these grants will be Commonwealth financial assistance grants, including road and general purpose grants that are passed on to local government in their entirety. All administration costs are borne by the Department.</w:t>
      </w:r>
    </w:p>
    <w:p w:rsidR="00E25CC6" w:rsidRPr="00BE538B" w:rsidRDefault="00E25CC6" w:rsidP="00731406">
      <w:pPr>
        <w:rPr>
          <w:rFonts w:eastAsiaTheme="minorHAnsi"/>
          <w:szCs w:val="22"/>
        </w:rPr>
      </w:pPr>
      <w:r w:rsidRPr="00BE538B">
        <w:rPr>
          <w:rFonts w:eastAsiaTheme="minorHAnsi"/>
          <w:szCs w:val="22"/>
        </w:rPr>
        <w:t xml:space="preserve">As shown in Table B.1, grants and transfers to local government are expected to be </w:t>
      </w:r>
      <w:r w:rsidRPr="00131CC7">
        <w:rPr>
          <w:rFonts w:eastAsiaTheme="minorHAnsi"/>
          <w:szCs w:val="22"/>
        </w:rPr>
        <w:t>$</w:t>
      </w:r>
      <w:r>
        <w:rPr>
          <w:rFonts w:eastAsiaTheme="minorHAnsi"/>
          <w:szCs w:val="22"/>
        </w:rPr>
        <w:t>670.2</w:t>
      </w:r>
      <w:r w:rsidRPr="00131CC7">
        <w:rPr>
          <w:rFonts w:eastAsiaTheme="minorHAnsi"/>
          <w:szCs w:val="22"/>
        </w:rPr>
        <w:t> million</w:t>
      </w:r>
      <w:r w:rsidRPr="00BE538B">
        <w:rPr>
          <w:rFonts w:eastAsiaTheme="minorHAnsi"/>
          <w:szCs w:val="22"/>
        </w:rPr>
        <w:t xml:space="preserve"> in 2015</w:t>
      </w:r>
      <w:r>
        <w:rPr>
          <w:rFonts w:eastAsiaTheme="minorHAnsi"/>
          <w:szCs w:val="22"/>
        </w:rPr>
        <w:noBreakHyphen/>
        <w:t>16. This is a de</w:t>
      </w:r>
      <w:r w:rsidRPr="00BE538B">
        <w:rPr>
          <w:rFonts w:eastAsiaTheme="minorHAnsi"/>
          <w:szCs w:val="22"/>
        </w:rPr>
        <w:t>crease from the original estimate of $873.9</w:t>
      </w:r>
      <w:r>
        <w:rPr>
          <w:rFonts w:eastAsiaTheme="minorHAnsi"/>
          <w:szCs w:val="22"/>
        </w:rPr>
        <w:t> million</w:t>
      </w:r>
      <w:r w:rsidRPr="00BE538B">
        <w:rPr>
          <w:rFonts w:eastAsiaTheme="minorHAnsi"/>
          <w:szCs w:val="22"/>
        </w:rPr>
        <w:t xml:space="preserve"> in the </w:t>
      </w:r>
      <w:r w:rsidRPr="00BE538B">
        <w:rPr>
          <w:rFonts w:eastAsiaTheme="minorHAnsi"/>
          <w:i/>
          <w:szCs w:val="22"/>
        </w:rPr>
        <w:t>2015</w:t>
      </w:r>
      <w:r>
        <w:rPr>
          <w:rFonts w:eastAsiaTheme="minorHAnsi"/>
          <w:i/>
          <w:szCs w:val="22"/>
        </w:rPr>
        <w:noBreakHyphen/>
      </w:r>
      <w:r w:rsidRPr="00BE538B">
        <w:rPr>
          <w:rFonts w:eastAsiaTheme="minorHAnsi"/>
          <w:i/>
          <w:szCs w:val="22"/>
        </w:rPr>
        <w:t>16 Budget.</w:t>
      </w:r>
      <w:r w:rsidRPr="00BE538B">
        <w:rPr>
          <w:rFonts w:eastAsiaTheme="minorHAnsi"/>
          <w:szCs w:val="22"/>
        </w:rPr>
        <w:t xml:space="preserve"> The key drivers of the variance in 2015</w:t>
      </w:r>
      <w:r>
        <w:rPr>
          <w:rFonts w:eastAsiaTheme="minorHAnsi"/>
          <w:szCs w:val="22"/>
        </w:rPr>
        <w:noBreakHyphen/>
      </w:r>
      <w:r w:rsidRPr="00BE538B">
        <w:rPr>
          <w:rFonts w:eastAsiaTheme="minorHAnsi"/>
          <w:szCs w:val="22"/>
        </w:rPr>
        <w:t>16 include:</w:t>
      </w:r>
    </w:p>
    <w:p w:rsidR="00E25CC6" w:rsidRPr="00780E9E" w:rsidRDefault="00E25CC6" w:rsidP="00731406">
      <w:pPr>
        <w:pStyle w:val="BulletText"/>
        <w:rPr>
          <w:rFonts w:eastAsiaTheme="minorHAnsi"/>
        </w:rPr>
      </w:pPr>
      <w:r>
        <w:rPr>
          <w:rFonts w:eastAsiaTheme="minorHAnsi"/>
          <w:szCs w:val="22"/>
        </w:rPr>
        <w:t>Department of Economic Development, Jobs, Transport and Resources – an increase in grants relates to a revision to expected grants to local government for regional activities in 2015</w:t>
      </w:r>
      <w:r>
        <w:rPr>
          <w:rFonts w:eastAsiaTheme="minorHAnsi"/>
          <w:szCs w:val="22"/>
        </w:rPr>
        <w:noBreakHyphen/>
        <w:t xml:space="preserve">16. </w:t>
      </w:r>
    </w:p>
    <w:p w:rsidR="00E25CC6" w:rsidRPr="00616E1A" w:rsidRDefault="00E25CC6" w:rsidP="00616E1A">
      <w:pPr>
        <w:pStyle w:val="BulletText"/>
        <w:rPr>
          <w:rFonts w:eastAsiaTheme="minorHAnsi"/>
        </w:rPr>
      </w:pPr>
      <w:r>
        <w:rPr>
          <w:rFonts w:eastAsiaTheme="minorHAnsi"/>
          <w:szCs w:val="22"/>
        </w:rPr>
        <w:t>Department of Environment, Land, Water and Planning – the large decrease in grants in the 2015</w:t>
      </w:r>
      <w:r>
        <w:rPr>
          <w:rFonts w:eastAsiaTheme="minorHAnsi"/>
          <w:szCs w:val="22"/>
        </w:rPr>
        <w:noBreakHyphen/>
        <w:t>16 revised budget compared to the 2015</w:t>
      </w:r>
      <w:r>
        <w:rPr>
          <w:rFonts w:eastAsiaTheme="minorHAnsi"/>
          <w:szCs w:val="22"/>
        </w:rPr>
        <w:noBreakHyphen/>
        <w:t>16 budget reflects the Commonwealth’s decision to prepay Financial Assistance Grants and Identified Local Roads grants relating to the first two quarters of 2015</w:t>
      </w:r>
      <w:r>
        <w:rPr>
          <w:rFonts w:eastAsiaTheme="minorHAnsi"/>
          <w:szCs w:val="22"/>
        </w:rPr>
        <w:noBreakHyphen/>
        <w:t>16 in 2014</w:t>
      </w:r>
      <w:r>
        <w:rPr>
          <w:rFonts w:eastAsiaTheme="minorHAnsi"/>
          <w:szCs w:val="22"/>
        </w:rPr>
        <w:noBreakHyphen/>
        <w:t xml:space="preserve">15. </w:t>
      </w:r>
    </w:p>
    <w:p w:rsidR="00E25CC6" w:rsidRDefault="00E25CC6" w:rsidP="00731406">
      <w:pPr>
        <w:pStyle w:val="BulletText"/>
        <w:rPr>
          <w:rFonts w:eastAsiaTheme="minorHAnsi"/>
        </w:rPr>
      </w:pPr>
      <w:r>
        <w:rPr>
          <w:rFonts w:eastAsiaTheme="minorHAnsi"/>
        </w:rPr>
        <w:t xml:space="preserve">Department of Treasury and Finance – the increase is related to an upwards revision of Natural Disaster Relief and Recovery Arrangements Commonwealth payments relating to prior year claims by local councils for asset restoration works after natural disaster events. </w:t>
      </w:r>
    </w:p>
    <w:p w:rsidR="00E25CC6" w:rsidRDefault="00E25CC6" w:rsidP="00165BBE">
      <w:pPr>
        <w:rPr>
          <w:rFonts w:eastAsiaTheme="minorHAnsi"/>
          <w:szCs w:val="22"/>
        </w:rPr>
      </w:pPr>
      <w:r w:rsidRPr="00BE538B">
        <w:rPr>
          <w:rFonts w:eastAsiaTheme="minorHAnsi"/>
          <w:szCs w:val="22"/>
        </w:rPr>
        <w:t xml:space="preserve">The </w:t>
      </w:r>
      <w:r w:rsidRPr="00BE538B">
        <w:rPr>
          <w:rFonts w:eastAsiaTheme="minorHAnsi"/>
          <w:i/>
          <w:szCs w:val="22"/>
        </w:rPr>
        <w:t>2016</w:t>
      </w:r>
      <w:r>
        <w:rPr>
          <w:rFonts w:eastAsiaTheme="minorHAnsi"/>
          <w:i/>
          <w:szCs w:val="22"/>
        </w:rPr>
        <w:noBreakHyphen/>
      </w:r>
      <w:r w:rsidRPr="00BE538B">
        <w:rPr>
          <w:rFonts w:eastAsiaTheme="minorHAnsi"/>
          <w:i/>
          <w:szCs w:val="22"/>
        </w:rPr>
        <w:t xml:space="preserve">17 Budget </w:t>
      </w:r>
      <w:r w:rsidRPr="00BE538B">
        <w:rPr>
          <w:rFonts w:eastAsiaTheme="minorHAnsi"/>
          <w:szCs w:val="22"/>
        </w:rPr>
        <w:t xml:space="preserve">provides an estimated </w:t>
      </w:r>
      <w:r w:rsidRPr="00131CC7">
        <w:rPr>
          <w:rFonts w:eastAsiaTheme="minorHAnsi"/>
          <w:szCs w:val="22"/>
        </w:rPr>
        <w:t>$898.1 million</w:t>
      </w:r>
      <w:r w:rsidRPr="00BE538B">
        <w:rPr>
          <w:rFonts w:eastAsiaTheme="minorHAnsi"/>
          <w:szCs w:val="22"/>
        </w:rPr>
        <w:t xml:space="preserve"> in grants and transfers to local government. This represents a</w:t>
      </w:r>
      <w:r>
        <w:rPr>
          <w:rFonts w:eastAsiaTheme="minorHAnsi"/>
          <w:szCs w:val="22"/>
        </w:rPr>
        <w:t>n increase</w:t>
      </w:r>
      <w:r w:rsidRPr="00BE538B">
        <w:rPr>
          <w:rFonts w:eastAsiaTheme="minorHAnsi"/>
          <w:szCs w:val="22"/>
        </w:rPr>
        <w:t xml:space="preserve"> of </w:t>
      </w:r>
      <w:r w:rsidRPr="00131CC7">
        <w:rPr>
          <w:rFonts w:eastAsiaTheme="minorHAnsi"/>
          <w:szCs w:val="22"/>
        </w:rPr>
        <w:t>$24.2 million</w:t>
      </w:r>
      <w:r w:rsidRPr="00BE538B">
        <w:rPr>
          <w:rFonts w:eastAsiaTheme="minorHAnsi"/>
          <w:szCs w:val="22"/>
        </w:rPr>
        <w:t xml:space="preserve"> from the amount estimated in the </w:t>
      </w:r>
      <w:r w:rsidRPr="00BE538B">
        <w:rPr>
          <w:rFonts w:eastAsiaTheme="minorHAnsi"/>
          <w:i/>
          <w:szCs w:val="22"/>
        </w:rPr>
        <w:t>2015</w:t>
      </w:r>
      <w:r>
        <w:rPr>
          <w:rFonts w:eastAsiaTheme="minorHAnsi"/>
          <w:i/>
          <w:szCs w:val="22"/>
        </w:rPr>
        <w:noBreakHyphen/>
      </w:r>
      <w:r w:rsidRPr="00BE538B">
        <w:rPr>
          <w:rFonts w:eastAsiaTheme="minorHAnsi"/>
          <w:i/>
          <w:szCs w:val="22"/>
        </w:rPr>
        <w:t xml:space="preserve">16 Budget. </w:t>
      </w:r>
      <w:r w:rsidRPr="0025276B">
        <w:rPr>
          <w:rFonts w:eastAsiaTheme="minorHAnsi"/>
          <w:szCs w:val="22"/>
        </w:rPr>
        <w:t>The key drivers of this difference are</w:t>
      </w:r>
      <w:r>
        <w:rPr>
          <w:rFonts w:eastAsiaTheme="minorHAnsi"/>
          <w:szCs w:val="22"/>
        </w:rPr>
        <w:t xml:space="preserve"> upwards revisions in grants and transfers to local government across several departments. The significant upwards revision in grants and transfers from the Department of Treasury and Finance relates to the larger magnitude of natural disaster events in 2015</w:t>
      </w:r>
      <w:r>
        <w:rPr>
          <w:rFonts w:eastAsiaTheme="minorHAnsi"/>
          <w:szCs w:val="22"/>
        </w:rPr>
        <w:noBreakHyphen/>
        <w:t xml:space="preserve">16 relating largely to bushfire activities. The upwards revision in grants and transfers from the Department of Education and Training relates to grants that will be provided through the Children’s Facilities Capital program to construct new early learning facilities in growth areas as part of the New kindergartens in growth suburbs initiative. The upwards revision in grants and transfers to local government by the Department of Health and Human Services relates to the creation of the Community Sports and Events initiative which will provide sport and recreation grants to local councils. </w:t>
      </w:r>
    </w:p>
    <w:p w:rsidR="00E25CC6" w:rsidRDefault="00E25CC6" w:rsidP="00165BBE">
      <w:pPr>
        <w:rPr>
          <w:rFonts w:eastAsiaTheme="minorHAnsi"/>
        </w:rPr>
      </w:pPr>
      <w:r>
        <w:rPr>
          <w:rFonts w:eastAsiaTheme="minorHAnsi"/>
          <w:szCs w:val="22"/>
        </w:rPr>
        <w:t>These upwards revisions are partially offset by reductions in grants and transfers to local government by the Department of Economic Development, Jobs, Transport and Resources due the mix of grantees receiving funding under</w:t>
      </w:r>
      <w:r w:rsidRPr="0079367E">
        <w:rPr>
          <w:rFonts w:eastAsiaTheme="minorHAnsi"/>
          <w:szCs w:val="22"/>
        </w:rPr>
        <w:t xml:space="preserve"> the Regional Jobs and Infrastructure Fund.</w:t>
      </w:r>
      <w:r>
        <w:rPr>
          <w:rFonts w:eastAsiaTheme="minorHAnsi"/>
          <w:szCs w:val="22"/>
        </w:rPr>
        <w:t xml:space="preserve"> The value of grants and transfers made to local government by a number of departments is also expected to increase due to the funding of new budget initiatives listed later in this appendix. </w:t>
      </w:r>
      <w:r>
        <w:rPr>
          <w:rFonts w:eastAsiaTheme="minorHAnsi"/>
          <w:szCs w:val="22"/>
        </w:rPr>
        <w:fldChar w:fldCharType="begin"/>
      </w:r>
      <w:r>
        <w:instrText xml:space="preserve"> XE "</w:instrText>
      </w:r>
      <w:r w:rsidRPr="00515978">
        <w:instrText>Local Government</w:instrText>
      </w:r>
      <w:r>
        <w:instrText xml:space="preserve">" </w:instrText>
      </w:r>
      <w:r>
        <w:rPr>
          <w:rFonts w:eastAsiaTheme="minorHAnsi"/>
          <w:szCs w:val="22"/>
        </w:rPr>
        <w:fldChar w:fldCharType="end"/>
      </w:r>
      <w:r>
        <w:rPr>
          <w:rFonts w:eastAsiaTheme="minorHAnsi"/>
          <w:szCs w:val="22"/>
        </w:rPr>
        <w:t xml:space="preserve"> </w:t>
      </w:r>
      <w:bookmarkEnd w:id="122"/>
    </w:p>
    <w:p w:rsidR="00E25CC6" w:rsidRDefault="00E25CC6">
      <w:pPr>
        <w:spacing w:after="0"/>
        <w:rPr>
          <w:rFonts w:ascii="Calibri" w:eastAsiaTheme="minorHAnsi" w:hAnsi="Calibri"/>
          <w:b/>
          <w:kern w:val="28"/>
          <w:sz w:val="26"/>
          <w:szCs w:val="22"/>
        </w:rPr>
      </w:pPr>
      <w:r>
        <w:rPr>
          <w:rFonts w:eastAsiaTheme="minorHAnsi"/>
        </w:rPr>
        <w:br w:type="page"/>
      </w:r>
    </w:p>
    <w:p w:rsidR="00E25CC6" w:rsidRDefault="00E25CC6" w:rsidP="00731406">
      <w:pPr>
        <w:pStyle w:val="Heading2"/>
        <w:rPr>
          <w:rFonts w:eastAsiaTheme="minorHAnsi"/>
        </w:rPr>
      </w:pPr>
      <w:r>
        <w:rPr>
          <w:rFonts w:eastAsiaTheme="minorHAnsi"/>
        </w:rPr>
        <w:t>Community Support Fund</w:t>
      </w:r>
    </w:p>
    <w:p w:rsidR="00E25CC6" w:rsidRPr="00BE538B" w:rsidRDefault="00E25CC6" w:rsidP="00731406">
      <w:r w:rsidRPr="00BE538B">
        <w:t xml:space="preserve">The Government funds a range of initiatives through the Community Support Fund (CSF), many of which are delivered by local government. </w:t>
      </w:r>
      <w:r>
        <w:fldChar w:fldCharType="begin"/>
      </w:r>
      <w:r>
        <w:instrText xml:space="preserve"> XE "</w:instrText>
      </w:r>
      <w:r w:rsidRPr="003061F0">
        <w:instrText>Communities:Community Support Fund</w:instrText>
      </w:r>
      <w:r>
        <w:instrText xml:space="preserve">" </w:instrText>
      </w:r>
      <w:r>
        <w:fldChar w:fldCharType="end"/>
      </w:r>
    </w:p>
    <w:p w:rsidR="00E25CC6" w:rsidRPr="00BE538B" w:rsidRDefault="00E25CC6" w:rsidP="00731406">
      <w:r w:rsidRPr="00BE538B">
        <w:t>During 2015</w:t>
      </w:r>
      <w:r>
        <w:noBreakHyphen/>
      </w:r>
      <w:r w:rsidRPr="00BE538B">
        <w:t xml:space="preserve">16, local governments received funding from a number of government programs funded from the CSF. This included the Community Facility Funding Program, which is administered by the Department of Health and Human Services and provides a variety of grants towards the development of community and sporting infrastructure. </w:t>
      </w:r>
    </w:p>
    <w:p w:rsidR="00E25CC6" w:rsidRPr="00BE538B" w:rsidRDefault="00E25CC6" w:rsidP="004D60D3">
      <w:r>
        <w:t>G</w:t>
      </w:r>
      <w:r w:rsidRPr="00BE538B">
        <w:t>rants awarded included the following:</w:t>
      </w:r>
    </w:p>
    <w:p w:rsidR="00E25CC6" w:rsidRPr="00BE538B" w:rsidRDefault="00E25CC6" w:rsidP="00731406">
      <w:pPr>
        <w:pStyle w:val="BulletText"/>
      </w:pPr>
      <w:r w:rsidRPr="00731406">
        <w:t>funding</w:t>
      </w:r>
      <w:r w:rsidRPr="00BE538B">
        <w:t xml:space="preserve"> of $3</w:t>
      </w:r>
      <w:r>
        <w:t> million</w:t>
      </w:r>
      <w:r w:rsidRPr="00BE538B">
        <w:t xml:space="preserve"> to</w:t>
      </w:r>
      <w:r>
        <w:t xml:space="preserve"> the</w:t>
      </w:r>
      <w:r w:rsidRPr="00BE538B">
        <w:t xml:space="preserve"> Nillumbik Shire Council towards the redevelopment of the Eltham Leisure Centre</w:t>
      </w:r>
      <w:r>
        <w:t>,</w:t>
      </w:r>
      <w:r w:rsidRPr="00BE538B">
        <w:t xml:space="preserve"> including an upgrade of the existing 25</w:t>
      </w:r>
      <w:r>
        <w:t xml:space="preserve"> </w:t>
      </w:r>
      <w:r w:rsidRPr="00BE538B">
        <w:t>m</w:t>
      </w:r>
      <w:r>
        <w:t>etre</w:t>
      </w:r>
      <w:r w:rsidRPr="00BE538B">
        <w:t xml:space="preserve"> indoor pool, water playspace, warm water pool and upgraded plant and equipment;</w:t>
      </w:r>
    </w:p>
    <w:p w:rsidR="00E25CC6" w:rsidRPr="00BE538B" w:rsidRDefault="00E25CC6" w:rsidP="00731406">
      <w:pPr>
        <w:pStyle w:val="BulletText"/>
      </w:pPr>
      <w:r w:rsidRPr="00BE538B">
        <w:t xml:space="preserve">funding of $400 000 to </w:t>
      </w:r>
      <w:r>
        <w:t xml:space="preserve">the </w:t>
      </w:r>
      <w:r w:rsidRPr="00BE538B">
        <w:t>Surf Coast Shire Council towards the construction of a second sports oval</w:t>
      </w:r>
      <w:r>
        <w:t>,</w:t>
      </w:r>
      <w:r w:rsidRPr="00BE538B">
        <w:t xml:space="preserve"> including drainage, irrigation and semi</w:t>
      </w:r>
      <w:r>
        <w:noBreakHyphen/>
      </w:r>
      <w:r w:rsidRPr="00BE538B">
        <w:t>professional standard lighting (200</w:t>
      </w:r>
      <w:r>
        <w:t> </w:t>
      </w:r>
      <w:r w:rsidRPr="00BE538B">
        <w:t>lux) at Banyul Warri Fields in Torquay;</w:t>
      </w:r>
    </w:p>
    <w:p w:rsidR="00E25CC6" w:rsidRPr="00BE538B" w:rsidRDefault="00E25CC6" w:rsidP="00731406">
      <w:pPr>
        <w:pStyle w:val="BulletText"/>
      </w:pPr>
      <w:r w:rsidRPr="00BE538B">
        <w:t xml:space="preserve">funding of $100 000 to </w:t>
      </w:r>
      <w:r>
        <w:t xml:space="preserve">the </w:t>
      </w:r>
      <w:r w:rsidRPr="00BE538B">
        <w:t>Benalla Rural City Council towards the development of the southern precinct of the Benalla Botanical Gardens Adventure Playground to create an active space for toddlers to teens to play on a ropes course and giant swing; and</w:t>
      </w:r>
    </w:p>
    <w:p w:rsidR="00E25CC6" w:rsidRPr="00BE538B" w:rsidRDefault="00E25CC6" w:rsidP="00731406">
      <w:pPr>
        <w:pStyle w:val="BulletText"/>
        <w:rPr>
          <w:b/>
        </w:rPr>
      </w:pPr>
      <w:r w:rsidRPr="00BE538B">
        <w:t xml:space="preserve">funding of $100 000 to </w:t>
      </w:r>
      <w:r>
        <w:t xml:space="preserve">the </w:t>
      </w:r>
      <w:r w:rsidRPr="00BE538B">
        <w:t>Yarra City Council towards the construction of a new multi</w:t>
      </w:r>
      <w:r>
        <w:noBreakHyphen/>
      </w:r>
      <w:r w:rsidRPr="00BE538B">
        <w:t>purpose pavilion that includes four change</w:t>
      </w:r>
      <w:r>
        <w:noBreakHyphen/>
      </w:r>
      <w:r w:rsidRPr="00BE538B">
        <w:t>rooms, referees room, multi</w:t>
      </w:r>
      <w:r>
        <w:noBreakHyphen/>
      </w:r>
      <w:r w:rsidRPr="00BE538B">
        <w:t>purpose space, first</w:t>
      </w:r>
      <w:r>
        <w:noBreakHyphen/>
      </w:r>
      <w:r w:rsidRPr="00BE538B">
        <w:t>aid room, storage, accessible toilet, kitchen, external public toilets and accessible parking.</w:t>
      </w:r>
    </w:p>
    <w:p w:rsidR="00E25CC6" w:rsidRDefault="00E25CC6" w:rsidP="00731406">
      <w:pPr>
        <w:pStyle w:val="Heading2"/>
        <w:rPr>
          <w:rFonts w:eastAsiaTheme="minorHAnsi"/>
        </w:rPr>
      </w:pPr>
      <w:r w:rsidRPr="0047426A">
        <w:rPr>
          <w:rFonts w:eastAsiaTheme="minorHAnsi"/>
        </w:rPr>
        <w:t>Flood and natural disaster response</w:t>
      </w:r>
    </w:p>
    <w:p w:rsidR="00E25CC6" w:rsidRPr="00BE538B" w:rsidRDefault="00E25CC6" w:rsidP="00731406">
      <w:pPr>
        <w:rPr>
          <w:lang w:eastAsia="en-AU"/>
        </w:rPr>
      </w:pPr>
      <w:r w:rsidRPr="00BE538B">
        <w:rPr>
          <w:lang w:eastAsia="en-AU"/>
        </w:rPr>
        <w:t>The Department of Treasury and Finance administers the Natural Disaster Relief and Recovery Arrangements (NDRRA), which provides financial assistance to councils affected by natural disasters, such as bushfires, floods and severe storms. This funding is largely used to reimburse costs incurred by local councils in counter disaster and asset restoration works, providing clean up and restoration grants to small business, primary producers and not</w:t>
      </w:r>
      <w:r>
        <w:rPr>
          <w:lang w:eastAsia="en-AU"/>
        </w:rPr>
        <w:noBreakHyphen/>
      </w:r>
      <w:r w:rsidRPr="00BE538B">
        <w:rPr>
          <w:lang w:eastAsia="en-AU"/>
        </w:rPr>
        <w:t>for</w:t>
      </w:r>
      <w:r>
        <w:rPr>
          <w:lang w:eastAsia="en-AU"/>
        </w:rPr>
        <w:noBreakHyphen/>
      </w:r>
      <w:r w:rsidRPr="00BE538B">
        <w:rPr>
          <w:lang w:eastAsia="en-AU"/>
        </w:rPr>
        <w:t>profit organisations and personal hardship and distress grants to individuals and households.</w:t>
      </w:r>
      <w:r>
        <w:rPr>
          <w:lang w:eastAsia="en-AU"/>
        </w:rPr>
        <w:fldChar w:fldCharType="begin"/>
      </w:r>
      <w:r>
        <w:instrText xml:space="preserve"> XE "</w:instrText>
      </w:r>
      <w:r w:rsidRPr="00515978">
        <w:instrText>Natural disasters and emergencies</w:instrText>
      </w:r>
      <w:r>
        <w:instrText xml:space="preserve">" </w:instrText>
      </w:r>
      <w:r>
        <w:rPr>
          <w:lang w:eastAsia="en-AU"/>
        </w:rPr>
        <w:fldChar w:fldCharType="end"/>
      </w:r>
    </w:p>
    <w:p w:rsidR="00E25CC6" w:rsidRPr="00D66E5E" w:rsidRDefault="00E25CC6" w:rsidP="00D66E5E">
      <w:pPr>
        <w:rPr>
          <w:lang w:eastAsia="en-AU"/>
        </w:rPr>
      </w:pPr>
      <w:r w:rsidRPr="00D66E5E">
        <w:rPr>
          <w:lang w:eastAsia="en-AU"/>
        </w:rPr>
        <w:t xml:space="preserve">Actual expenditure fluctuates each year depending on the number and magnitude of natural disasters that have occurred and the funding needs of councils. </w:t>
      </w:r>
    </w:p>
    <w:p w:rsidR="00E25CC6" w:rsidRPr="00D66E5E" w:rsidRDefault="00E25CC6" w:rsidP="00D66E5E">
      <w:pPr>
        <w:autoSpaceDE w:val="0"/>
        <w:autoSpaceDN w:val="0"/>
        <w:adjustRightInd w:val="0"/>
        <w:spacing w:after="0"/>
        <w:rPr>
          <w:rFonts w:cs="Garamond"/>
          <w:color w:val="000000"/>
          <w:szCs w:val="22"/>
          <w:lang w:eastAsia="en-AU"/>
        </w:rPr>
      </w:pPr>
      <w:r w:rsidRPr="00BE538B">
        <w:rPr>
          <w:rFonts w:cs="Garamond"/>
          <w:color w:val="000000"/>
          <w:szCs w:val="22"/>
          <w:lang w:eastAsia="en-AU"/>
        </w:rPr>
        <w:t>In 2016</w:t>
      </w:r>
      <w:r>
        <w:rPr>
          <w:rFonts w:cs="Garamond"/>
          <w:color w:val="000000"/>
          <w:szCs w:val="22"/>
          <w:lang w:eastAsia="en-AU"/>
        </w:rPr>
        <w:noBreakHyphen/>
      </w:r>
      <w:r w:rsidRPr="00BE538B">
        <w:rPr>
          <w:rFonts w:cs="Garamond"/>
          <w:color w:val="000000"/>
          <w:szCs w:val="22"/>
          <w:lang w:eastAsia="en-AU"/>
        </w:rPr>
        <w:t>17 local councils will continue to receive financial assistance for the standard relief and recovery measures under the NDRRA in recognition of the severity of the 2015 bushfires, as well as smaller bushfire, storm and flood events occurring in 2015 and 2016.</w:t>
      </w:r>
    </w:p>
    <w:p w:rsidR="00E25CC6" w:rsidRDefault="00E25CC6">
      <w:pPr>
        <w:spacing w:after="0"/>
        <w:rPr>
          <w:rFonts w:ascii="Calibri" w:eastAsiaTheme="minorHAnsi" w:hAnsi="Calibri"/>
          <w:b/>
          <w:i/>
          <w:caps/>
          <w:sz w:val="26"/>
          <w:szCs w:val="22"/>
        </w:rPr>
      </w:pPr>
      <w:r>
        <w:rPr>
          <w:rFonts w:eastAsiaTheme="minorHAnsi"/>
          <w:i/>
        </w:rPr>
        <w:br w:type="page"/>
      </w:r>
    </w:p>
    <w:p w:rsidR="00E25CC6" w:rsidRPr="001D5206" w:rsidRDefault="00E25CC6" w:rsidP="00731406">
      <w:pPr>
        <w:pStyle w:val="Heading1"/>
        <w:rPr>
          <w:rFonts w:eastAsiaTheme="minorHAnsi"/>
        </w:rPr>
      </w:pPr>
      <w:bookmarkStart w:id="124" w:name="_Toc449109459"/>
      <w:r w:rsidRPr="001D5206">
        <w:rPr>
          <w:rFonts w:eastAsiaTheme="minorHAnsi"/>
          <w:i/>
        </w:rPr>
        <w:t>2016</w:t>
      </w:r>
      <w:r w:rsidRPr="001D5206">
        <w:rPr>
          <w:rFonts w:eastAsiaTheme="minorHAnsi"/>
          <w:i/>
        </w:rPr>
        <w:noBreakHyphen/>
        <w:t>17 Budget</w:t>
      </w:r>
      <w:r w:rsidRPr="001D5206">
        <w:rPr>
          <w:rFonts w:eastAsiaTheme="minorHAnsi"/>
        </w:rPr>
        <w:t xml:space="preserve"> initiatives</w:t>
      </w:r>
      <w:bookmarkEnd w:id="124"/>
    </w:p>
    <w:p w:rsidR="00E25CC6" w:rsidRPr="00BE538B" w:rsidRDefault="00E25CC6" w:rsidP="00731406">
      <w:pPr>
        <w:rPr>
          <w:rFonts w:eastAsiaTheme="minorHAnsi"/>
          <w:szCs w:val="22"/>
        </w:rPr>
      </w:pPr>
      <w:r w:rsidRPr="00BE538B">
        <w:rPr>
          <w:rFonts w:eastAsiaTheme="minorHAnsi"/>
          <w:szCs w:val="22"/>
        </w:rPr>
        <w:t xml:space="preserve">This section outlines the key </w:t>
      </w:r>
      <w:r w:rsidRPr="00BE538B">
        <w:rPr>
          <w:rFonts w:eastAsiaTheme="minorHAnsi"/>
          <w:i/>
          <w:szCs w:val="22"/>
        </w:rPr>
        <w:t>2016</w:t>
      </w:r>
      <w:r>
        <w:rPr>
          <w:rFonts w:eastAsiaTheme="minorHAnsi"/>
          <w:i/>
          <w:szCs w:val="22"/>
        </w:rPr>
        <w:noBreakHyphen/>
      </w:r>
      <w:r w:rsidRPr="00BE538B">
        <w:rPr>
          <w:rFonts w:eastAsiaTheme="minorHAnsi"/>
          <w:i/>
          <w:szCs w:val="22"/>
        </w:rPr>
        <w:t xml:space="preserve">17 Budget </w:t>
      </w:r>
      <w:r w:rsidRPr="00BE538B">
        <w:rPr>
          <w:rFonts w:eastAsiaTheme="minorHAnsi"/>
          <w:szCs w:val="22"/>
        </w:rPr>
        <w:t>initiatives by department that will be undertaken in partnership with local government. This section includes initiatives where local government is the recipient of grants and transfers and other in</w:t>
      </w:r>
      <w:r>
        <w:rPr>
          <w:rFonts w:eastAsiaTheme="minorHAnsi"/>
          <w:szCs w:val="22"/>
        </w:rPr>
        <w:t>itiatives that broadly impact</w:t>
      </w:r>
      <w:r w:rsidRPr="00BE538B">
        <w:rPr>
          <w:rFonts w:eastAsiaTheme="minorHAnsi"/>
          <w:szCs w:val="22"/>
        </w:rPr>
        <w:t xml:space="preserve"> </w:t>
      </w:r>
      <w:r>
        <w:rPr>
          <w:rFonts w:eastAsiaTheme="minorHAnsi"/>
          <w:szCs w:val="22"/>
        </w:rPr>
        <w:t xml:space="preserve">on </w:t>
      </w:r>
      <w:r w:rsidRPr="00BE538B">
        <w:rPr>
          <w:rFonts w:eastAsiaTheme="minorHAnsi"/>
          <w:szCs w:val="22"/>
        </w:rPr>
        <w:t>local government. Funding details for each of these initiatives are provided in Chapter 1 of this budget paper.</w:t>
      </w:r>
    </w:p>
    <w:p w:rsidR="00E25CC6" w:rsidRDefault="00E25CC6" w:rsidP="00795F54">
      <w:pPr>
        <w:pStyle w:val="Heading2"/>
        <w:rPr>
          <w:rFonts w:eastAsiaTheme="minorHAnsi"/>
        </w:rPr>
      </w:pPr>
      <w:r>
        <w:rPr>
          <w:rFonts w:eastAsiaTheme="minorHAnsi"/>
        </w:rPr>
        <w:t>Department of Economic Development, Jobs, Transport and Resources</w:t>
      </w:r>
    </w:p>
    <w:p w:rsidR="00E25CC6" w:rsidRPr="00BE538B" w:rsidRDefault="00E25CC6" w:rsidP="00731406">
      <w:pPr>
        <w:rPr>
          <w:rFonts w:eastAsiaTheme="minorHAnsi"/>
          <w:szCs w:val="22"/>
        </w:rPr>
      </w:pPr>
      <w:r w:rsidRPr="00BE538B">
        <w:rPr>
          <w:rFonts w:eastAsiaTheme="minorHAnsi"/>
          <w:szCs w:val="22"/>
        </w:rPr>
        <w:t>The Department of Economic Development, Jobs, Transport and Resources works closely with local government to deliver a broad range of initiatives</w:t>
      </w:r>
      <w:r>
        <w:rPr>
          <w:rFonts w:eastAsiaTheme="minorHAnsi"/>
          <w:szCs w:val="22"/>
        </w:rPr>
        <w:t>,</w:t>
      </w:r>
      <w:r w:rsidRPr="00BE538B">
        <w:rPr>
          <w:rFonts w:eastAsiaTheme="minorHAnsi"/>
          <w:szCs w:val="22"/>
        </w:rPr>
        <w:t xml:space="preserve"> including local transport infrast</w:t>
      </w:r>
      <w:r>
        <w:rPr>
          <w:rFonts w:eastAsiaTheme="minorHAnsi"/>
          <w:szCs w:val="22"/>
        </w:rPr>
        <w:t>ructure</w:t>
      </w:r>
      <w:r w:rsidRPr="00BE538B">
        <w:rPr>
          <w:rFonts w:eastAsiaTheme="minorHAnsi"/>
          <w:szCs w:val="22"/>
        </w:rPr>
        <w:t xml:space="preserve"> to benefit Victorian communities. The Department delivers programs and provides financial and in</w:t>
      </w:r>
      <w:r>
        <w:rPr>
          <w:rFonts w:eastAsiaTheme="minorHAnsi"/>
          <w:szCs w:val="22"/>
        </w:rPr>
        <w:noBreakHyphen/>
      </w:r>
      <w:r w:rsidRPr="00BE538B">
        <w:rPr>
          <w:rFonts w:eastAsiaTheme="minorHAnsi"/>
          <w:szCs w:val="22"/>
        </w:rPr>
        <w:t xml:space="preserve">kind support to local government across Victoria in areas such as creative industries, regional development, recreational fishing and roads. </w:t>
      </w:r>
    </w:p>
    <w:p w:rsidR="00E25CC6" w:rsidRPr="00BE538B" w:rsidRDefault="00E25CC6" w:rsidP="00731406">
      <w:pPr>
        <w:rPr>
          <w:rFonts w:eastAsiaTheme="minorHAnsi"/>
          <w:szCs w:val="22"/>
        </w:rPr>
      </w:pPr>
      <w:r w:rsidRPr="00BE538B">
        <w:rPr>
          <w:rFonts w:eastAsiaTheme="minorHAnsi"/>
          <w:szCs w:val="22"/>
        </w:rPr>
        <w:t>The Department of Economic, Development, Jobs, Transport and Resources</w:t>
      </w:r>
      <w:r>
        <w:rPr>
          <w:rFonts w:eastAsiaTheme="minorHAnsi"/>
          <w:szCs w:val="22"/>
        </w:rPr>
        <w:t>’</w:t>
      </w:r>
      <w:r w:rsidRPr="00BE538B">
        <w:rPr>
          <w:rFonts w:eastAsiaTheme="minorHAnsi"/>
          <w:szCs w:val="22"/>
        </w:rPr>
        <w:t xml:space="preserve"> </w:t>
      </w:r>
      <w:r w:rsidRPr="00BE538B">
        <w:rPr>
          <w:rFonts w:eastAsiaTheme="minorHAnsi"/>
          <w:i/>
          <w:szCs w:val="22"/>
        </w:rPr>
        <w:t>2016</w:t>
      </w:r>
      <w:r>
        <w:rPr>
          <w:rFonts w:eastAsiaTheme="minorHAnsi"/>
          <w:i/>
          <w:szCs w:val="22"/>
        </w:rPr>
        <w:noBreakHyphen/>
      </w:r>
      <w:r w:rsidRPr="00BE538B">
        <w:rPr>
          <w:rFonts w:eastAsiaTheme="minorHAnsi"/>
          <w:i/>
          <w:szCs w:val="22"/>
        </w:rPr>
        <w:t>17</w:t>
      </w:r>
      <w:r>
        <w:rPr>
          <w:rFonts w:eastAsiaTheme="minorHAnsi"/>
          <w:i/>
          <w:szCs w:val="22"/>
        </w:rPr>
        <w:t> </w:t>
      </w:r>
      <w:r w:rsidRPr="00BE538B">
        <w:rPr>
          <w:rFonts w:eastAsiaTheme="minorHAnsi"/>
          <w:i/>
          <w:szCs w:val="22"/>
        </w:rPr>
        <w:t xml:space="preserve">Budget </w:t>
      </w:r>
      <w:r w:rsidRPr="00BE538B">
        <w:rPr>
          <w:rFonts w:eastAsiaTheme="minorHAnsi"/>
          <w:szCs w:val="22"/>
        </w:rPr>
        <w:t>initiatives that affect local government are:</w:t>
      </w:r>
    </w:p>
    <w:p w:rsidR="00E25CC6" w:rsidRDefault="00E25CC6" w:rsidP="0007277B">
      <w:pPr>
        <w:pStyle w:val="BulletText"/>
        <w:rPr>
          <w:rFonts w:eastAsiaTheme="minorHAnsi"/>
        </w:rPr>
      </w:pPr>
      <w:r w:rsidRPr="0007277B">
        <w:rPr>
          <w:rFonts w:eastAsiaTheme="minorHAnsi"/>
        </w:rPr>
        <w:t>Building our regions</w:t>
      </w:r>
      <w:r>
        <w:rPr>
          <w:rFonts w:eastAsiaTheme="minorHAnsi"/>
        </w:rPr>
        <w:t>;</w:t>
      </w:r>
    </w:p>
    <w:p w:rsidR="00E25CC6" w:rsidRDefault="00E25CC6" w:rsidP="0007277B">
      <w:pPr>
        <w:pStyle w:val="BulletText"/>
        <w:rPr>
          <w:rFonts w:eastAsiaTheme="minorHAnsi"/>
        </w:rPr>
      </w:pPr>
      <w:r w:rsidRPr="00BE538B">
        <w:rPr>
          <w:rFonts w:eastAsiaTheme="minorHAnsi"/>
        </w:rPr>
        <w:t>Great Ocean Road Economic and Community Bushfire Support Package</w:t>
      </w:r>
      <w:r>
        <w:rPr>
          <w:rFonts w:eastAsiaTheme="minorHAnsi"/>
        </w:rPr>
        <w:t>;</w:t>
      </w:r>
    </w:p>
    <w:p w:rsidR="00E25CC6" w:rsidRPr="00BE538B" w:rsidRDefault="00E25CC6" w:rsidP="009411BC">
      <w:pPr>
        <w:pStyle w:val="BulletText"/>
        <w:rPr>
          <w:rFonts w:eastAsiaTheme="minorHAnsi"/>
        </w:rPr>
      </w:pPr>
      <w:r w:rsidRPr="00BE538B">
        <w:rPr>
          <w:rFonts w:eastAsiaTheme="minorHAnsi"/>
        </w:rPr>
        <w:t>Community Revitalisation</w:t>
      </w:r>
      <w:r>
        <w:rPr>
          <w:rFonts w:eastAsiaTheme="minorHAnsi"/>
        </w:rPr>
        <w:t xml:space="preserve"> (</w:t>
      </w:r>
      <w:r w:rsidRPr="009411BC">
        <w:rPr>
          <w:rFonts w:eastAsiaTheme="minorHAnsi"/>
        </w:rPr>
        <w:t xml:space="preserve">whole </w:t>
      </w:r>
      <w:r>
        <w:rPr>
          <w:rFonts w:eastAsiaTheme="minorHAnsi"/>
        </w:rPr>
        <w:t>o</w:t>
      </w:r>
      <w:r w:rsidRPr="009411BC">
        <w:rPr>
          <w:rFonts w:eastAsiaTheme="minorHAnsi"/>
        </w:rPr>
        <w:t>f government – Jobs</w:t>
      </w:r>
      <w:r>
        <w:rPr>
          <w:rFonts w:eastAsiaTheme="minorHAnsi"/>
        </w:rPr>
        <w:t>);</w:t>
      </w:r>
    </w:p>
    <w:p w:rsidR="00E25CC6" w:rsidRPr="00BE538B" w:rsidRDefault="00E25CC6" w:rsidP="0007277B">
      <w:pPr>
        <w:pStyle w:val="BulletText"/>
        <w:rPr>
          <w:rFonts w:eastAsiaTheme="minorHAnsi"/>
        </w:rPr>
      </w:pPr>
      <w:r>
        <w:rPr>
          <w:rFonts w:eastAsiaTheme="minorHAnsi"/>
        </w:rPr>
        <w:t>V</w:t>
      </w:r>
      <w:r w:rsidRPr="00BE538B">
        <w:rPr>
          <w:rFonts w:eastAsiaTheme="minorHAnsi"/>
        </w:rPr>
        <w:t>ictoria</w:t>
      </w:r>
      <w:r>
        <w:rPr>
          <w:rFonts w:eastAsiaTheme="minorHAnsi"/>
        </w:rPr>
        <w:t>’</w:t>
      </w:r>
      <w:r w:rsidRPr="00BE538B">
        <w:rPr>
          <w:rFonts w:eastAsiaTheme="minorHAnsi"/>
        </w:rPr>
        <w:t xml:space="preserve">s Creative </w:t>
      </w:r>
      <w:r>
        <w:rPr>
          <w:rFonts w:eastAsiaTheme="minorHAnsi"/>
        </w:rPr>
        <w:t>State</w:t>
      </w:r>
      <w:r w:rsidRPr="00BE538B">
        <w:rPr>
          <w:rFonts w:eastAsiaTheme="minorHAnsi"/>
        </w:rPr>
        <w:t xml:space="preserve"> Strategy</w:t>
      </w:r>
      <w:r>
        <w:rPr>
          <w:rFonts w:eastAsiaTheme="minorHAnsi"/>
        </w:rPr>
        <w:t xml:space="preserve"> (</w:t>
      </w:r>
      <w:r w:rsidRPr="009411BC">
        <w:rPr>
          <w:rFonts w:eastAsiaTheme="minorHAnsi"/>
        </w:rPr>
        <w:t xml:space="preserve">whole </w:t>
      </w:r>
      <w:r>
        <w:rPr>
          <w:rFonts w:eastAsiaTheme="minorHAnsi"/>
        </w:rPr>
        <w:t>o</w:t>
      </w:r>
      <w:r w:rsidRPr="009411BC">
        <w:rPr>
          <w:rFonts w:eastAsiaTheme="minorHAnsi"/>
        </w:rPr>
        <w:t>f government – Jobs</w:t>
      </w:r>
      <w:r>
        <w:rPr>
          <w:rFonts w:eastAsiaTheme="minorHAnsi"/>
        </w:rPr>
        <w:t>);</w:t>
      </w:r>
    </w:p>
    <w:p w:rsidR="00E25CC6" w:rsidRDefault="00E25CC6" w:rsidP="0007277B">
      <w:pPr>
        <w:pStyle w:val="BulletText"/>
        <w:rPr>
          <w:rFonts w:eastAsiaTheme="minorHAnsi"/>
        </w:rPr>
      </w:pPr>
      <w:r w:rsidRPr="00BE538B">
        <w:rPr>
          <w:rFonts w:eastAsiaTheme="minorHAnsi"/>
        </w:rPr>
        <w:t>Latrobe Valley Transition Plan</w:t>
      </w:r>
      <w:r>
        <w:rPr>
          <w:rFonts w:eastAsiaTheme="minorHAnsi"/>
        </w:rPr>
        <w:t xml:space="preserve"> (</w:t>
      </w:r>
      <w:r w:rsidRPr="009411BC">
        <w:rPr>
          <w:rFonts w:eastAsiaTheme="minorHAnsi"/>
        </w:rPr>
        <w:t xml:space="preserve">whole </w:t>
      </w:r>
      <w:r>
        <w:rPr>
          <w:rFonts w:eastAsiaTheme="minorHAnsi"/>
        </w:rPr>
        <w:t>o</w:t>
      </w:r>
      <w:r w:rsidRPr="009411BC">
        <w:rPr>
          <w:rFonts w:eastAsiaTheme="minorHAnsi"/>
        </w:rPr>
        <w:t>f government – Jobs</w:t>
      </w:r>
      <w:r>
        <w:rPr>
          <w:rFonts w:eastAsiaTheme="minorHAnsi"/>
        </w:rPr>
        <w:t>);</w:t>
      </w:r>
    </w:p>
    <w:p w:rsidR="00E25CC6" w:rsidRPr="00BE538B" w:rsidRDefault="00E25CC6" w:rsidP="00731406">
      <w:pPr>
        <w:pStyle w:val="BulletText"/>
        <w:rPr>
          <w:rFonts w:eastAsiaTheme="minorHAnsi"/>
        </w:rPr>
      </w:pPr>
      <w:r w:rsidRPr="00BE538B">
        <w:rPr>
          <w:rFonts w:eastAsiaTheme="minorHAnsi"/>
        </w:rPr>
        <w:t>Regional Tourism Infrastructure Fund</w:t>
      </w:r>
      <w:r>
        <w:rPr>
          <w:rFonts w:eastAsiaTheme="minorHAnsi"/>
        </w:rPr>
        <w:t xml:space="preserve"> (</w:t>
      </w:r>
      <w:r w:rsidRPr="009411BC">
        <w:rPr>
          <w:rFonts w:eastAsiaTheme="minorHAnsi"/>
        </w:rPr>
        <w:t xml:space="preserve">whole </w:t>
      </w:r>
      <w:r>
        <w:rPr>
          <w:rFonts w:eastAsiaTheme="minorHAnsi"/>
        </w:rPr>
        <w:t>o</w:t>
      </w:r>
      <w:r w:rsidRPr="009411BC">
        <w:rPr>
          <w:rFonts w:eastAsiaTheme="minorHAnsi"/>
        </w:rPr>
        <w:t>f government – Jobs</w:t>
      </w:r>
      <w:r>
        <w:rPr>
          <w:rFonts w:eastAsiaTheme="minorHAnsi"/>
        </w:rPr>
        <w:t>);</w:t>
      </w:r>
    </w:p>
    <w:p w:rsidR="00E25CC6" w:rsidRDefault="00E25CC6" w:rsidP="00731406">
      <w:pPr>
        <w:pStyle w:val="BulletText"/>
        <w:rPr>
          <w:rFonts w:eastAsiaTheme="minorHAnsi"/>
        </w:rPr>
      </w:pPr>
      <w:r>
        <w:rPr>
          <w:rFonts w:eastAsiaTheme="minorHAnsi"/>
        </w:rPr>
        <w:t>Monash freeway graffiti removal;</w:t>
      </w:r>
    </w:p>
    <w:p w:rsidR="00E25CC6" w:rsidRPr="00BE538B" w:rsidRDefault="00E25CC6" w:rsidP="00731406">
      <w:pPr>
        <w:pStyle w:val="BulletText"/>
        <w:rPr>
          <w:rFonts w:eastAsiaTheme="minorHAnsi"/>
        </w:rPr>
      </w:pPr>
      <w:r w:rsidRPr="00BE538B">
        <w:rPr>
          <w:rFonts w:eastAsiaTheme="minorHAnsi"/>
        </w:rPr>
        <w:t>Regional Events Fund</w:t>
      </w:r>
      <w:r>
        <w:rPr>
          <w:rFonts w:eastAsiaTheme="minorHAnsi"/>
        </w:rPr>
        <w:t>; and</w:t>
      </w:r>
    </w:p>
    <w:p w:rsidR="00E25CC6" w:rsidRPr="0007277B" w:rsidRDefault="00E25CC6" w:rsidP="00731406">
      <w:pPr>
        <w:pStyle w:val="BulletText"/>
        <w:rPr>
          <w:rFonts w:eastAsiaTheme="minorHAnsi"/>
        </w:rPr>
      </w:pPr>
      <w:r w:rsidRPr="0007277B">
        <w:rPr>
          <w:rFonts w:eastAsiaTheme="minorHAnsi"/>
        </w:rPr>
        <w:t xml:space="preserve">Road and </w:t>
      </w:r>
      <w:r>
        <w:rPr>
          <w:rFonts w:eastAsiaTheme="minorHAnsi"/>
        </w:rPr>
        <w:t>R</w:t>
      </w:r>
      <w:r w:rsidRPr="0007277B">
        <w:rPr>
          <w:rFonts w:eastAsiaTheme="minorHAnsi"/>
        </w:rPr>
        <w:t xml:space="preserve">ail </w:t>
      </w:r>
      <w:r>
        <w:rPr>
          <w:rFonts w:eastAsiaTheme="minorHAnsi"/>
        </w:rPr>
        <w:t>M</w:t>
      </w:r>
      <w:r w:rsidRPr="0007277B">
        <w:rPr>
          <w:rFonts w:eastAsiaTheme="minorHAnsi"/>
        </w:rPr>
        <w:t xml:space="preserve">inor </w:t>
      </w:r>
      <w:r>
        <w:rPr>
          <w:rFonts w:eastAsiaTheme="minorHAnsi"/>
        </w:rPr>
        <w:t>W</w:t>
      </w:r>
      <w:r w:rsidRPr="0007277B">
        <w:rPr>
          <w:rFonts w:eastAsiaTheme="minorHAnsi"/>
        </w:rPr>
        <w:t>orks</w:t>
      </w:r>
      <w:r>
        <w:rPr>
          <w:rFonts w:eastAsiaTheme="minorHAnsi"/>
        </w:rPr>
        <w:t xml:space="preserve">. </w:t>
      </w:r>
    </w:p>
    <w:p w:rsidR="00E25CC6" w:rsidRDefault="00E25CC6" w:rsidP="00795F54">
      <w:pPr>
        <w:pStyle w:val="Heading2"/>
        <w:rPr>
          <w:rFonts w:eastAsiaTheme="minorHAnsi"/>
        </w:rPr>
      </w:pPr>
      <w:r>
        <w:rPr>
          <w:rFonts w:eastAsiaTheme="minorHAnsi"/>
        </w:rPr>
        <w:t>Department of Education and Training</w:t>
      </w:r>
    </w:p>
    <w:p w:rsidR="00E25CC6" w:rsidRDefault="00E25CC6" w:rsidP="00731406">
      <w:pPr>
        <w:rPr>
          <w:rFonts w:eastAsiaTheme="minorHAnsi"/>
          <w:szCs w:val="22"/>
        </w:rPr>
      </w:pPr>
      <w:r w:rsidRPr="00BE538B">
        <w:rPr>
          <w:rFonts w:eastAsiaTheme="minorHAnsi"/>
          <w:szCs w:val="22"/>
        </w:rPr>
        <w:t>Local governments enter into joint</w:t>
      </w:r>
      <w:r>
        <w:rPr>
          <w:rFonts w:eastAsiaTheme="minorHAnsi"/>
          <w:szCs w:val="22"/>
        </w:rPr>
        <w:noBreakHyphen/>
      </w:r>
      <w:r w:rsidRPr="00BE538B">
        <w:rPr>
          <w:rFonts w:eastAsiaTheme="minorHAnsi"/>
          <w:szCs w:val="22"/>
        </w:rPr>
        <w:t>use agreements with schools to enable broader use of the facilities by the community. In addition, many local governments plan, provide or facilitate kindergarten and child care services. The Department of Education and Trainings</w:t>
      </w:r>
      <w:r>
        <w:rPr>
          <w:rFonts w:eastAsiaTheme="minorHAnsi"/>
          <w:szCs w:val="22"/>
        </w:rPr>
        <w:t>’</w:t>
      </w:r>
      <w:r w:rsidRPr="00BE538B">
        <w:rPr>
          <w:rFonts w:eastAsiaTheme="minorHAnsi"/>
          <w:szCs w:val="22"/>
        </w:rPr>
        <w:t xml:space="preserve"> </w:t>
      </w:r>
      <w:r w:rsidRPr="00BE538B">
        <w:rPr>
          <w:rFonts w:eastAsiaTheme="minorHAnsi"/>
          <w:i/>
          <w:szCs w:val="22"/>
        </w:rPr>
        <w:t>2016</w:t>
      </w:r>
      <w:r>
        <w:rPr>
          <w:rFonts w:eastAsiaTheme="minorHAnsi"/>
          <w:i/>
          <w:szCs w:val="22"/>
        </w:rPr>
        <w:noBreakHyphen/>
      </w:r>
      <w:r w:rsidRPr="00BE538B">
        <w:rPr>
          <w:rFonts w:eastAsiaTheme="minorHAnsi"/>
          <w:i/>
          <w:szCs w:val="22"/>
        </w:rPr>
        <w:t xml:space="preserve">17 Budget </w:t>
      </w:r>
      <w:r w:rsidRPr="00BE538B">
        <w:rPr>
          <w:rFonts w:eastAsiaTheme="minorHAnsi"/>
          <w:szCs w:val="22"/>
        </w:rPr>
        <w:t>initiatives that affect local government are:</w:t>
      </w:r>
    </w:p>
    <w:p w:rsidR="00E25CC6" w:rsidRDefault="00E25CC6" w:rsidP="00A611E2">
      <w:pPr>
        <w:tabs>
          <w:tab w:val="left" w:pos="360"/>
        </w:tabs>
        <w:autoSpaceDE w:val="0"/>
        <w:autoSpaceDN w:val="0"/>
        <w:adjustRightInd w:val="0"/>
        <w:ind w:left="360" w:hanging="360"/>
        <w:rPr>
          <w:rFonts w:cs="Garamond"/>
          <w:color w:val="000000"/>
          <w:szCs w:val="22"/>
          <w:lang w:eastAsia="en-AU"/>
        </w:rPr>
      </w:pPr>
      <w:r>
        <w:rPr>
          <w:rFonts w:ascii="Symbol" w:hAnsi="Symbol" w:cs="Symbol"/>
          <w:color w:val="000000"/>
          <w:szCs w:val="22"/>
          <w:lang w:eastAsia="en-AU"/>
        </w:rPr>
        <w:t></w:t>
      </w:r>
      <w:r>
        <w:rPr>
          <w:rFonts w:ascii="Symbol" w:hAnsi="Symbol" w:cs="Symbol"/>
          <w:color w:val="000000"/>
          <w:szCs w:val="22"/>
          <w:lang w:eastAsia="en-AU"/>
        </w:rPr>
        <w:tab/>
      </w:r>
      <w:r>
        <w:rPr>
          <w:rFonts w:cs="Garamond"/>
          <w:color w:val="000000"/>
          <w:szCs w:val="22"/>
          <w:lang w:eastAsia="en-AU"/>
        </w:rPr>
        <w:t>Maintaining the essential Maternal and Child Health Service;</w:t>
      </w:r>
    </w:p>
    <w:p w:rsidR="00E25CC6" w:rsidRDefault="00E25CC6" w:rsidP="00A611E2">
      <w:pPr>
        <w:tabs>
          <w:tab w:val="left" w:pos="360"/>
        </w:tabs>
        <w:autoSpaceDE w:val="0"/>
        <w:autoSpaceDN w:val="0"/>
        <w:adjustRightInd w:val="0"/>
        <w:ind w:left="360" w:hanging="360"/>
        <w:rPr>
          <w:rFonts w:cs="Garamond"/>
          <w:color w:val="000000"/>
          <w:szCs w:val="22"/>
          <w:lang w:eastAsia="en-AU"/>
        </w:rPr>
      </w:pPr>
      <w:r>
        <w:rPr>
          <w:rFonts w:ascii="Symbol" w:hAnsi="Symbol" w:cs="Symbol"/>
          <w:color w:val="000000"/>
          <w:szCs w:val="22"/>
          <w:lang w:eastAsia="en-AU"/>
        </w:rPr>
        <w:t></w:t>
      </w:r>
      <w:r>
        <w:rPr>
          <w:rFonts w:ascii="Symbol" w:hAnsi="Symbol" w:cs="Symbol"/>
          <w:color w:val="000000"/>
          <w:szCs w:val="22"/>
          <w:lang w:eastAsia="en-AU"/>
        </w:rPr>
        <w:tab/>
      </w:r>
      <w:r>
        <w:rPr>
          <w:rFonts w:cs="Garamond"/>
          <w:color w:val="000000"/>
          <w:szCs w:val="22"/>
          <w:lang w:eastAsia="en-AU"/>
        </w:rPr>
        <w:t>Maintain financial viability of small rural kinders;</w:t>
      </w:r>
    </w:p>
    <w:p w:rsidR="00E25CC6" w:rsidRDefault="00E25CC6" w:rsidP="00A611E2">
      <w:pPr>
        <w:tabs>
          <w:tab w:val="left" w:pos="360"/>
        </w:tabs>
        <w:autoSpaceDE w:val="0"/>
        <w:autoSpaceDN w:val="0"/>
        <w:adjustRightInd w:val="0"/>
        <w:ind w:left="360" w:hanging="360"/>
        <w:rPr>
          <w:rFonts w:cs="Garamond"/>
          <w:color w:val="000000"/>
          <w:szCs w:val="22"/>
          <w:lang w:eastAsia="en-AU"/>
        </w:rPr>
      </w:pPr>
      <w:r>
        <w:rPr>
          <w:rFonts w:ascii="Symbol" w:hAnsi="Symbol" w:cs="Symbol"/>
          <w:color w:val="000000"/>
          <w:szCs w:val="22"/>
          <w:lang w:eastAsia="en-AU"/>
        </w:rPr>
        <w:t></w:t>
      </w:r>
      <w:r>
        <w:rPr>
          <w:rFonts w:ascii="Symbol" w:hAnsi="Symbol" w:cs="Symbol"/>
          <w:color w:val="000000"/>
          <w:szCs w:val="22"/>
          <w:lang w:eastAsia="en-AU"/>
        </w:rPr>
        <w:tab/>
      </w:r>
      <w:r>
        <w:rPr>
          <w:rFonts w:cs="Garamond"/>
          <w:color w:val="000000"/>
          <w:szCs w:val="22"/>
          <w:lang w:eastAsia="en-AU"/>
        </w:rPr>
        <w:t>New kindergartens in growth suburbs; and</w:t>
      </w:r>
    </w:p>
    <w:p w:rsidR="00E25CC6" w:rsidRDefault="00E25CC6" w:rsidP="00A611E2">
      <w:pPr>
        <w:tabs>
          <w:tab w:val="left" w:pos="360"/>
        </w:tabs>
        <w:autoSpaceDE w:val="0"/>
        <w:autoSpaceDN w:val="0"/>
        <w:adjustRightInd w:val="0"/>
        <w:ind w:left="360" w:hanging="360"/>
        <w:rPr>
          <w:rFonts w:cs="Garamond"/>
          <w:color w:val="000000"/>
          <w:szCs w:val="22"/>
          <w:lang w:eastAsia="en-AU"/>
        </w:rPr>
      </w:pPr>
      <w:r>
        <w:rPr>
          <w:rFonts w:ascii="Symbol" w:hAnsi="Symbol" w:cs="Symbol"/>
          <w:color w:val="000000"/>
          <w:szCs w:val="22"/>
          <w:lang w:eastAsia="en-AU"/>
        </w:rPr>
        <w:t></w:t>
      </w:r>
      <w:r>
        <w:rPr>
          <w:rFonts w:ascii="Symbol" w:hAnsi="Symbol" w:cs="Symbol"/>
          <w:color w:val="000000"/>
          <w:szCs w:val="22"/>
          <w:lang w:eastAsia="en-AU"/>
        </w:rPr>
        <w:tab/>
      </w:r>
      <w:r>
        <w:rPr>
          <w:rFonts w:cs="Garamond"/>
          <w:color w:val="000000"/>
          <w:szCs w:val="22"/>
          <w:lang w:eastAsia="en-AU"/>
        </w:rPr>
        <w:t>National Occasional Care Programme.</w:t>
      </w:r>
    </w:p>
    <w:p w:rsidR="00E25CC6" w:rsidRDefault="00E25CC6" w:rsidP="00795F54">
      <w:pPr>
        <w:pStyle w:val="Heading2"/>
        <w:rPr>
          <w:rFonts w:eastAsiaTheme="minorHAnsi"/>
        </w:rPr>
      </w:pPr>
      <w:r>
        <w:rPr>
          <w:rFonts w:eastAsiaTheme="minorHAnsi"/>
        </w:rPr>
        <w:t>Department of Environment, Land, Water and Planning</w:t>
      </w:r>
    </w:p>
    <w:p w:rsidR="00E25CC6" w:rsidRDefault="00E25CC6" w:rsidP="00731406">
      <w:pPr>
        <w:rPr>
          <w:rFonts w:eastAsiaTheme="minorHAnsi"/>
          <w:szCs w:val="22"/>
        </w:rPr>
      </w:pPr>
      <w:r w:rsidRPr="00BE538B">
        <w:rPr>
          <w:rFonts w:eastAsiaTheme="minorHAnsi"/>
          <w:szCs w:val="22"/>
        </w:rPr>
        <w:t>The Department of Environment, Land, Water and Planning works in close partnership with the local government sector to deliver programs across Victoria and to ensure Victorians enjoy responsive and accountable local government services. The Department provides financial and in</w:t>
      </w:r>
      <w:r>
        <w:rPr>
          <w:rFonts w:eastAsiaTheme="minorHAnsi"/>
          <w:szCs w:val="22"/>
        </w:rPr>
        <w:noBreakHyphen/>
      </w:r>
      <w:r w:rsidRPr="00BE538B">
        <w:rPr>
          <w:rFonts w:eastAsiaTheme="minorHAnsi"/>
          <w:szCs w:val="22"/>
        </w:rPr>
        <w:t xml:space="preserve">kind support to local governments including grants for libraries, community assets and support for emergency response. In addition, the Department delivers programs and provides policy direction to support local governments to mitigate risks and adapt to changing climate, including providing regulatory frameworks around planning and environmentally sensitive urban design. </w:t>
      </w:r>
    </w:p>
    <w:p w:rsidR="00E25CC6" w:rsidRPr="00BE538B" w:rsidRDefault="00E25CC6" w:rsidP="00731406">
      <w:pPr>
        <w:rPr>
          <w:rFonts w:eastAsiaTheme="minorHAnsi"/>
          <w:szCs w:val="22"/>
        </w:rPr>
      </w:pPr>
      <w:r w:rsidRPr="00BE538B">
        <w:rPr>
          <w:rFonts w:eastAsiaTheme="minorHAnsi"/>
          <w:szCs w:val="22"/>
        </w:rPr>
        <w:t>The Department of Environment, Land, Water and Planning</w:t>
      </w:r>
      <w:r>
        <w:rPr>
          <w:rFonts w:eastAsiaTheme="minorHAnsi"/>
          <w:szCs w:val="22"/>
        </w:rPr>
        <w:t>’</w:t>
      </w:r>
      <w:r w:rsidRPr="00BE538B">
        <w:rPr>
          <w:rFonts w:eastAsiaTheme="minorHAnsi"/>
          <w:szCs w:val="22"/>
        </w:rPr>
        <w:t xml:space="preserve">s </w:t>
      </w:r>
      <w:r w:rsidRPr="00BE538B">
        <w:rPr>
          <w:rFonts w:eastAsiaTheme="minorHAnsi"/>
          <w:i/>
          <w:szCs w:val="22"/>
        </w:rPr>
        <w:t>2016</w:t>
      </w:r>
      <w:r>
        <w:rPr>
          <w:rFonts w:eastAsiaTheme="minorHAnsi"/>
          <w:i/>
          <w:szCs w:val="22"/>
        </w:rPr>
        <w:noBreakHyphen/>
      </w:r>
      <w:r w:rsidRPr="00BE538B">
        <w:rPr>
          <w:rFonts w:eastAsiaTheme="minorHAnsi"/>
          <w:i/>
          <w:szCs w:val="22"/>
        </w:rPr>
        <w:t xml:space="preserve">17 Budget </w:t>
      </w:r>
      <w:r w:rsidRPr="00BE538B">
        <w:rPr>
          <w:rFonts w:eastAsiaTheme="minorHAnsi"/>
          <w:szCs w:val="22"/>
        </w:rPr>
        <w:t>initiatives that affect local government are:</w:t>
      </w:r>
    </w:p>
    <w:p w:rsidR="00E25CC6" w:rsidRPr="009E58B5" w:rsidRDefault="00E25CC6" w:rsidP="009E58B5">
      <w:pPr>
        <w:pStyle w:val="BulletText"/>
        <w:rPr>
          <w:rFonts w:eastAsiaTheme="minorHAnsi"/>
        </w:rPr>
      </w:pPr>
      <w:r w:rsidRPr="009E58B5">
        <w:rPr>
          <w:rFonts w:eastAsiaTheme="minorHAnsi"/>
        </w:rPr>
        <w:t>Flood and emergency risk resilience;</w:t>
      </w:r>
    </w:p>
    <w:p w:rsidR="00E25CC6" w:rsidRPr="009E58B5" w:rsidRDefault="00E25CC6" w:rsidP="00731406">
      <w:pPr>
        <w:pStyle w:val="BulletText"/>
        <w:rPr>
          <w:rFonts w:eastAsiaTheme="minorHAnsi"/>
        </w:rPr>
      </w:pPr>
      <w:r>
        <w:rPr>
          <w:rFonts w:eastAsiaTheme="minorHAnsi"/>
        </w:rPr>
        <w:t>Partnering with local government to address weeds and pests;</w:t>
      </w:r>
    </w:p>
    <w:p w:rsidR="00E25CC6" w:rsidRPr="009E58B5" w:rsidRDefault="00E25CC6" w:rsidP="00731406">
      <w:pPr>
        <w:pStyle w:val="BulletText"/>
        <w:rPr>
          <w:rFonts w:eastAsiaTheme="minorHAnsi"/>
        </w:rPr>
      </w:pPr>
      <w:r w:rsidRPr="009E58B5">
        <w:rPr>
          <w:rFonts w:eastAsiaTheme="minorHAnsi"/>
        </w:rPr>
        <w:t>Interface Growth Fund;</w:t>
      </w:r>
    </w:p>
    <w:p w:rsidR="00E25CC6" w:rsidRPr="009E58B5" w:rsidRDefault="00E25CC6" w:rsidP="00731406">
      <w:pPr>
        <w:pStyle w:val="BulletText"/>
        <w:rPr>
          <w:rFonts w:eastAsiaTheme="minorHAnsi"/>
        </w:rPr>
      </w:pPr>
      <w:r>
        <w:rPr>
          <w:rFonts w:eastAsiaTheme="minorHAnsi"/>
        </w:rPr>
        <w:t>Supporting Victoria’s public libraries</w:t>
      </w:r>
      <w:r w:rsidRPr="009E58B5">
        <w:rPr>
          <w:rFonts w:eastAsiaTheme="minorHAnsi"/>
        </w:rPr>
        <w:t>;</w:t>
      </w:r>
    </w:p>
    <w:p w:rsidR="00E25CC6" w:rsidRPr="009E58B5" w:rsidRDefault="00E25CC6" w:rsidP="00731406">
      <w:pPr>
        <w:pStyle w:val="BulletText"/>
        <w:rPr>
          <w:rFonts w:eastAsiaTheme="minorHAnsi"/>
        </w:rPr>
      </w:pPr>
      <w:r w:rsidRPr="009E58B5">
        <w:rPr>
          <w:rFonts w:eastAsiaTheme="minorHAnsi"/>
        </w:rPr>
        <w:t>Local Government Support Team;</w:t>
      </w:r>
    </w:p>
    <w:p w:rsidR="00E25CC6" w:rsidRPr="009E58B5" w:rsidRDefault="00E25CC6" w:rsidP="00E43773">
      <w:pPr>
        <w:pStyle w:val="BulletText"/>
        <w:rPr>
          <w:rFonts w:eastAsiaTheme="minorHAnsi"/>
        </w:rPr>
      </w:pPr>
      <w:r w:rsidRPr="009E58B5">
        <w:rPr>
          <w:rFonts w:eastAsiaTheme="minorHAnsi"/>
        </w:rPr>
        <w:t>Science, Innovation and Excellence – Monitoring coastal flooding, erosion and land</w:t>
      </w:r>
      <w:r>
        <w:rPr>
          <w:rFonts w:eastAsiaTheme="minorHAnsi"/>
        </w:rPr>
        <w:t> </w:t>
      </w:r>
      <w:r w:rsidRPr="009E58B5">
        <w:rPr>
          <w:rFonts w:eastAsiaTheme="minorHAnsi"/>
        </w:rPr>
        <w:t>stability;</w:t>
      </w:r>
    </w:p>
    <w:p w:rsidR="00E25CC6" w:rsidRDefault="00E25CC6" w:rsidP="00731406">
      <w:pPr>
        <w:pStyle w:val="BulletText"/>
        <w:rPr>
          <w:rFonts w:eastAsiaTheme="minorHAnsi"/>
        </w:rPr>
      </w:pPr>
      <w:r w:rsidRPr="009E58B5">
        <w:rPr>
          <w:rFonts w:eastAsiaTheme="minorHAnsi"/>
        </w:rPr>
        <w:t>Planning support for councils</w:t>
      </w:r>
      <w:r>
        <w:rPr>
          <w:rFonts w:eastAsiaTheme="minorHAnsi"/>
        </w:rPr>
        <w:t xml:space="preserve"> (</w:t>
      </w:r>
      <w:r w:rsidRPr="009411BC">
        <w:rPr>
          <w:rFonts w:eastAsiaTheme="minorHAnsi"/>
        </w:rPr>
        <w:t xml:space="preserve">whole </w:t>
      </w:r>
      <w:r>
        <w:rPr>
          <w:rFonts w:eastAsiaTheme="minorHAnsi"/>
        </w:rPr>
        <w:t>of government – Jobs);</w:t>
      </w:r>
    </w:p>
    <w:p w:rsidR="00E25CC6" w:rsidRPr="009E58B5" w:rsidRDefault="00E25CC6" w:rsidP="00EA72E5">
      <w:pPr>
        <w:pStyle w:val="BulletText"/>
        <w:rPr>
          <w:rFonts w:eastAsiaTheme="minorHAnsi"/>
        </w:rPr>
      </w:pPr>
      <w:r w:rsidRPr="00EA72E5">
        <w:rPr>
          <w:rFonts w:eastAsiaTheme="minorHAnsi"/>
        </w:rPr>
        <w:t>Port Phillip Bay Fund</w:t>
      </w:r>
      <w:r>
        <w:rPr>
          <w:rFonts w:eastAsiaTheme="minorHAnsi"/>
        </w:rPr>
        <w:t>;</w:t>
      </w:r>
    </w:p>
    <w:p w:rsidR="00E25CC6" w:rsidRDefault="00E25CC6" w:rsidP="00731406">
      <w:pPr>
        <w:pStyle w:val="BulletText"/>
        <w:rPr>
          <w:rFonts w:eastAsiaTheme="minorHAnsi"/>
        </w:rPr>
      </w:pPr>
      <w:r w:rsidRPr="009E58B5">
        <w:rPr>
          <w:rFonts w:eastAsiaTheme="minorHAnsi"/>
        </w:rPr>
        <w:t>Smart Planning Program</w:t>
      </w:r>
      <w:r>
        <w:rPr>
          <w:rFonts w:eastAsiaTheme="minorHAnsi"/>
        </w:rPr>
        <w:t xml:space="preserve"> (</w:t>
      </w:r>
      <w:r w:rsidRPr="009411BC">
        <w:rPr>
          <w:rFonts w:eastAsiaTheme="minorHAnsi"/>
        </w:rPr>
        <w:t xml:space="preserve">whole </w:t>
      </w:r>
      <w:r>
        <w:rPr>
          <w:rFonts w:eastAsiaTheme="minorHAnsi"/>
        </w:rPr>
        <w:t>o</w:t>
      </w:r>
      <w:r w:rsidRPr="009411BC">
        <w:rPr>
          <w:rFonts w:eastAsiaTheme="minorHAnsi"/>
        </w:rPr>
        <w:t>f government – Jobs</w:t>
      </w:r>
      <w:r>
        <w:rPr>
          <w:rFonts w:eastAsiaTheme="minorHAnsi"/>
        </w:rPr>
        <w:t>); and</w:t>
      </w:r>
    </w:p>
    <w:p w:rsidR="00E25CC6" w:rsidRPr="009E58B5" w:rsidRDefault="00E25CC6" w:rsidP="00731406">
      <w:pPr>
        <w:pStyle w:val="BulletText"/>
        <w:rPr>
          <w:rFonts w:eastAsiaTheme="minorHAnsi"/>
        </w:rPr>
      </w:pPr>
      <w:r>
        <w:rPr>
          <w:rFonts w:eastAsiaTheme="minorHAnsi"/>
        </w:rPr>
        <w:t>Supporting Colac and the Otways</w:t>
      </w:r>
      <w:r w:rsidRPr="009E58B5">
        <w:rPr>
          <w:rFonts w:eastAsiaTheme="minorHAnsi"/>
        </w:rPr>
        <w:t>.</w:t>
      </w:r>
    </w:p>
    <w:p w:rsidR="00E25CC6" w:rsidRDefault="00E25CC6" w:rsidP="00731406">
      <w:pPr>
        <w:pStyle w:val="Heading2"/>
        <w:rPr>
          <w:rFonts w:eastAsiaTheme="minorHAnsi"/>
        </w:rPr>
      </w:pPr>
      <w:r>
        <w:rPr>
          <w:rFonts w:eastAsiaTheme="minorHAnsi"/>
        </w:rPr>
        <w:t>Department of Health and Human Services</w:t>
      </w:r>
    </w:p>
    <w:p w:rsidR="00E25CC6" w:rsidRDefault="00E25CC6" w:rsidP="00731406">
      <w:pPr>
        <w:rPr>
          <w:rFonts w:eastAsiaTheme="minorHAnsi"/>
          <w:szCs w:val="22"/>
        </w:rPr>
      </w:pPr>
      <w:r w:rsidRPr="00384B5C">
        <w:rPr>
          <w:rFonts w:eastAsiaTheme="minorHAnsi"/>
          <w:szCs w:val="22"/>
        </w:rPr>
        <w:t>The Department of Health and Human Services partners with community providers and local governments across a range of areas. This includes working with local governments to deliver recreational, support and other health services for vulnerable Victorians (including children, older persons, recent arrivals and members of C</w:t>
      </w:r>
      <w:r>
        <w:rPr>
          <w:rFonts w:eastAsiaTheme="minorHAnsi"/>
          <w:szCs w:val="22"/>
        </w:rPr>
        <w:t xml:space="preserve">ulturally and </w:t>
      </w:r>
      <w:r w:rsidRPr="00384B5C">
        <w:rPr>
          <w:rFonts w:eastAsiaTheme="minorHAnsi"/>
          <w:szCs w:val="22"/>
        </w:rPr>
        <w:t>L</w:t>
      </w:r>
      <w:r>
        <w:rPr>
          <w:rFonts w:eastAsiaTheme="minorHAnsi"/>
          <w:szCs w:val="22"/>
        </w:rPr>
        <w:t xml:space="preserve">inguistically </w:t>
      </w:r>
      <w:r w:rsidRPr="00384B5C">
        <w:rPr>
          <w:rFonts w:eastAsiaTheme="minorHAnsi"/>
          <w:szCs w:val="22"/>
        </w:rPr>
        <w:t>D</w:t>
      </w:r>
      <w:r>
        <w:rPr>
          <w:rFonts w:eastAsiaTheme="minorHAnsi"/>
          <w:szCs w:val="22"/>
        </w:rPr>
        <w:t xml:space="preserve">iverse </w:t>
      </w:r>
      <w:r w:rsidRPr="00384B5C">
        <w:rPr>
          <w:rFonts w:eastAsiaTheme="minorHAnsi"/>
          <w:szCs w:val="22"/>
        </w:rPr>
        <w:t>communities) as well as grants for sporting events and community assets.</w:t>
      </w:r>
      <w:r>
        <w:rPr>
          <w:rFonts w:eastAsiaTheme="minorHAnsi"/>
          <w:szCs w:val="22"/>
        </w:rPr>
        <w:t xml:space="preserve"> </w:t>
      </w:r>
    </w:p>
    <w:p w:rsidR="00E25CC6" w:rsidRPr="00BE538B" w:rsidRDefault="00E25CC6" w:rsidP="00731406">
      <w:pPr>
        <w:rPr>
          <w:rFonts w:eastAsiaTheme="minorHAnsi"/>
          <w:szCs w:val="22"/>
        </w:rPr>
      </w:pPr>
      <w:r w:rsidRPr="00BE538B">
        <w:rPr>
          <w:rFonts w:eastAsiaTheme="minorHAnsi"/>
          <w:szCs w:val="22"/>
        </w:rPr>
        <w:t>The Department of Health and Human Services</w:t>
      </w:r>
      <w:r>
        <w:rPr>
          <w:rFonts w:eastAsiaTheme="minorHAnsi"/>
          <w:szCs w:val="22"/>
        </w:rPr>
        <w:t>’</w:t>
      </w:r>
      <w:r w:rsidRPr="00BE538B">
        <w:rPr>
          <w:rFonts w:eastAsiaTheme="minorHAnsi"/>
          <w:szCs w:val="22"/>
        </w:rPr>
        <w:t xml:space="preserve"> </w:t>
      </w:r>
      <w:r w:rsidRPr="00BE538B">
        <w:rPr>
          <w:rFonts w:eastAsiaTheme="minorHAnsi"/>
          <w:i/>
          <w:szCs w:val="22"/>
        </w:rPr>
        <w:t>2016</w:t>
      </w:r>
      <w:r>
        <w:rPr>
          <w:rFonts w:eastAsiaTheme="minorHAnsi"/>
          <w:i/>
          <w:szCs w:val="22"/>
        </w:rPr>
        <w:noBreakHyphen/>
      </w:r>
      <w:r w:rsidRPr="00BE538B">
        <w:rPr>
          <w:rFonts w:eastAsiaTheme="minorHAnsi"/>
          <w:i/>
          <w:szCs w:val="22"/>
        </w:rPr>
        <w:t xml:space="preserve">17 Budget </w:t>
      </w:r>
      <w:r w:rsidRPr="00BE538B">
        <w:rPr>
          <w:rFonts w:eastAsiaTheme="minorHAnsi"/>
          <w:szCs w:val="22"/>
        </w:rPr>
        <w:t xml:space="preserve">initiatives </w:t>
      </w:r>
      <w:r>
        <w:rPr>
          <w:rFonts w:eastAsiaTheme="minorHAnsi"/>
          <w:szCs w:val="22"/>
        </w:rPr>
        <w:t>include:</w:t>
      </w:r>
    </w:p>
    <w:p w:rsidR="00E25CC6" w:rsidRPr="00384B5C" w:rsidRDefault="00E25CC6" w:rsidP="00731406">
      <w:pPr>
        <w:pStyle w:val="BulletText"/>
        <w:rPr>
          <w:rFonts w:eastAsiaTheme="minorHAnsi"/>
        </w:rPr>
      </w:pPr>
      <w:r w:rsidRPr="00384B5C">
        <w:rPr>
          <w:rFonts w:eastAsiaTheme="minorHAnsi"/>
        </w:rPr>
        <w:t xml:space="preserve">Community Sports and Events; </w:t>
      </w:r>
    </w:p>
    <w:p w:rsidR="00E25CC6" w:rsidRPr="00384B5C" w:rsidRDefault="00E25CC6" w:rsidP="00731406">
      <w:pPr>
        <w:pStyle w:val="BulletText"/>
        <w:rPr>
          <w:rFonts w:eastAsiaTheme="minorHAnsi"/>
        </w:rPr>
      </w:pPr>
      <w:r w:rsidRPr="00384B5C">
        <w:rPr>
          <w:rFonts w:eastAsiaTheme="minorHAnsi"/>
        </w:rPr>
        <w:t>Healthy and Strong Latrobe;</w:t>
      </w:r>
    </w:p>
    <w:p w:rsidR="00E25CC6" w:rsidRPr="00384B5C" w:rsidRDefault="00E25CC6" w:rsidP="00731406">
      <w:pPr>
        <w:pStyle w:val="BulletText"/>
        <w:rPr>
          <w:rFonts w:eastAsiaTheme="minorHAnsi"/>
        </w:rPr>
      </w:pPr>
      <w:r w:rsidRPr="00384B5C">
        <w:rPr>
          <w:rFonts w:eastAsiaTheme="minorHAnsi"/>
        </w:rPr>
        <w:t xml:space="preserve">Home and Community Care </w:t>
      </w:r>
      <w:r>
        <w:rPr>
          <w:rFonts w:eastAsiaTheme="minorHAnsi"/>
        </w:rPr>
        <w:t>services</w:t>
      </w:r>
      <w:r w:rsidRPr="00384B5C">
        <w:rPr>
          <w:rFonts w:eastAsiaTheme="minorHAnsi"/>
        </w:rPr>
        <w:t xml:space="preserve"> indexation; and</w:t>
      </w:r>
    </w:p>
    <w:p w:rsidR="00E25CC6" w:rsidRPr="004D60D3" w:rsidRDefault="00E25CC6" w:rsidP="00731406">
      <w:pPr>
        <w:pStyle w:val="BulletText"/>
        <w:rPr>
          <w:rFonts w:eastAsiaTheme="minorHAnsi"/>
        </w:rPr>
      </w:pPr>
      <w:r w:rsidRPr="00384B5C">
        <w:rPr>
          <w:rFonts w:eastAsiaTheme="minorHAnsi"/>
        </w:rPr>
        <w:t>Increased refugee and asylum seeker arrivals.</w:t>
      </w:r>
    </w:p>
    <w:p w:rsidR="00E25CC6" w:rsidRDefault="00E25CC6">
      <w:pPr>
        <w:spacing w:after="0"/>
        <w:rPr>
          <w:rFonts w:eastAsiaTheme="minorHAnsi"/>
        </w:rPr>
      </w:pPr>
      <w:r>
        <w:rPr>
          <w:rFonts w:eastAsiaTheme="minorHAnsi"/>
        </w:rPr>
        <w:br w:type="page"/>
      </w:r>
    </w:p>
    <w:p w:rsidR="00E25CC6" w:rsidRDefault="00E25CC6" w:rsidP="00165BBE">
      <w:pPr>
        <w:rPr>
          <w:rFonts w:eastAsiaTheme="minorHAnsi"/>
        </w:rPr>
      </w:pPr>
    </w:p>
    <w:p w:rsidR="00E25CC6" w:rsidRDefault="00E25CC6" w:rsidP="00243370">
      <w:pPr>
        <w:rPr>
          <w:rFonts w:eastAsiaTheme="minorHAnsi"/>
        </w:rPr>
        <w:sectPr w:rsidR="00E25CC6" w:rsidSect="00E25CC6">
          <w:footerReference w:type="even" r:id="rId49"/>
          <w:footerReference w:type="default" r:id="rId50"/>
          <w:type w:val="oddPage"/>
          <w:pgSz w:w="9979" w:h="14175" w:code="34"/>
          <w:pgMar w:top="1140" w:right="1140" w:bottom="1140" w:left="1140" w:header="720" w:footer="431" w:gutter="0"/>
          <w:cols w:space="708"/>
          <w:docGrid w:linePitch="360"/>
        </w:sectPr>
      </w:pPr>
    </w:p>
    <w:p w:rsidR="00E25CC6" w:rsidRDefault="00E25CC6" w:rsidP="00062624">
      <w:pPr>
        <w:pStyle w:val="ChapterHeading"/>
      </w:pPr>
      <w:bookmarkStart w:id="125" w:name="_Toc449109460"/>
      <w:r>
        <w:rPr>
          <w:rFonts w:eastAsiaTheme="minorHAnsi"/>
        </w:rPr>
        <w:t>Style conventions</w:t>
      </w:r>
      <w:bookmarkEnd w:id="125"/>
    </w:p>
    <w:p w:rsidR="00E25CC6" w:rsidRPr="0009665B" w:rsidRDefault="00E25CC6" w:rsidP="0057257E">
      <w:r w:rsidRPr="0009665B">
        <w:t>Figures in the tables and in the text have been rounded. Discrepancies in tables between totals and sums of components reflect rounding. Percentage changes in all tables are based on the underlying unrounded amounts.</w:t>
      </w:r>
    </w:p>
    <w:p w:rsidR="00E25CC6" w:rsidRPr="0009665B" w:rsidRDefault="00E25CC6" w:rsidP="0057257E">
      <w:r w:rsidRPr="0009665B">
        <w:t>The notation used in the tables and charts is as follows:</w:t>
      </w:r>
    </w:p>
    <w:p w:rsidR="00E25CC6" w:rsidRPr="0009665B" w:rsidRDefault="00E25CC6" w:rsidP="0057257E">
      <w:pPr>
        <w:ind w:left="2520" w:hanging="1800"/>
      </w:pPr>
      <w:r w:rsidRPr="0009665B">
        <w:t>n.a. or na</w:t>
      </w:r>
      <w:r w:rsidRPr="0009665B">
        <w:tab/>
        <w:t>not available or not applicable</w:t>
      </w:r>
    </w:p>
    <w:p w:rsidR="00E25CC6" w:rsidRPr="0009665B" w:rsidRDefault="00E25CC6" w:rsidP="0057257E">
      <w:pPr>
        <w:ind w:left="2520" w:hanging="1800"/>
      </w:pPr>
      <w:r w:rsidRPr="0009665B">
        <w:t>1</w:t>
      </w:r>
      <w:r>
        <w:t> billion</w:t>
      </w:r>
      <w:r w:rsidRPr="0009665B">
        <w:tab/>
        <w:t>1 000</w:t>
      </w:r>
      <w:r>
        <w:t> million</w:t>
      </w:r>
    </w:p>
    <w:p w:rsidR="00E25CC6" w:rsidRPr="0009665B" w:rsidRDefault="00E25CC6" w:rsidP="0057257E">
      <w:pPr>
        <w:ind w:left="2520" w:hanging="1800"/>
      </w:pPr>
      <w:r w:rsidRPr="0009665B">
        <w:t>1 basis point</w:t>
      </w:r>
      <w:r w:rsidRPr="0009665B">
        <w:tab/>
        <w:t>0.01</w:t>
      </w:r>
      <w:r>
        <w:t> per cent</w:t>
      </w:r>
    </w:p>
    <w:p w:rsidR="00E25CC6" w:rsidRPr="0009665B" w:rsidRDefault="00E25CC6" w:rsidP="0057257E">
      <w:pPr>
        <w:ind w:left="2520" w:hanging="1800"/>
      </w:pPr>
      <w:r w:rsidRPr="0009665B">
        <w:t>nm</w:t>
      </w:r>
      <w:r w:rsidRPr="0009665B">
        <w:tab/>
        <w:t>new measure</w:t>
      </w:r>
    </w:p>
    <w:p w:rsidR="00E25CC6" w:rsidRPr="0009665B" w:rsidRDefault="00E25CC6" w:rsidP="0057257E">
      <w:pPr>
        <w:ind w:left="2520" w:hanging="1800"/>
      </w:pPr>
      <w:r w:rsidRPr="0009665B">
        <w:t>..</w:t>
      </w:r>
      <w:r w:rsidRPr="0009665B">
        <w:tab/>
        <w:t>zero, or rounded to zero</w:t>
      </w:r>
    </w:p>
    <w:p w:rsidR="00E25CC6" w:rsidRPr="0009665B" w:rsidRDefault="00E25CC6" w:rsidP="0057257E">
      <w:pPr>
        <w:ind w:left="2520" w:hanging="1800"/>
      </w:pPr>
      <w:r w:rsidRPr="0009665B">
        <w:t>tba</w:t>
      </w:r>
      <w:r w:rsidRPr="0009665B">
        <w:tab/>
        <w:t>to be advised</w:t>
      </w:r>
    </w:p>
    <w:p w:rsidR="00E25CC6" w:rsidRPr="0009665B" w:rsidRDefault="00E25CC6" w:rsidP="0057257E">
      <w:pPr>
        <w:ind w:left="2520" w:hanging="1800"/>
      </w:pPr>
      <w:r w:rsidRPr="0009665B">
        <w:t>tbd</w:t>
      </w:r>
      <w:r w:rsidRPr="0009665B">
        <w:tab/>
        <w:t>to be determined</w:t>
      </w:r>
    </w:p>
    <w:p w:rsidR="00E25CC6" w:rsidRPr="0009665B" w:rsidRDefault="00E25CC6" w:rsidP="0057257E">
      <w:pPr>
        <w:ind w:left="2520" w:hanging="1800"/>
      </w:pPr>
      <w:r w:rsidRPr="0009665B">
        <w:t>ongoing</w:t>
      </w:r>
      <w:r w:rsidRPr="0009665B">
        <w:tab/>
        <w:t>continuing output, program, project etc.</w:t>
      </w:r>
    </w:p>
    <w:p w:rsidR="00E25CC6" w:rsidRPr="0009665B" w:rsidRDefault="00E25CC6" w:rsidP="0057257E">
      <w:pPr>
        <w:ind w:left="2520" w:hanging="1800"/>
      </w:pPr>
      <w:r w:rsidRPr="0009665B">
        <w:t>(xxx.x)</w:t>
      </w:r>
      <w:r w:rsidRPr="0009665B">
        <w:tab/>
        <w:t>negative numbers</w:t>
      </w:r>
    </w:p>
    <w:p w:rsidR="00E25CC6" w:rsidRDefault="00E25CC6" w:rsidP="00F7443D">
      <w:pPr>
        <w:rPr>
          <w:rFonts w:eastAsiaTheme="minorHAnsi"/>
        </w:rPr>
      </w:pPr>
    </w:p>
    <w:p w:rsidR="00E25CC6" w:rsidRDefault="00E25CC6" w:rsidP="00746622">
      <w:pPr>
        <w:rPr>
          <w:rFonts w:eastAsiaTheme="minorHAnsi"/>
        </w:rPr>
      </w:pPr>
    </w:p>
    <w:p w:rsidR="00E25CC6" w:rsidRPr="00C47FE8" w:rsidRDefault="00E25CC6" w:rsidP="008F6428">
      <w:pPr>
        <w:rPr>
          <w:rFonts w:eastAsiaTheme="minorHAnsi"/>
          <w:color w:val="000000" w:themeColor="text1"/>
        </w:rPr>
      </w:pPr>
      <w:r w:rsidRPr="00C47FE8">
        <w:rPr>
          <w:rFonts w:eastAsiaTheme="minorHAnsi"/>
          <w:color w:val="000000" w:themeColor="text1"/>
        </w:rPr>
        <w:t xml:space="preserve">Please refer to the </w:t>
      </w:r>
      <w:r w:rsidRPr="00C47FE8">
        <w:rPr>
          <w:rFonts w:eastAsiaTheme="minorHAnsi"/>
          <w:b/>
          <w:color w:val="000000" w:themeColor="text1"/>
        </w:rPr>
        <w:t xml:space="preserve">Treasury and Finance glossary for budget and financial reports </w:t>
      </w:r>
      <w:r w:rsidRPr="00C47FE8">
        <w:rPr>
          <w:rFonts w:eastAsiaTheme="minorHAnsi"/>
          <w:b/>
          <w:color w:val="000000" w:themeColor="text1"/>
        </w:rPr>
        <w:br/>
      </w:r>
      <w:r w:rsidRPr="00C47FE8">
        <w:rPr>
          <w:rFonts w:eastAsiaTheme="minorHAnsi"/>
          <w:color w:val="000000" w:themeColor="text1"/>
        </w:rPr>
        <w:t xml:space="preserve">at </w:t>
      </w:r>
      <w:hyperlink r:id="rId51" w:history="1">
        <w:r w:rsidRPr="00010EC5">
          <w:rPr>
            <w:rStyle w:val="Hyperlink"/>
            <w:rFonts w:eastAsiaTheme="minorHAnsi"/>
            <w:color w:val="000000" w:themeColor="text1"/>
            <w:u w:val="none"/>
          </w:rPr>
          <w:t>dtf.vic.gov.au</w:t>
        </w:r>
      </w:hyperlink>
      <w:r w:rsidRPr="00C47FE8">
        <w:rPr>
          <w:rFonts w:eastAsiaTheme="minorHAnsi"/>
          <w:color w:val="000000" w:themeColor="text1"/>
        </w:rPr>
        <w:t xml:space="preserve"> for additional terms and references.</w:t>
      </w:r>
    </w:p>
    <w:p w:rsidR="00E25CC6" w:rsidRDefault="00E25CC6">
      <w:pPr>
        <w:spacing w:after="0"/>
        <w:rPr>
          <w:rFonts w:eastAsiaTheme="minorHAnsi"/>
        </w:rPr>
      </w:pPr>
      <w:r>
        <w:rPr>
          <w:rFonts w:eastAsiaTheme="minorHAnsi"/>
        </w:rPr>
        <w:br w:type="page"/>
      </w:r>
    </w:p>
    <w:p w:rsidR="00E25CC6" w:rsidRDefault="00E25CC6" w:rsidP="00F7443D">
      <w:pPr>
        <w:rPr>
          <w:rFonts w:eastAsiaTheme="minorHAnsi"/>
        </w:rPr>
      </w:pPr>
    </w:p>
    <w:p w:rsidR="00E25CC6" w:rsidRDefault="00E25CC6" w:rsidP="00243370">
      <w:pPr>
        <w:rPr>
          <w:rFonts w:eastAsiaTheme="minorHAnsi"/>
        </w:rPr>
        <w:sectPr w:rsidR="00E25CC6" w:rsidSect="00F302FC">
          <w:footerReference w:type="even" r:id="rId52"/>
          <w:footerReference w:type="default" r:id="rId53"/>
          <w:type w:val="oddPage"/>
          <w:pgSz w:w="9979" w:h="14181" w:code="138"/>
          <w:pgMar w:top="1138" w:right="1138" w:bottom="1138" w:left="1138" w:header="720" w:footer="432" w:gutter="0"/>
          <w:cols w:space="708"/>
          <w:docGrid w:linePitch="360"/>
        </w:sectPr>
      </w:pPr>
    </w:p>
    <w:p w:rsidR="00E25CC6" w:rsidRDefault="00E25CC6" w:rsidP="00062624">
      <w:pPr>
        <w:pStyle w:val="ChapterHeading"/>
      </w:pPr>
      <w:bookmarkStart w:id="126" w:name="_Toc449109461"/>
      <w:r>
        <w:t>Index</w:t>
      </w:r>
      <w:bookmarkEnd w:id="126"/>
    </w:p>
    <w:p w:rsidR="001C25A2" w:rsidRPr="001C25A2" w:rsidRDefault="00E25CC6" w:rsidP="00304B41">
      <w:pPr>
        <w:spacing w:after="0"/>
        <w:rPr>
          <w:rFonts w:asciiTheme="minorHAnsi" w:hAnsiTheme="minorHAnsi"/>
          <w:noProof/>
        </w:rPr>
        <w:sectPr w:rsidR="001C25A2" w:rsidRPr="001C25A2" w:rsidSect="001C25A2">
          <w:footerReference w:type="even" r:id="rId54"/>
          <w:footerReference w:type="default" r:id="rId55"/>
          <w:type w:val="oddPage"/>
          <w:pgSz w:w="9979" w:h="14181" w:code="138"/>
          <w:pgMar w:top="1138" w:right="1138" w:bottom="1138" w:left="1138" w:header="720" w:footer="432" w:gutter="0"/>
          <w:cols w:space="708"/>
          <w:docGrid w:linePitch="360"/>
        </w:sectPr>
      </w:pPr>
      <w:r w:rsidRPr="005410D3">
        <w:rPr>
          <w:rFonts w:asciiTheme="minorHAnsi" w:hAnsiTheme="minorHAnsi"/>
        </w:rPr>
        <w:fldChar w:fldCharType="begin"/>
      </w:r>
      <w:r w:rsidRPr="005410D3">
        <w:rPr>
          <w:rFonts w:asciiTheme="minorHAnsi" w:hAnsiTheme="minorHAnsi"/>
        </w:rPr>
        <w:instrText xml:space="preserve"> INDEX \h "A" \c "2" \z "3081" </w:instrText>
      </w:r>
      <w:r w:rsidRPr="005410D3">
        <w:rPr>
          <w:rFonts w:asciiTheme="minorHAnsi" w:hAnsiTheme="minorHAnsi"/>
        </w:rPr>
        <w:fldChar w:fldCharType="separate"/>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A</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Aboriginal Affairs, 6–7, 295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Aboriginal cultural heritage management and protection, 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Youth Mentoring Program, 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Acute Health Services, 80–81, 90–93, 219–23</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Ageing, Aged and Home Care, 81, 93, 229–32</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Ambulance Services, 82, 94, 224–26</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B</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Bus services. </w:t>
      </w:r>
      <w:r w:rsidRPr="001C25A2">
        <w:rPr>
          <w:rFonts w:asciiTheme="minorHAnsi" w:hAnsiTheme="minorHAnsi"/>
          <w:i/>
          <w:noProof/>
        </w:rPr>
        <w:t>See</w:t>
      </w:r>
      <w:r w:rsidRPr="001C25A2">
        <w:rPr>
          <w:rFonts w:asciiTheme="minorHAnsi" w:hAnsiTheme="minorHAnsi"/>
          <w:noProof/>
        </w:rPr>
        <w:t xml:space="preserve"> Department of Economic Development, Jobs, Transport and Resources</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C</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Children. </w:t>
      </w:r>
      <w:r w:rsidRPr="001C25A2">
        <w:rPr>
          <w:rFonts w:asciiTheme="minorHAnsi" w:hAnsiTheme="minorHAnsi"/>
          <w:i/>
          <w:noProof/>
        </w:rPr>
        <w:t>See also</w:t>
      </w:r>
      <w:r w:rsidRPr="001C25A2">
        <w:rPr>
          <w:rFonts w:asciiTheme="minorHAnsi" w:hAnsiTheme="minorHAnsi"/>
          <w:noProof/>
        </w:rPr>
        <w:t xml:space="preserve"> Department of Education and Training and Department of Health and Human Services</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Child Protection and Family Services, 82, 248–50</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Communities</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Civil Justice Services, 278–81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Community Renewal and Rebuilding Fund, 105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Community Support Fund, 367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Empowering Individuals and Communities, 84, 257–60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Sport and Recreation, 88</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Concessions to Pensioners and Beneficiaries, 253–54</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Councils. </w:t>
      </w:r>
      <w:r w:rsidRPr="001C25A2">
        <w:rPr>
          <w:rFonts w:asciiTheme="minorHAnsi" w:hAnsiTheme="minorHAnsi"/>
          <w:i/>
          <w:noProof/>
        </w:rPr>
        <w:t>See</w:t>
      </w:r>
      <w:r w:rsidRPr="001C25A2">
        <w:rPr>
          <w:rFonts w:asciiTheme="minorHAnsi" w:hAnsiTheme="minorHAnsi"/>
          <w:noProof/>
        </w:rPr>
        <w:t xml:space="preserve"> Local Government</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Courts.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115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Court services, 337–43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336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114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335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fro resources, 336</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Creative Industries, 39, 126–30</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D</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Department of Economic Development, Jobs, Transport and Resources.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48–50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Buses, 45–47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Creative Industries, 51, 126–30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Employment, Industry and Growth, 40, </w:t>
      </w:r>
      <w:r>
        <w:rPr>
          <w:rFonts w:asciiTheme="minorHAnsi" w:hAnsiTheme="minorHAnsi"/>
          <w:noProof/>
        </w:rPr>
        <w:br/>
      </w:r>
      <w:r w:rsidRPr="001C25A2">
        <w:rPr>
          <w:rFonts w:asciiTheme="minorHAnsi" w:hAnsiTheme="minorHAnsi"/>
          <w:noProof/>
        </w:rPr>
        <w:t>131–39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124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37–39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123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125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Public transport, 45–47, 57–60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Rail, 45–47, 57–60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Resources and Primary Industries, 40–42, 40–42</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Roads, 43–45, 52–57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Transport Network Safety, Operation and Development, 42–43, 52–60, 147–62</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Department of Education and Training.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65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Early Childhood Development, 61–62, </w:t>
      </w:r>
      <w:r>
        <w:rPr>
          <w:rFonts w:asciiTheme="minorHAnsi" w:hAnsiTheme="minorHAnsi"/>
          <w:noProof/>
        </w:rPr>
        <w:br/>
      </w:r>
      <w:r w:rsidRPr="001C25A2">
        <w:rPr>
          <w:rFonts w:asciiTheme="minorHAnsi" w:hAnsiTheme="minorHAnsi"/>
          <w:noProof/>
        </w:rPr>
        <w:t>170–71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167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61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166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167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School Education, 61–62, 65–68, 172–82</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Strategy, Review and Regulation, 168–69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Support for Students with Disabilities, 190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Support Services Delivery, 188–89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Training, Higher Education, Workforce Development and Skills, 63, 183–87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Department of Environment, Land, Water and Planning.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 Quality Built Environment, 195–97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76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Effective Water Management and </w:t>
      </w:r>
      <w:r>
        <w:rPr>
          <w:rFonts w:asciiTheme="minorHAnsi" w:hAnsiTheme="minorHAnsi"/>
          <w:noProof/>
        </w:rPr>
        <w:br/>
      </w:r>
      <w:r w:rsidRPr="001C25A2">
        <w:rPr>
          <w:rFonts w:asciiTheme="minorHAnsi" w:hAnsiTheme="minorHAnsi"/>
          <w:noProof/>
        </w:rPr>
        <w:t>Supply, 70–74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Environment, Biodiversity and Climate Change, 77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Fire and Emergency Management, 74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Healthy, Resilient and Biodiverse Environment, 198–201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194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Local Government, 75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Management of Forests, Parks and Public Land, 77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69–70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193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194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Planning, Building and Heritage, 75–76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Productive and Effective Land Management, 202–5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Reduced impact of major bushfires and other emergencies on people, property and the environment, 211–13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Safe and Sustainable Water Resources, </w:t>
      </w:r>
      <w:r>
        <w:rPr>
          <w:rFonts w:asciiTheme="minorHAnsi" w:hAnsiTheme="minorHAnsi"/>
          <w:noProof/>
        </w:rPr>
        <w:br/>
      </w:r>
      <w:r w:rsidRPr="001C25A2">
        <w:rPr>
          <w:rFonts w:asciiTheme="minorHAnsi" w:hAnsiTheme="minorHAnsi"/>
          <w:noProof/>
        </w:rPr>
        <w:t>206–8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Sustainable and Effective Local Governments, 209–10</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Department of Health and Human Services.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Acute Health Services, 80–81, 90–93, </w:t>
      </w:r>
      <w:r>
        <w:rPr>
          <w:rFonts w:asciiTheme="minorHAnsi" w:hAnsiTheme="minorHAnsi"/>
          <w:noProof/>
        </w:rPr>
        <w:br/>
      </w:r>
      <w:r w:rsidRPr="001C25A2">
        <w:rPr>
          <w:rFonts w:asciiTheme="minorHAnsi" w:hAnsiTheme="minorHAnsi"/>
          <w:noProof/>
        </w:rPr>
        <w:t>219–23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Ageing, Aged and Home Care, 81, 93, </w:t>
      </w:r>
      <w:r>
        <w:rPr>
          <w:rFonts w:asciiTheme="minorHAnsi" w:hAnsiTheme="minorHAnsi"/>
          <w:noProof/>
        </w:rPr>
        <w:br/>
      </w:r>
      <w:r w:rsidRPr="001C25A2">
        <w:rPr>
          <w:rFonts w:asciiTheme="minorHAnsi" w:hAnsiTheme="minorHAnsi"/>
          <w:noProof/>
        </w:rPr>
        <w:t>229–32</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Ambulance Services, 82, 94, 224–26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89–90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Child Protection and Family Services, 82, 248–50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Concessions to Pensioners and Beneficiaries, 253–54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Disability Services, 83, 94, 245–47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Drug Services, 84, 242–44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Empowering Individuals and Communities, 257–60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Housing Assistance, 85, 94, 255–56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218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Mental Health, 85–86, 95, 227–28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78–79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217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218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Primary, Community and Dental Health, 87, 233–34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Public Health, 87–88, 238–41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Small Rural Services, 235–37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Sport and Recreation, 88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Youth Services and Youth Justice, 96, </w:t>
      </w:r>
      <w:r>
        <w:rPr>
          <w:rFonts w:asciiTheme="minorHAnsi" w:hAnsiTheme="minorHAnsi"/>
          <w:noProof/>
        </w:rPr>
        <w:br/>
      </w:r>
      <w:r w:rsidRPr="001C25A2">
        <w:rPr>
          <w:rFonts w:asciiTheme="minorHAnsi" w:hAnsiTheme="minorHAnsi"/>
          <w:noProof/>
        </w:rPr>
        <w:t>251–52</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Department of Justice and Regulation.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101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Civil Justice Services, 278–81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Criminal Justice Services, 98, 272–77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Emergency Management, 98–99, 101–2, 282–83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Enforcing and Managing Correctional Orders, 99, 102, 269–71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265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Industry Regulation and Support, 284–86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97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264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265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Policing and Crime Prevention, 99–100, 102, 266–68</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Department of Premier and Cabinet.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107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Community Renewal and Rebuilding </w:t>
      </w:r>
      <w:r>
        <w:rPr>
          <w:rFonts w:asciiTheme="minorHAnsi" w:hAnsiTheme="minorHAnsi"/>
          <w:noProof/>
        </w:rPr>
        <w:br/>
      </w:r>
      <w:r w:rsidRPr="001C25A2">
        <w:rPr>
          <w:rFonts w:asciiTheme="minorHAnsi" w:hAnsiTheme="minorHAnsi"/>
          <w:noProof/>
        </w:rPr>
        <w:t>Fund, 105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Engaged Citizens, 103–4, 107, 295–99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290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103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289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290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Productivity and Competitiveness, 104, </w:t>
      </w:r>
      <w:r>
        <w:rPr>
          <w:rFonts w:asciiTheme="minorHAnsi" w:hAnsiTheme="minorHAnsi"/>
          <w:noProof/>
        </w:rPr>
        <w:br/>
      </w:r>
      <w:r w:rsidRPr="001C25A2">
        <w:rPr>
          <w:rFonts w:asciiTheme="minorHAnsi" w:hAnsiTheme="minorHAnsi"/>
          <w:noProof/>
        </w:rPr>
        <w:t>293–94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Professional Public Administration, 104–5, 300–305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Strong Policy Outcomes, 105–6, 291–92</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Department of Treasury and Finance.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110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Deliver efficient whole of government common services to the Victorian public sector, 110, 322–23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Drive improvements in public sector commercial and asset management and the delivery of infrastructure, 108, </w:t>
      </w:r>
      <w:r>
        <w:rPr>
          <w:rFonts w:asciiTheme="minorHAnsi" w:hAnsiTheme="minorHAnsi"/>
          <w:noProof/>
        </w:rPr>
        <w:br/>
      </w:r>
      <w:r w:rsidRPr="001C25A2">
        <w:rPr>
          <w:rFonts w:asciiTheme="minorHAnsi" w:hAnsiTheme="minorHAnsi"/>
          <w:noProof/>
        </w:rPr>
        <w:t>319–21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Guide government actions to increase productivity and competitiveness, 109, 315–18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310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108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309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310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Sound financial management of Victoria's fiscal resources, 109, 311–14</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Disability Services, 83, 84, 94, 190, 216, 245–47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Domestic violence. </w:t>
      </w:r>
      <w:r w:rsidRPr="001C25A2">
        <w:rPr>
          <w:rFonts w:asciiTheme="minorHAnsi" w:hAnsiTheme="minorHAnsi"/>
          <w:i/>
          <w:noProof/>
        </w:rPr>
        <w:t>See</w:t>
      </w:r>
      <w:r w:rsidRPr="001C25A2">
        <w:rPr>
          <w:rFonts w:asciiTheme="minorHAnsi" w:hAnsiTheme="minorHAnsi"/>
          <w:noProof/>
        </w:rPr>
        <w:t xml:space="preserve"> Family Violence</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Drug Services, 84, 242–44, </w:t>
      </w:r>
      <w:r w:rsidRPr="001C25A2">
        <w:rPr>
          <w:rFonts w:asciiTheme="minorHAnsi" w:hAnsiTheme="minorHAnsi"/>
          <w:i/>
          <w:noProof/>
        </w:rPr>
        <w:t>See also</w:t>
      </w:r>
      <w:r w:rsidRPr="001C25A2">
        <w:rPr>
          <w:rFonts w:asciiTheme="minorHAnsi" w:hAnsiTheme="minorHAnsi"/>
          <w:noProof/>
        </w:rPr>
        <w:t xml:space="preserve"> Ice Action Plan – Stage 2</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E</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Education. </w:t>
      </w:r>
      <w:r w:rsidRPr="001C25A2">
        <w:rPr>
          <w:rFonts w:asciiTheme="minorHAnsi" w:hAnsiTheme="minorHAnsi"/>
          <w:i/>
          <w:noProof/>
        </w:rPr>
        <w:t>See also</w:t>
      </w:r>
      <w:r w:rsidRPr="001C25A2">
        <w:rPr>
          <w:rFonts w:asciiTheme="minorHAnsi" w:hAnsiTheme="minorHAnsi"/>
          <w:noProof/>
        </w:rPr>
        <w:t xml:space="preserve"> Department of Education and Training</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Early Childhood Development, 170–71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School Education, 61–62, 65–68, 172–82</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Strategy, Review and Regulation, 168–69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Support for Students with Disabilities, 190</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Support Services Delivery, 188–89</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Training, Higher Education, Workforce Development and Skills, 183–87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Emergency Services</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Ambulance Services, 224–26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Reduced impact of major bushfires and other emergencies on people, property and the environment, 211–13</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Employment, Industry and Growth, 131–39</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Environment. </w:t>
      </w:r>
      <w:r w:rsidRPr="001C25A2">
        <w:rPr>
          <w:rFonts w:asciiTheme="minorHAnsi" w:hAnsiTheme="minorHAnsi"/>
          <w:i/>
          <w:noProof/>
        </w:rPr>
        <w:t>See</w:t>
      </w:r>
      <w:r w:rsidRPr="001C25A2">
        <w:rPr>
          <w:rFonts w:asciiTheme="minorHAnsi" w:hAnsiTheme="minorHAnsi"/>
          <w:noProof/>
        </w:rPr>
        <w:t xml:space="preserve"> Environment and Department of Environment, Land, Water and Planning</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F</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Family Violence, 8–18, 298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 xml:space="preserve">Royal Commission into Family Violence, 4, </w:t>
      </w:r>
      <w:r>
        <w:rPr>
          <w:rFonts w:asciiTheme="minorHAnsi" w:hAnsiTheme="minorHAnsi"/>
          <w:noProof/>
        </w:rPr>
        <w:br/>
      </w:r>
      <w:r w:rsidRPr="001C25A2">
        <w:rPr>
          <w:rFonts w:asciiTheme="minorHAnsi" w:hAnsiTheme="minorHAnsi"/>
          <w:noProof/>
        </w:rPr>
        <w:t>8, 10, 14</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H</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Hazelwood Mine Fire, 19–22</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Health. </w:t>
      </w:r>
      <w:r w:rsidRPr="001C25A2">
        <w:rPr>
          <w:rFonts w:asciiTheme="minorHAnsi" w:hAnsiTheme="minorHAnsi"/>
          <w:i/>
          <w:noProof/>
        </w:rPr>
        <w:t>See also</w:t>
      </w:r>
      <w:r w:rsidRPr="001C25A2">
        <w:rPr>
          <w:rFonts w:asciiTheme="minorHAnsi" w:hAnsiTheme="minorHAnsi"/>
          <w:noProof/>
        </w:rPr>
        <w:t xml:space="preserve"> Department of Health and Human Services</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Acute Health Services, 219–23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Ageing, Aged and Home Care, 229–32</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Disability Services, 245–47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Drug Services, 242–44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Mental Health, 227–28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Primary, Community and Dental Health, 233–34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Public Health, 238–41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Small Rural Services, 235–37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Housing Assistance, 85, 94, 255–56</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I</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Ice Action Plan – Stage 2, 23–36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24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23</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Indigenous. </w:t>
      </w:r>
      <w:r w:rsidRPr="001C25A2">
        <w:rPr>
          <w:rFonts w:asciiTheme="minorHAnsi" w:hAnsiTheme="minorHAnsi"/>
          <w:i/>
          <w:noProof/>
        </w:rPr>
        <w:t>See</w:t>
      </w:r>
      <w:r w:rsidRPr="001C25A2">
        <w:rPr>
          <w:rFonts w:asciiTheme="minorHAnsi" w:hAnsiTheme="minorHAnsi"/>
          <w:noProof/>
        </w:rPr>
        <w:t xml:space="preserve"> Aboriginal Affairs</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Industry Regulation and Support, 284–86</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Infrastructure, 319–21, 364</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Office of the Victorian Government Architect, 294</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J</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Justice. </w:t>
      </w:r>
      <w:r w:rsidRPr="001C25A2">
        <w:rPr>
          <w:rFonts w:asciiTheme="minorHAnsi" w:hAnsiTheme="minorHAnsi"/>
          <w:i/>
          <w:noProof/>
        </w:rPr>
        <w:t xml:space="preserve">See </w:t>
      </w:r>
      <w:r w:rsidRPr="001C25A2">
        <w:rPr>
          <w:rFonts w:asciiTheme="minorHAnsi" w:hAnsiTheme="minorHAnsi"/>
          <w:noProof/>
        </w:rPr>
        <w:t>Department of Justice and Regulation</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K</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Koori. </w:t>
      </w:r>
      <w:r w:rsidRPr="001C25A2">
        <w:rPr>
          <w:rFonts w:asciiTheme="minorHAnsi" w:hAnsiTheme="minorHAnsi"/>
          <w:i/>
          <w:noProof/>
        </w:rPr>
        <w:t>See</w:t>
      </w:r>
      <w:r w:rsidRPr="001C25A2">
        <w:rPr>
          <w:rFonts w:asciiTheme="minorHAnsi" w:hAnsiTheme="minorHAnsi"/>
          <w:noProof/>
        </w:rPr>
        <w:t xml:space="preserve"> Aboriginal Affairs</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L</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Law and order. </w:t>
      </w:r>
      <w:r w:rsidRPr="001C25A2">
        <w:rPr>
          <w:rFonts w:asciiTheme="minorHAnsi" w:hAnsiTheme="minorHAnsi"/>
          <w:i/>
          <w:noProof/>
        </w:rPr>
        <w:t xml:space="preserve">See </w:t>
      </w:r>
      <w:r w:rsidRPr="001C25A2">
        <w:rPr>
          <w:rFonts w:asciiTheme="minorHAnsi" w:hAnsiTheme="minorHAnsi"/>
          <w:noProof/>
        </w:rPr>
        <w:t>Department of Justice and Regulation</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Legislative Council, 328</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Lesbian, Gay, Bisexual, Transgender and Intersexed (LGBTI), 12, 16, 104</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Local Government, 75, 366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Sustainable and Effective Local Governments, 209–10</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M</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Mental Health, 85–86, 95, 227–28</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Multicultural Affairs, 10, 104, 296</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N</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National Disability Insurance Scheme, 83, 94, 106, 216</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Natural disasters and emergencies, 367</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P</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Parliament. </w:t>
      </w:r>
      <w:r w:rsidRPr="001C25A2">
        <w:rPr>
          <w:rFonts w:asciiTheme="minorHAnsi" w:hAnsiTheme="minorHAnsi"/>
          <w:i/>
          <w:noProof/>
        </w:rPr>
        <w:t>See also</w:t>
      </w:r>
      <w:r w:rsidRPr="001C25A2">
        <w:rPr>
          <w:rFonts w:asciiTheme="minorHAnsi" w:hAnsiTheme="minorHAnsi"/>
          <w:noProof/>
        </w:rPr>
        <w:t xml:space="preserve"> Budget Paper No. 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Asset initiatives, 113</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Income from transactions, 326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Legislative Assembly, 327</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Legislative Council, 111, 328</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initiatives, 111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Output summary, 325</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authority for resources, 326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Budget Office, 112, 332</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investigatory committees, 112, 331</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Parliamentary services, 112, 329–30</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Policing, 99–100, 102, 266–68</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Public Health, 87–88, 238–41</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Public Libraries, 363</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Public Records Office, 301</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Public transport. </w:t>
      </w:r>
      <w:r w:rsidRPr="001C25A2">
        <w:rPr>
          <w:rFonts w:asciiTheme="minorHAnsi" w:hAnsiTheme="minorHAnsi"/>
          <w:i/>
          <w:noProof/>
        </w:rPr>
        <w:t>See</w:t>
      </w:r>
      <w:r w:rsidRPr="001C25A2">
        <w:rPr>
          <w:rFonts w:asciiTheme="minorHAnsi" w:hAnsiTheme="minorHAnsi"/>
          <w:noProof/>
        </w:rPr>
        <w:t xml:space="preserve"> Department of Economic Development, Jobs, Transport and Resources</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R</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Rail. </w:t>
      </w:r>
      <w:r w:rsidRPr="001C25A2">
        <w:rPr>
          <w:rFonts w:asciiTheme="minorHAnsi" w:hAnsiTheme="minorHAnsi"/>
          <w:i/>
          <w:noProof/>
        </w:rPr>
        <w:t>See</w:t>
      </w:r>
      <w:r w:rsidRPr="001C25A2">
        <w:rPr>
          <w:rFonts w:asciiTheme="minorHAnsi" w:hAnsiTheme="minorHAnsi"/>
          <w:noProof/>
        </w:rPr>
        <w:t xml:space="preserve"> Department of Economic Development, Jobs, Transport and Resources</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Regional and Rural Victoria Services, 2, 10, 36, 41, 61, 68, 102</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Small Rural Health Services, 235–37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Resources and Primary Industries, 40–42</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Revenue initiatives</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Absentee landowner surcharge, 116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Brown coal royalty, 116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Land tax, 116</w:t>
      </w:r>
    </w:p>
    <w:p w:rsidR="001C25A2" w:rsidRPr="001C25A2" w:rsidRDefault="001C25A2">
      <w:pPr>
        <w:pStyle w:val="Index2"/>
        <w:tabs>
          <w:tab w:val="right" w:leader="dot" w:pos="3481"/>
        </w:tabs>
        <w:rPr>
          <w:rFonts w:asciiTheme="minorHAnsi" w:hAnsiTheme="minorHAnsi"/>
          <w:noProof/>
        </w:rPr>
      </w:pPr>
      <w:r w:rsidRPr="001C25A2">
        <w:rPr>
          <w:rFonts w:asciiTheme="minorHAnsi" w:hAnsiTheme="minorHAnsi"/>
          <w:noProof/>
        </w:rPr>
        <w:t>Payroll tax, 117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Roads. </w:t>
      </w:r>
      <w:r w:rsidRPr="001C25A2">
        <w:rPr>
          <w:rFonts w:asciiTheme="minorHAnsi" w:hAnsiTheme="minorHAnsi"/>
          <w:i/>
          <w:noProof/>
        </w:rPr>
        <w:t>See</w:t>
      </w:r>
      <w:r w:rsidRPr="001C25A2">
        <w:rPr>
          <w:rFonts w:asciiTheme="minorHAnsi" w:hAnsiTheme="minorHAnsi"/>
          <w:noProof/>
        </w:rPr>
        <w:t xml:space="preserve"> Department of Economic Development, Jobs, Transport and Resources</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S</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Social and Community Services. </w:t>
      </w:r>
      <w:r w:rsidRPr="001C25A2">
        <w:rPr>
          <w:rFonts w:asciiTheme="minorHAnsi" w:hAnsiTheme="minorHAnsi"/>
          <w:i/>
          <w:noProof/>
        </w:rPr>
        <w:t>See</w:t>
      </w:r>
      <w:r w:rsidRPr="001C25A2">
        <w:rPr>
          <w:rFonts w:asciiTheme="minorHAnsi" w:hAnsiTheme="minorHAnsi"/>
          <w:noProof/>
        </w:rPr>
        <w:t xml:space="preserve"> Communities</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Sport and Recreation, 88</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T</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Technical and Further Education (TAFE). </w:t>
      </w:r>
      <w:r w:rsidRPr="001C25A2">
        <w:rPr>
          <w:rFonts w:asciiTheme="minorHAnsi" w:hAnsiTheme="minorHAnsi"/>
          <w:i/>
          <w:noProof/>
        </w:rPr>
        <w:t xml:space="preserve">See </w:t>
      </w:r>
      <w:r w:rsidRPr="001C25A2">
        <w:rPr>
          <w:rFonts w:asciiTheme="minorHAnsi" w:hAnsiTheme="minorHAnsi"/>
          <w:noProof/>
        </w:rPr>
        <w:t>Department of Education and Training</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Train services. </w:t>
      </w:r>
      <w:r w:rsidRPr="001C25A2">
        <w:rPr>
          <w:rFonts w:asciiTheme="minorHAnsi" w:hAnsiTheme="minorHAnsi"/>
          <w:i/>
          <w:noProof/>
        </w:rPr>
        <w:t>See</w:t>
      </w:r>
      <w:r w:rsidRPr="001C25A2">
        <w:rPr>
          <w:rFonts w:asciiTheme="minorHAnsi" w:hAnsiTheme="minorHAnsi"/>
          <w:noProof/>
        </w:rPr>
        <w:t xml:space="preserve"> Department of Economic Development, Jobs, Transport and Resources</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Tram services. </w:t>
      </w:r>
      <w:r w:rsidRPr="001C25A2">
        <w:rPr>
          <w:rFonts w:asciiTheme="minorHAnsi" w:hAnsiTheme="minorHAnsi"/>
          <w:i/>
          <w:noProof/>
        </w:rPr>
        <w:t>See</w:t>
      </w:r>
      <w:r w:rsidRPr="001C25A2">
        <w:rPr>
          <w:rFonts w:asciiTheme="minorHAnsi" w:hAnsiTheme="minorHAnsi"/>
          <w:noProof/>
        </w:rPr>
        <w:t xml:space="preserve"> Department of Economic Development, Jobs, Transport and Resources</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Transport Network Safety, Operation and Development, 147–62</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V</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Veterans Affairs, 287, 297</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Victoria Police. </w:t>
      </w:r>
      <w:r w:rsidRPr="001C25A2">
        <w:rPr>
          <w:rFonts w:asciiTheme="minorHAnsi" w:hAnsiTheme="minorHAnsi"/>
          <w:i/>
          <w:noProof/>
        </w:rPr>
        <w:t>See</w:t>
      </w:r>
      <w:r w:rsidRPr="001C25A2">
        <w:rPr>
          <w:rFonts w:asciiTheme="minorHAnsi" w:hAnsiTheme="minorHAnsi"/>
          <w:noProof/>
        </w:rPr>
        <w:t xml:space="preserve"> Policing</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Victorian Auditor</w:t>
      </w:r>
      <w:r w:rsidRPr="001C25A2">
        <w:rPr>
          <w:rFonts w:asciiTheme="minorHAnsi" w:hAnsiTheme="minorHAnsi"/>
          <w:noProof/>
        </w:rPr>
        <w:noBreakHyphen/>
        <w:t>General's Office, 333–34</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Vocational Education and Training. </w:t>
      </w:r>
      <w:r w:rsidRPr="001C25A2">
        <w:rPr>
          <w:rFonts w:asciiTheme="minorHAnsi" w:hAnsiTheme="minorHAnsi"/>
          <w:i/>
          <w:noProof/>
        </w:rPr>
        <w:t xml:space="preserve">See </w:t>
      </w:r>
      <w:r w:rsidRPr="001C25A2">
        <w:rPr>
          <w:rFonts w:asciiTheme="minorHAnsi" w:hAnsiTheme="minorHAnsi"/>
          <w:noProof/>
        </w:rPr>
        <w:t>Department of Education and Training</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W</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 xml:space="preserve">Water. </w:t>
      </w:r>
      <w:r w:rsidRPr="001C25A2">
        <w:rPr>
          <w:rFonts w:asciiTheme="minorHAnsi" w:hAnsiTheme="minorHAnsi"/>
          <w:i/>
          <w:noProof/>
        </w:rPr>
        <w:t>See</w:t>
      </w:r>
      <w:r w:rsidRPr="001C25A2">
        <w:rPr>
          <w:rFonts w:asciiTheme="minorHAnsi" w:hAnsiTheme="minorHAnsi"/>
          <w:noProof/>
        </w:rPr>
        <w:t xml:space="preserve"> Environment and Department of Environment, Land, Water and Planning</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Women and Equality Programs, 289, 298</w:t>
      </w:r>
    </w:p>
    <w:p w:rsidR="001C25A2" w:rsidRPr="001C25A2" w:rsidRDefault="001C25A2">
      <w:pPr>
        <w:pStyle w:val="IndexHeading"/>
        <w:keepNext/>
        <w:tabs>
          <w:tab w:val="right" w:leader="dot" w:pos="3481"/>
        </w:tabs>
        <w:rPr>
          <w:rFonts w:asciiTheme="minorHAnsi" w:eastAsiaTheme="minorEastAsia" w:hAnsiTheme="minorHAnsi" w:cstheme="minorBidi"/>
          <w:b w:val="0"/>
          <w:bCs w:val="0"/>
          <w:noProof/>
        </w:rPr>
      </w:pPr>
      <w:r w:rsidRPr="001C25A2">
        <w:rPr>
          <w:rFonts w:asciiTheme="minorHAnsi" w:hAnsiTheme="minorHAnsi"/>
          <w:noProof/>
        </w:rPr>
        <w:t>Y</w:t>
      </w:r>
    </w:p>
    <w:p w:rsidR="001C25A2" w:rsidRPr="001C25A2" w:rsidRDefault="001C25A2">
      <w:pPr>
        <w:pStyle w:val="Index1"/>
        <w:tabs>
          <w:tab w:val="right" w:leader="dot" w:pos="3481"/>
        </w:tabs>
        <w:rPr>
          <w:rFonts w:asciiTheme="minorHAnsi" w:hAnsiTheme="minorHAnsi"/>
          <w:noProof/>
        </w:rPr>
      </w:pPr>
      <w:r w:rsidRPr="001C25A2">
        <w:rPr>
          <w:rFonts w:asciiTheme="minorHAnsi" w:hAnsiTheme="minorHAnsi"/>
          <w:noProof/>
        </w:rPr>
        <w:t>Youth Services and Youth Justice, 96, 251–52</w:t>
      </w:r>
    </w:p>
    <w:p w:rsidR="001C25A2" w:rsidRDefault="001C25A2" w:rsidP="00304B41">
      <w:pPr>
        <w:spacing w:after="0"/>
        <w:rPr>
          <w:rFonts w:asciiTheme="minorHAnsi" w:hAnsiTheme="minorHAnsi"/>
          <w:noProof/>
        </w:rPr>
        <w:sectPr w:rsidR="001C25A2" w:rsidSect="001C25A2">
          <w:type w:val="continuous"/>
          <w:pgSz w:w="9979" w:h="14181" w:code="138"/>
          <w:pgMar w:top="1138" w:right="1138" w:bottom="1138" w:left="1138" w:header="720" w:footer="432" w:gutter="0"/>
          <w:cols w:num="2" w:space="720"/>
          <w:docGrid w:linePitch="360"/>
        </w:sectPr>
      </w:pPr>
    </w:p>
    <w:p w:rsidR="00E25CC6" w:rsidRPr="005410D3" w:rsidRDefault="00E25CC6" w:rsidP="00304B41">
      <w:pPr>
        <w:spacing w:after="0"/>
        <w:rPr>
          <w:rFonts w:asciiTheme="minorHAnsi" w:hAnsiTheme="minorHAnsi"/>
        </w:rPr>
      </w:pPr>
      <w:r w:rsidRPr="005410D3">
        <w:rPr>
          <w:rFonts w:asciiTheme="minorHAnsi" w:hAnsiTheme="minorHAnsi"/>
        </w:rPr>
        <w:fldChar w:fldCharType="end"/>
      </w:r>
    </w:p>
    <w:p w:rsidR="00E25CC6" w:rsidRDefault="00E25CC6" w:rsidP="00B37EF1">
      <w:pPr>
        <w:rPr>
          <w:rFonts w:asciiTheme="minorHAnsi" w:eastAsiaTheme="minorHAnsi" w:hAnsiTheme="minorHAnsi"/>
        </w:rPr>
      </w:pPr>
    </w:p>
    <w:p w:rsidR="00772CF3" w:rsidRDefault="00772CF3" w:rsidP="00772CF3">
      <w:r w:rsidRPr="004643AA">
        <w:fldChar w:fldCharType="begin"/>
      </w:r>
      <w:r w:rsidRPr="004643AA">
        <w:instrText xml:space="preserve"> XE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Education and </w:instrText>
      </w:r>
      <w:r>
        <w:instrText>Training</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Health</w:instrText>
      </w:r>
      <w:r>
        <w:instrText xml:space="preserve"> and Human Services</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Justice</w:instrText>
      </w:r>
      <w:r>
        <w:instrText xml:space="preserve"> and Regulation</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w:instrText>
      </w:r>
      <w:r>
        <w:instrText>Environment, Land, Water and Planning</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Premier and Cabinet"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w:instrText>
      </w:r>
      <w:r>
        <w:instrText>Parliament</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w:instrText>
      </w:r>
      <w:r>
        <w:instrText>Courts</w:instrText>
      </w:r>
      <w:r w:rsidRPr="004643AA">
        <w:instrText>"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"Department of Treasury and Finance" \t "</w:instrText>
      </w:r>
      <w:r w:rsidRPr="004643AA">
        <w:rPr>
          <w:i/>
        </w:rPr>
        <w:instrText>See also</w:instrText>
      </w:r>
      <w:r w:rsidRPr="004643AA">
        <w:instrText xml:space="preserve"> Budget Paper No. 5" </w:instrText>
      </w:r>
      <w:r w:rsidRPr="004643AA">
        <w:fldChar w:fldCharType="end"/>
      </w:r>
      <w:r>
        <w:t xml:space="preserve"> </w:t>
      </w:r>
      <w:r w:rsidRPr="004643AA">
        <w:fldChar w:fldCharType="begin"/>
      </w:r>
      <w:r w:rsidRPr="004643AA">
        <w:instrText xml:space="preserve"> XE "Victoria Police" \t "</w:instrText>
      </w:r>
      <w:r w:rsidRPr="004643AA">
        <w:rPr>
          <w:i/>
        </w:rPr>
        <w:instrText>See</w:instrText>
      </w:r>
      <w:r w:rsidRPr="004643AA">
        <w:instrText xml:space="preserve"> Polic</w:instrText>
      </w:r>
      <w:r>
        <w:instrText>ing</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Councils</w:instrText>
      </w:r>
      <w:r w:rsidRPr="004643AA">
        <w:instrText>" \t "</w:instrText>
      </w:r>
      <w:r w:rsidRPr="004643AA">
        <w:rPr>
          <w:i/>
        </w:rPr>
        <w:instrText>See</w:instrText>
      </w:r>
      <w:r w:rsidRPr="004643AA">
        <w:instrText xml:space="preserve"> </w:instrText>
      </w:r>
      <w:r>
        <w:instrText>Local Government</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Domestic violence</w:instrText>
      </w:r>
      <w:r w:rsidRPr="004643AA">
        <w:instrText>" \t "</w:instrText>
      </w:r>
      <w:r w:rsidRPr="004643AA">
        <w:rPr>
          <w:i/>
        </w:rPr>
        <w:instrText>See</w:instrText>
      </w:r>
      <w:r w:rsidRPr="004643AA">
        <w:instrText xml:space="preserve"> </w:instrText>
      </w:r>
      <w:r>
        <w:instrText>Family Violence</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Indigenous</w:instrText>
      </w:r>
      <w:r w:rsidRPr="004643AA">
        <w:instrText>" \t "</w:instrText>
      </w:r>
      <w:r w:rsidRPr="004643AA">
        <w:rPr>
          <w:i/>
        </w:rPr>
        <w:instrText>See</w:instrText>
      </w:r>
      <w:r w:rsidRPr="004643AA">
        <w:instrText xml:space="preserve"> </w:instrText>
      </w:r>
      <w:r>
        <w:instrText>Aboriginal Affairs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Koori</w:instrText>
      </w:r>
      <w:r w:rsidRPr="004643AA">
        <w:instrText>" \t "</w:instrText>
      </w:r>
      <w:r w:rsidRPr="004643AA">
        <w:rPr>
          <w:i/>
        </w:rPr>
        <w:instrText>See</w:instrText>
      </w:r>
      <w:r w:rsidRPr="004643AA">
        <w:instrText xml:space="preserve"> </w:instrText>
      </w:r>
      <w:r>
        <w:instrText>Aboriginal Affairs</w:instrText>
      </w:r>
      <w:r w:rsidRPr="004643AA">
        <w:instrText xml:space="preserve">" </w:instrText>
      </w:r>
      <w:r w:rsidRPr="004643AA">
        <w:fldChar w:fldCharType="end"/>
      </w:r>
      <w:r w:rsidRPr="004643AA">
        <w:fldChar w:fldCharType="begin"/>
      </w:r>
      <w:r w:rsidRPr="004643AA">
        <w:instrText xml:space="preserve"> XE "</w:instrText>
      </w:r>
      <w:r>
        <w:instrText>Tram services</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Train services</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Bus services</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Roads</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Rail</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Public transport</w:instrText>
      </w:r>
      <w:r w:rsidRPr="004643AA">
        <w:instrText>" \t "</w:instrText>
      </w:r>
      <w:r w:rsidRPr="004643AA">
        <w:rPr>
          <w:i/>
        </w:rPr>
        <w:instrText>See</w:instrText>
      </w:r>
      <w:r w:rsidRPr="004643AA">
        <w:instrText xml:space="preserve"> Department of </w:instrText>
      </w:r>
      <w:r>
        <w:instrText>Economic</w:instrText>
      </w:r>
      <w:r w:rsidRPr="004643AA">
        <w:instrText xml:space="preserve"> Development, </w:instrText>
      </w:r>
      <w:r>
        <w:instrText>Jobs, Transport</w:instrText>
      </w:r>
      <w:r w:rsidRPr="004643AA">
        <w:instrText xml:space="preserve"> and </w:instrText>
      </w:r>
      <w:r>
        <w:instrText>Resources</w:instrText>
      </w:r>
      <w:r w:rsidRPr="004643AA">
        <w:instrText xml:space="preserve">" </w:instrText>
      </w:r>
      <w:r w:rsidRPr="004643AA">
        <w:fldChar w:fldCharType="end"/>
      </w:r>
      <w:r w:rsidRPr="004643AA">
        <w:fldChar w:fldCharType="begin"/>
      </w:r>
      <w:r w:rsidRPr="004643AA">
        <w:instrText xml:space="preserve"> XE "</w:instrText>
      </w:r>
      <w:r>
        <w:instrText>Water</w:instrText>
      </w:r>
      <w:r w:rsidRPr="004643AA">
        <w:instrText>" \t "</w:instrText>
      </w:r>
      <w:r w:rsidRPr="004643AA">
        <w:rPr>
          <w:i/>
        </w:rPr>
        <w:instrText>See</w:instrText>
      </w:r>
      <w:r w:rsidRPr="004643AA">
        <w:instrText xml:space="preserve"> </w:instrText>
      </w:r>
      <w:r>
        <w:instrText>Environment and Department of Environment, Land, Water and Planning</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Vocational Education and Training</w:instrText>
      </w:r>
      <w:r w:rsidRPr="004643AA">
        <w:instrText>" \t "</w:instrText>
      </w:r>
      <w:r w:rsidRPr="004643AA">
        <w:rPr>
          <w:i/>
        </w:rPr>
        <w:instrText xml:space="preserve">See </w:instrText>
      </w:r>
      <w:r>
        <w:instrText>Department of Education and Training</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Law and order</w:instrText>
      </w:r>
      <w:r w:rsidRPr="004643AA">
        <w:instrText>" \t "</w:instrText>
      </w:r>
      <w:r w:rsidRPr="004643AA">
        <w:rPr>
          <w:i/>
        </w:rPr>
        <w:instrText xml:space="preserve">See </w:instrText>
      </w:r>
      <w:r>
        <w:instrText>Department of Justice and Regulation</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Social and Community Services</w:instrText>
      </w:r>
      <w:r w:rsidRPr="004643AA">
        <w:instrText>" \t "</w:instrText>
      </w:r>
      <w:r w:rsidRPr="004643AA">
        <w:rPr>
          <w:i/>
        </w:rPr>
        <w:instrText>See</w:instrText>
      </w:r>
      <w:r w:rsidRPr="004643AA">
        <w:instrText xml:space="preserve"> </w:instrText>
      </w:r>
      <w:r>
        <w:instrText>Communities</w:instrText>
      </w:r>
      <w:r w:rsidRPr="004643AA">
        <w:instrText xml:space="preserve">" </w:instrText>
      </w:r>
      <w:r w:rsidRPr="004643AA">
        <w:fldChar w:fldCharType="end"/>
      </w:r>
      <w:r w:rsidRPr="004643AA">
        <w:fldChar w:fldCharType="begin"/>
      </w:r>
      <w:r w:rsidRPr="004643AA">
        <w:instrText xml:space="preserve"> XE "Health" \t "</w:instrText>
      </w:r>
      <w:r w:rsidRPr="004643AA">
        <w:rPr>
          <w:i/>
        </w:rPr>
        <w:instrText>See also</w:instrText>
      </w:r>
      <w:r w:rsidRPr="004643AA">
        <w:instrText xml:space="preserve"> Department of Health</w:instrText>
      </w:r>
      <w:r>
        <w:instrText xml:space="preserve"> and Human Services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Children</w:instrText>
      </w:r>
      <w:r w:rsidRPr="004643AA">
        <w:instrText>" \t "</w:instrText>
      </w:r>
      <w:r w:rsidRPr="004643AA">
        <w:rPr>
          <w:i/>
        </w:rPr>
        <w:instrText>See also</w:instrText>
      </w:r>
      <w:r w:rsidRPr="004643AA">
        <w:instrText xml:space="preserve"> Department of </w:instrText>
      </w:r>
      <w:r>
        <w:instrText>Education and Training and Department of Health and Human Services</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Drug Services</w:instrText>
      </w:r>
      <w:r w:rsidRPr="004643AA">
        <w:instrText>" \t "</w:instrText>
      </w:r>
      <w:r w:rsidRPr="004643AA">
        <w:rPr>
          <w:i/>
        </w:rPr>
        <w:instrText>See also</w:instrText>
      </w:r>
      <w:r w:rsidRPr="004643AA">
        <w:instrText xml:space="preserve"> </w:instrText>
      </w:r>
      <w:r>
        <w:instrText>Ice Action Plan – Stage 2</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Education</w:instrText>
      </w:r>
      <w:r w:rsidRPr="004643AA">
        <w:instrText>" \t "</w:instrText>
      </w:r>
      <w:r w:rsidRPr="004643AA">
        <w:rPr>
          <w:i/>
        </w:rPr>
        <w:instrText>See also</w:instrText>
      </w:r>
      <w:r w:rsidRPr="004643AA">
        <w:instrText xml:space="preserve"> </w:instrText>
      </w:r>
      <w:r>
        <w:instrText>Department of Education and Training</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Technical and Further Education (TAFE)</w:instrText>
      </w:r>
      <w:r w:rsidRPr="004643AA">
        <w:instrText>" \t "</w:instrText>
      </w:r>
      <w:r w:rsidRPr="004643AA">
        <w:rPr>
          <w:i/>
        </w:rPr>
        <w:instrText xml:space="preserve">See </w:instrText>
      </w:r>
      <w:r>
        <w:instrText>Department of Education and Training</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Environment</w:instrText>
      </w:r>
      <w:r w:rsidRPr="004643AA">
        <w:instrText>" \t "</w:instrText>
      </w:r>
      <w:r w:rsidRPr="004643AA">
        <w:rPr>
          <w:i/>
        </w:rPr>
        <w:instrText>See</w:instrText>
      </w:r>
      <w:r w:rsidRPr="004643AA">
        <w:instrText xml:space="preserve"> </w:instrText>
      </w:r>
      <w:r>
        <w:instrText>Environment and Department of Environment, Land, Water and Planning</w:instrText>
      </w:r>
      <w:r w:rsidRPr="004643AA">
        <w:instrText xml:space="preserve">" </w:instrText>
      </w:r>
      <w:r w:rsidRPr="004643AA">
        <w:fldChar w:fldCharType="end"/>
      </w:r>
      <w:r>
        <w:t xml:space="preserve"> </w:t>
      </w:r>
      <w:r w:rsidRPr="004643AA">
        <w:fldChar w:fldCharType="begin"/>
      </w:r>
      <w:r w:rsidRPr="004643AA">
        <w:instrText xml:space="preserve"> XE "</w:instrText>
      </w:r>
      <w:r>
        <w:instrText>Justice</w:instrText>
      </w:r>
      <w:r w:rsidRPr="004643AA">
        <w:instrText>" \t "</w:instrText>
      </w:r>
      <w:r w:rsidRPr="004643AA">
        <w:rPr>
          <w:i/>
        </w:rPr>
        <w:instrText>See</w:instrText>
      </w:r>
      <w:r>
        <w:rPr>
          <w:i/>
        </w:rPr>
        <w:instrText xml:space="preserve"> </w:instrText>
      </w:r>
      <w:r>
        <w:instrText>Department of Justice and Regulation</w:instrText>
      </w:r>
      <w:r w:rsidRPr="004643AA">
        <w:instrText xml:space="preserve">" </w:instrText>
      </w:r>
      <w:r w:rsidRPr="004643AA">
        <w:fldChar w:fldCharType="end"/>
      </w:r>
      <w:r>
        <w:t xml:space="preserve"> </w:t>
      </w:r>
    </w:p>
    <w:p w:rsidR="00772CF3" w:rsidRPr="005410D3" w:rsidRDefault="00772CF3" w:rsidP="00B37EF1">
      <w:pPr>
        <w:rPr>
          <w:rFonts w:asciiTheme="minorHAnsi" w:eastAsiaTheme="minorHAnsi" w:hAnsiTheme="minorHAnsi"/>
        </w:rPr>
      </w:pPr>
    </w:p>
    <w:sectPr w:rsidR="00772CF3" w:rsidRPr="005410D3" w:rsidSect="001C25A2">
      <w:type w:val="continuous"/>
      <w:pgSz w:w="9979" w:h="14181" w:code="138"/>
      <w:pgMar w:top="1138" w:right="1138" w:bottom="1138" w:left="1138" w:header="720"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CC6" w:rsidRDefault="00E25CC6" w:rsidP="00E25CC6">
      <w:pPr>
        <w:spacing w:after="0"/>
      </w:pPr>
      <w:r>
        <w:separator/>
      </w:r>
    </w:p>
  </w:endnote>
  <w:endnote w:type="continuationSeparator" w:id="0">
    <w:p w:rsidR="00E25CC6" w:rsidRDefault="00E25CC6" w:rsidP="00E25C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antGarde Bk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IC-Light">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F3" w:rsidRPr="002C3C9F" w:rsidRDefault="00772CF3" w:rsidP="002C3C9F">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122</w:t>
    </w:r>
    <w:r>
      <w:rPr>
        <w:rStyle w:val="PageNumber"/>
      </w:rPr>
      <w:fldChar w:fldCharType="end"/>
    </w:r>
    <w:r>
      <w:tab/>
      <w:t>Chapter 2</w:t>
    </w:r>
    <w:r>
      <w:tab/>
      <w:t>2016</w:t>
    </w:r>
    <w:r>
      <w:rPr>
        <w:rStyle w:val="PageNumber"/>
      </w:rPr>
      <w:noBreakHyphen/>
      <w:t>17</w:t>
    </w:r>
    <w:r>
      <w:t xml:space="preserve"> Service Delivery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Chapter 2</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121</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164</w:t>
    </w:r>
    <w:r>
      <w:rPr>
        <w:rStyle w:val="PageNumber"/>
      </w:rPr>
      <w:fldChar w:fldCharType="end"/>
    </w:r>
    <w:r>
      <w:tab/>
      <w:t>Economic Development, Jobs, Transport and Resources</w:t>
    </w:r>
    <w:r>
      <w:tab/>
      <w:t>2016</w:t>
    </w:r>
    <w:r>
      <w:rPr>
        <w:rStyle w:val="PageNumber"/>
      </w:rPr>
      <w:t>-17</w:t>
    </w:r>
    <w:r>
      <w:t xml:space="preserve"> Service Delivery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2016-17</w:t>
    </w:r>
    <w:r>
      <w:t xml:space="preserve"> Service Delivery</w:t>
    </w:r>
    <w:r>
      <w:tab/>
      <w:t>Economic Development, Jobs, Transport and Resources</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163</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192</w:t>
    </w:r>
    <w:r>
      <w:rPr>
        <w:rStyle w:val="PageNumber"/>
      </w:rPr>
      <w:fldChar w:fldCharType="end"/>
    </w:r>
    <w:r>
      <w:tab/>
      <w:t>Education and Training</w:t>
    </w:r>
    <w:r>
      <w:tab/>
      <w:t>2016</w:t>
    </w:r>
    <w:r>
      <w:rPr>
        <w:rStyle w:val="PageNumber"/>
      </w:rPr>
      <w:noBreakHyphen/>
      <w:t>17</w:t>
    </w:r>
    <w:r>
      <w:t xml:space="preserve"> Service Delivery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Education and Training</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191</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214</w:t>
    </w:r>
    <w:r>
      <w:rPr>
        <w:rStyle w:val="PageNumber"/>
      </w:rPr>
      <w:fldChar w:fldCharType="end"/>
    </w:r>
    <w:r>
      <w:tab/>
      <w:t>Environment, Land, Water and Planning</w:t>
    </w:r>
    <w:r>
      <w:tab/>
      <w:t>2016</w:t>
    </w:r>
    <w:r>
      <w:rPr>
        <w:rStyle w:val="PageNumber"/>
      </w:rPr>
      <w:noBreakHyphen/>
      <w:t>17</w:t>
    </w:r>
    <w:r>
      <w:t xml:space="preserve"> Service Delivery</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Environment, Land, Water and Planning</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215</w:t>
    </w:r>
    <w:r>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262</w:t>
    </w:r>
    <w:r>
      <w:rPr>
        <w:rStyle w:val="PageNumber"/>
      </w:rPr>
      <w:fldChar w:fldCharType="end"/>
    </w:r>
    <w:r>
      <w:tab/>
      <w:t>Health and Human Services</w:t>
    </w:r>
    <w:r>
      <w:tab/>
      <w:t>2016</w:t>
    </w:r>
    <w:r>
      <w:rPr>
        <w:rStyle w:val="PageNumber"/>
      </w:rPr>
      <w:noBreakHyphen/>
      <w:t>17</w:t>
    </w:r>
    <w:r>
      <w:t xml:space="preserve"> Service Delivery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CF3" w:rsidRDefault="00772CF3" w:rsidP="002C3C9F">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Health and Human Services</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261</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A331BD">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288</w:t>
    </w:r>
    <w:r>
      <w:rPr>
        <w:rStyle w:val="PageNumber"/>
      </w:rPr>
      <w:fldChar w:fldCharType="end"/>
    </w:r>
    <w:r>
      <w:tab/>
      <w:t>Justice and Regulation</w:t>
    </w:r>
    <w:r>
      <w:tab/>
      <w:t>2016</w:t>
    </w:r>
    <w:r>
      <w:rPr>
        <w:rStyle w:val="PageNumber"/>
      </w:rPr>
      <w:noBreakHyphen/>
      <w:t>17</w:t>
    </w:r>
    <w:r>
      <w:t xml:space="preserve"> Service Delivery</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A331BD">
    <w:pPr>
      <w:pStyle w:val="Footer"/>
      <w:tabs>
        <w:tab w:val="clear" w:pos="7085"/>
        <w:tab w:val="center" w:pos="4820"/>
        <w:tab w:val="right" w:pos="7655"/>
      </w:tabs>
      <w:spacing w:after="0"/>
    </w:pPr>
    <w:r>
      <w:rPr>
        <w:rStyle w:val="PageNumber"/>
      </w:rPr>
      <w:t>2016</w:t>
    </w:r>
    <w:r>
      <w:rPr>
        <w:rStyle w:val="PageNumber"/>
      </w:rPr>
      <w:noBreakHyphen/>
      <w:t>17</w:t>
    </w:r>
    <w:r>
      <w:t xml:space="preserve"> Service Delivery</w:t>
    </w:r>
    <w:r>
      <w:tab/>
      <w:t>Justice and Regulation</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287</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306</w:t>
    </w:r>
    <w:r>
      <w:rPr>
        <w:rStyle w:val="PageNumber"/>
      </w:rPr>
      <w:fldChar w:fldCharType="end"/>
    </w:r>
    <w:r>
      <w:tab/>
      <w:t>Premier and Cabinet</w:t>
    </w:r>
    <w:r>
      <w:tab/>
      <w:t>2016</w:t>
    </w:r>
    <w:r>
      <w:rPr>
        <w:rStyle w:val="PageNumber"/>
      </w:rPr>
      <w:noBreakHyphen/>
      <w:t>17</w:t>
    </w:r>
    <w:r>
      <w:t xml:space="preserve"> Service Delivery</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Premier and Cabinet</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307</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324</w:t>
    </w:r>
    <w:r>
      <w:rPr>
        <w:rStyle w:val="PageNumber"/>
      </w:rPr>
      <w:fldChar w:fldCharType="end"/>
    </w:r>
    <w:r>
      <w:tab/>
      <w:t>Treasury and Finance</w:t>
    </w:r>
    <w:r>
      <w:tab/>
      <w:t>2016</w:t>
    </w:r>
    <w:r>
      <w:rPr>
        <w:rStyle w:val="PageNumber"/>
      </w:rPr>
      <w:noBreakHyphen/>
      <w:t>17</w:t>
    </w:r>
    <w:r>
      <w:t xml:space="preserve"> Service Delivery</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Treasury and Finance</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325</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336</w:t>
    </w:r>
    <w:r>
      <w:rPr>
        <w:rStyle w:val="PageNumber"/>
      </w:rPr>
      <w:fldChar w:fldCharType="end"/>
    </w:r>
    <w:r>
      <w:tab/>
      <w:t>Parliament</w:t>
    </w:r>
    <w:r>
      <w:tab/>
      <w:t>2016</w:t>
    </w:r>
    <w:r>
      <w:rPr>
        <w:rStyle w:val="PageNumber"/>
      </w:rPr>
      <w:noBreakHyphen/>
      <w:t>17</w:t>
    </w:r>
    <w:r>
      <w:t xml:space="preserve"> Service Delivery</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Parliament</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335</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344</w:t>
    </w:r>
    <w:r>
      <w:rPr>
        <w:rStyle w:val="PageNumber"/>
      </w:rPr>
      <w:fldChar w:fldCharType="end"/>
    </w:r>
    <w:r>
      <w:tab/>
      <w:t>Courts</w:t>
    </w:r>
    <w:r>
      <w:tab/>
      <w:t>2016</w:t>
    </w:r>
    <w:r>
      <w:rPr>
        <w:rStyle w:val="PageNumber"/>
      </w:rPr>
      <w:noBreakHyphen/>
      <w:t>17</w:t>
    </w:r>
    <w:r>
      <w:t xml:space="preserve"> Service Delivery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B4" w:rsidRDefault="005538B4" w:rsidP="00772CF3">
    <w:pPr>
      <w:pStyle w:val="Footer"/>
      <w:pBdr>
        <w:top w:val="none" w:sz="0" w:space="0" w:color="auto"/>
      </w:pBd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Courts</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345</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362</w:t>
    </w:r>
    <w:r>
      <w:rPr>
        <w:rStyle w:val="PageNumber"/>
      </w:rPr>
      <w:fldChar w:fldCharType="end"/>
    </w:r>
    <w:r>
      <w:tab/>
      <w:t>Appendix A</w:t>
    </w:r>
    <w:r>
      <w:tab/>
      <w:t>2016</w:t>
    </w:r>
    <w:r>
      <w:rPr>
        <w:rStyle w:val="PageNumber"/>
      </w:rPr>
      <w:t>-17</w:t>
    </w:r>
    <w:r>
      <w:t xml:space="preserve"> Service Delivery</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2016-17</w:t>
    </w:r>
    <w:r>
      <w:t xml:space="preserve"> Service Delivery</w:t>
    </w:r>
    <w:r>
      <w:tab/>
      <w:t>Appendix A</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363</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372</w:t>
    </w:r>
    <w:r>
      <w:rPr>
        <w:rStyle w:val="PageNumber"/>
      </w:rPr>
      <w:fldChar w:fldCharType="end"/>
    </w:r>
    <w:r>
      <w:tab/>
      <w:t>Appendix B</w:t>
    </w:r>
    <w:r>
      <w:tab/>
      <w:t>2016</w:t>
    </w:r>
    <w:r>
      <w:rPr>
        <w:rStyle w:val="PageNumber"/>
      </w:rPr>
      <w:noBreakHyphen/>
      <w:t>17</w:t>
    </w:r>
    <w:r>
      <w:t xml:space="preserve"> Service Delivery</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Appendix B</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371</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374</w:t>
    </w:r>
    <w:r>
      <w:rPr>
        <w:rStyle w:val="PageNumber"/>
      </w:rPr>
      <w:fldChar w:fldCharType="end"/>
    </w:r>
    <w:r>
      <w:tab/>
    </w:r>
    <w:r>
      <w:rPr>
        <w:rFonts w:eastAsiaTheme="minorHAnsi"/>
      </w:rPr>
      <w:t>Style conventions</w:t>
    </w:r>
    <w:r>
      <w:tab/>
      <w:t>2016</w:t>
    </w:r>
    <w:r>
      <w:rPr>
        <w:rStyle w:val="PageNumber"/>
      </w:rPr>
      <w:t>-17</w:t>
    </w:r>
    <w:r>
      <w:t xml:space="preserve"> Service Delivery</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2016-17</w:t>
    </w:r>
    <w:r>
      <w:t xml:space="preserve"> Service Delivery</w:t>
    </w:r>
    <w:r>
      <w:tab/>
    </w:r>
    <w:r>
      <w:rPr>
        <w:rFonts w:eastAsiaTheme="minorHAnsi"/>
      </w:rPr>
      <w:t>Style conventions</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373</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378</w:t>
    </w:r>
    <w:r>
      <w:rPr>
        <w:rStyle w:val="PageNumber"/>
      </w:rPr>
      <w:fldChar w:fldCharType="end"/>
    </w:r>
    <w:r>
      <w:tab/>
      <w:t>Index</w:t>
    </w:r>
    <w:r>
      <w:tab/>
      <w:t>2016</w:t>
    </w:r>
    <w:r>
      <w:rPr>
        <w:rStyle w:val="PageNumber"/>
      </w:rPr>
      <w:t>-17</w:t>
    </w:r>
    <w:r>
      <w:t xml:space="preserve"> Service Delivery</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2016-17</w:t>
    </w:r>
    <w:r>
      <w:t xml:space="preserve"> Service Delivery</w:t>
    </w:r>
    <w:r>
      <w:tab/>
      <w:t>Index</w:t>
    </w:r>
    <w:r>
      <w:tab/>
    </w: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379</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Pr="00243370" w:rsidRDefault="00E25CC6" w:rsidP="007A3BD7">
    <w:pPr>
      <w:pStyle w:val="Footer"/>
      <w:pBdr>
        <w:top w:val="none" w:sz="0" w:space="0" w:color="auto"/>
      </w:pBdr>
      <w:jc w:val="center"/>
      <w:rPr>
        <w:rStyle w:val="PageNumber"/>
      </w:rPr>
    </w:pPr>
    <w:r>
      <w:rPr>
        <w:rStyle w:val="PageNumber"/>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B4" w:rsidRDefault="005538B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Pr="007A3BD7" w:rsidRDefault="00E25CC6" w:rsidP="007A3BD7">
    <w:pPr>
      <w:rPr>
        <w:rStyle w:val="PageNumber"/>
      </w:rPr>
    </w:pPr>
    <w:r w:rsidRPr="007A3BD7">
      <w:rPr>
        <w:rStyle w:val="PageNumber"/>
      </w:rPr>
      <w:fldChar w:fldCharType="begin"/>
    </w:r>
    <w:r w:rsidRPr="007A3BD7">
      <w:rPr>
        <w:rStyle w:val="PageNumber"/>
      </w:rPr>
      <w:instrText xml:space="preserve"> PAGE  \* roman  \* MERGEFORMAT </w:instrText>
    </w:r>
    <w:r w:rsidRPr="007A3BD7">
      <w:rPr>
        <w:rStyle w:val="PageNumber"/>
      </w:rPr>
      <w:fldChar w:fldCharType="separate"/>
    </w:r>
    <w:r w:rsidR="00584E38">
      <w:rPr>
        <w:rStyle w:val="PageNumber"/>
        <w:noProof/>
      </w:rPr>
      <w:t>ii</w:t>
    </w:r>
    <w:r w:rsidRPr="007A3BD7">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Pr="007A3BD7" w:rsidRDefault="00E25CC6" w:rsidP="007A3BD7">
    <w:pPr>
      <w:pStyle w:val="Footer"/>
      <w:pBdr>
        <w:top w:val="none" w:sz="0" w:space="0" w:color="auto"/>
      </w:pBdr>
      <w:jc w:val="center"/>
      <w:rPr>
        <w:rStyle w:val="PageNumber"/>
      </w:rPr>
    </w:pPr>
    <w:r>
      <w:rPr>
        <w:rStyle w:val="PageNumber"/>
      </w:rPr>
      <w:tab/>
    </w:r>
    <w:r w:rsidRPr="007A3BD7">
      <w:rPr>
        <w:rStyle w:val="PageNumber"/>
      </w:rPr>
      <w:fldChar w:fldCharType="begin"/>
    </w:r>
    <w:r w:rsidRPr="007A3BD7">
      <w:rPr>
        <w:rStyle w:val="PageNumber"/>
      </w:rPr>
      <w:instrText xml:space="preserve"> PAGE  \* roman  \* MERGEFORMAT </w:instrText>
    </w:r>
    <w:r w:rsidRPr="007A3BD7">
      <w:rPr>
        <w:rStyle w:val="PageNumber"/>
      </w:rPr>
      <w:fldChar w:fldCharType="separate"/>
    </w:r>
    <w:r w:rsidR="00584E38">
      <w:rPr>
        <w:rStyle w:val="PageNumber"/>
        <w:noProof/>
      </w:rPr>
      <w:t>i</w:t>
    </w:r>
    <w:r w:rsidRPr="007A3BD7">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2835"/>
        <w:tab w:val="right" w:pos="7655"/>
      </w:tabs>
      <w:spacing w:after="0"/>
    </w:pPr>
    <w:r>
      <w:rPr>
        <w:rStyle w:val="PageNumber"/>
      </w:rPr>
      <w:fldChar w:fldCharType="begin"/>
    </w:r>
    <w:r>
      <w:rPr>
        <w:rStyle w:val="PageNumber"/>
      </w:rPr>
      <w:instrText xml:space="preserve"> PAGE </w:instrText>
    </w:r>
    <w:r>
      <w:rPr>
        <w:rStyle w:val="PageNumber"/>
      </w:rPr>
      <w:fldChar w:fldCharType="separate"/>
    </w:r>
    <w:r w:rsidR="00772CF3">
      <w:rPr>
        <w:rStyle w:val="PageNumber"/>
        <w:noProof/>
      </w:rPr>
      <w:t>2</w:t>
    </w:r>
    <w:r>
      <w:rPr>
        <w:rStyle w:val="PageNumber"/>
      </w:rPr>
      <w:fldChar w:fldCharType="end"/>
    </w:r>
    <w:r>
      <w:tab/>
      <w:t>Chapter 1</w:t>
    </w:r>
    <w:r>
      <w:tab/>
      <w:t>2016</w:t>
    </w:r>
    <w:r>
      <w:rPr>
        <w:rStyle w:val="PageNumber"/>
      </w:rPr>
      <w:noBreakHyphen/>
      <w:t>17</w:t>
    </w:r>
    <w:r>
      <w:t xml:space="preserve"> Service Delivery</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rsidP="00C97E08">
    <w:pPr>
      <w:pStyle w:val="Footer"/>
      <w:tabs>
        <w:tab w:val="clear" w:pos="7085"/>
        <w:tab w:val="center" w:pos="4820"/>
        <w:tab w:val="right" w:pos="7655"/>
      </w:tabs>
      <w:spacing w:after="0"/>
      <w:rPr>
        <w:rStyle w:val="PageNumber"/>
      </w:rPr>
    </w:pPr>
    <w:r>
      <w:rPr>
        <w:rStyle w:val="PageNumber"/>
      </w:rPr>
      <w:t>2016</w:t>
    </w:r>
    <w:r>
      <w:rPr>
        <w:rStyle w:val="PageNumber"/>
      </w:rPr>
      <w:noBreakHyphen/>
      <w:t>17</w:t>
    </w:r>
    <w:r>
      <w:t xml:space="preserve"> Service Delivery</w:t>
    </w:r>
    <w:r>
      <w:tab/>
      <w:t>Chapter 1</w:t>
    </w:r>
    <w:r>
      <w:tab/>
    </w:r>
    <w:r>
      <w:rPr>
        <w:rStyle w:val="PageNumber"/>
      </w:rPr>
      <w:fldChar w:fldCharType="begin"/>
    </w:r>
    <w:r>
      <w:rPr>
        <w:rStyle w:val="PageNumber"/>
      </w:rPr>
      <w:instrText xml:space="preserve"> PAGE </w:instrText>
    </w:r>
    <w:r>
      <w:rPr>
        <w:rStyle w:val="PageNumber"/>
      </w:rPr>
      <w:fldChar w:fldCharType="separate"/>
    </w:r>
    <w:r w:rsidR="00584E38">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CC6" w:rsidRDefault="00E25CC6" w:rsidP="00E25CC6">
      <w:pPr>
        <w:spacing w:after="0"/>
      </w:pPr>
      <w:r>
        <w:separator/>
      </w:r>
    </w:p>
  </w:footnote>
  <w:footnote w:type="continuationSeparator" w:id="0">
    <w:p w:rsidR="00E25CC6" w:rsidRDefault="00E25CC6" w:rsidP="00E25CC6">
      <w:pPr>
        <w:spacing w:after="0"/>
      </w:pPr>
      <w:r>
        <w:continuationSeparator/>
      </w:r>
    </w:p>
  </w:footnote>
  <w:footnote w:id="1">
    <w:p w:rsidR="00E25CC6" w:rsidRPr="0000068E" w:rsidRDefault="00E25CC6">
      <w:pPr>
        <w:pStyle w:val="FootnoteText"/>
        <w:rPr>
          <w:i/>
        </w:rPr>
      </w:pPr>
      <w:r>
        <w:rPr>
          <w:rStyle w:val="FootnoteReference"/>
        </w:rPr>
        <w:footnoteRef/>
      </w:r>
      <w:r>
        <w:t xml:space="preserve"> Victorian Auditor</w:t>
      </w:r>
      <w:r>
        <w:noBreakHyphen/>
        <w:t xml:space="preserve">General’s </w:t>
      </w:r>
      <w:r>
        <w:rPr>
          <w:i/>
        </w:rPr>
        <w:t>Local Government : 2014</w:t>
      </w:r>
      <w:r>
        <w:rPr>
          <w:i/>
        </w:rPr>
        <w:noBreakHyphen/>
        <w:t>15 Audit Snapshot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B4" w:rsidRDefault="005538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B4" w:rsidRDefault="005538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B4" w:rsidRDefault="005538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CC6" w:rsidRDefault="00E25C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E8E0FC"/>
    <w:lvl w:ilvl="0">
      <w:start w:val="1"/>
      <w:numFmt w:val="decimal"/>
      <w:lvlText w:val="%1."/>
      <w:lvlJc w:val="left"/>
      <w:pPr>
        <w:tabs>
          <w:tab w:val="num" w:pos="1492"/>
        </w:tabs>
        <w:ind w:left="1492" w:hanging="360"/>
      </w:pPr>
    </w:lvl>
  </w:abstractNum>
  <w:abstractNum w:abstractNumId="1">
    <w:nsid w:val="FFFFFF7D"/>
    <w:multiLevelType w:val="singleLevel"/>
    <w:tmpl w:val="CCC40456"/>
    <w:lvl w:ilvl="0">
      <w:start w:val="1"/>
      <w:numFmt w:val="decimal"/>
      <w:lvlText w:val="%1."/>
      <w:lvlJc w:val="left"/>
      <w:pPr>
        <w:tabs>
          <w:tab w:val="num" w:pos="1209"/>
        </w:tabs>
        <w:ind w:left="1209" w:hanging="360"/>
      </w:pPr>
    </w:lvl>
  </w:abstractNum>
  <w:abstractNum w:abstractNumId="2">
    <w:nsid w:val="FFFFFF7E"/>
    <w:multiLevelType w:val="singleLevel"/>
    <w:tmpl w:val="0D1C5FF2"/>
    <w:lvl w:ilvl="0">
      <w:start w:val="1"/>
      <w:numFmt w:val="decimal"/>
      <w:lvlText w:val="%1."/>
      <w:lvlJc w:val="left"/>
      <w:pPr>
        <w:tabs>
          <w:tab w:val="num" w:pos="926"/>
        </w:tabs>
        <w:ind w:left="926" w:hanging="360"/>
      </w:pPr>
    </w:lvl>
  </w:abstractNum>
  <w:abstractNum w:abstractNumId="3">
    <w:nsid w:val="FFFFFF7F"/>
    <w:multiLevelType w:val="singleLevel"/>
    <w:tmpl w:val="39CCAD5E"/>
    <w:lvl w:ilvl="0">
      <w:start w:val="1"/>
      <w:numFmt w:val="decimal"/>
      <w:lvlText w:val="%1."/>
      <w:lvlJc w:val="left"/>
      <w:pPr>
        <w:tabs>
          <w:tab w:val="num" w:pos="643"/>
        </w:tabs>
        <w:ind w:left="643" w:hanging="360"/>
      </w:pPr>
    </w:lvl>
  </w:abstractNum>
  <w:abstractNum w:abstractNumId="4">
    <w:nsid w:val="FFFFFF80"/>
    <w:multiLevelType w:val="singleLevel"/>
    <w:tmpl w:val="9580FB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6DE328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EF01D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AB63F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B0AF538"/>
    <w:lvl w:ilvl="0">
      <w:start w:val="1"/>
      <w:numFmt w:val="decimal"/>
      <w:lvlText w:val="%1."/>
      <w:lvlJc w:val="left"/>
      <w:pPr>
        <w:tabs>
          <w:tab w:val="num" w:pos="360"/>
        </w:tabs>
        <w:ind w:left="360" w:hanging="360"/>
      </w:pPr>
    </w:lvl>
  </w:abstractNum>
  <w:abstractNum w:abstractNumId="9">
    <w:nsid w:val="FFFFFF89"/>
    <w:multiLevelType w:val="singleLevel"/>
    <w:tmpl w:val="4EA0D4FE"/>
    <w:lvl w:ilvl="0">
      <w:start w:val="1"/>
      <w:numFmt w:val="bullet"/>
      <w:lvlText w:val=""/>
      <w:lvlJc w:val="left"/>
      <w:pPr>
        <w:tabs>
          <w:tab w:val="num" w:pos="360"/>
        </w:tabs>
        <w:ind w:left="360" w:hanging="360"/>
      </w:pPr>
      <w:rPr>
        <w:rFonts w:ascii="Symbol" w:hAnsi="Symbol" w:hint="default"/>
      </w:rPr>
    </w:lvl>
  </w:abstractNum>
  <w:abstractNum w:abstractNumId="1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1">
    <w:nsid w:val="0A7B4952"/>
    <w:multiLevelType w:val="multilevel"/>
    <w:tmpl w:val="CFA0AB76"/>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E9098C"/>
    <w:multiLevelType w:val="multilevel"/>
    <w:tmpl w:val="F8FC7B5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D0C3FB2"/>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9267CE4"/>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1D297112"/>
    <w:multiLevelType w:val="multilevel"/>
    <w:tmpl w:val="E66C4E04"/>
    <w:lvl w:ilvl="0">
      <w:start w:val="1"/>
      <w:numFmt w:val="bullet"/>
      <w:lvlText w:val=""/>
      <w:lvlJc w:val="left"/>
      <w:pPr>
        <w:tabs>
          <w:tab w:val="num" w:pos="86"/>
        </w:tabs>
        <w:ind w:left="446" w:firstLine="0"/>
      </w:pPr>
      <w:rPr>
        <w:rFonts w:ascii="Symbol" w:hAnsi="Symbol"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0AE6B6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1557698"/>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3494EDF"/>
    <w:multiLevelType w:val="multilevel"/>
    <w:tmpl w:val="812C00D2"/>
    <w:lvl w:ilvl="0">
      <w:start w:val="1"/>
      <w:numFmt w:val="upperLetter"/>
      <w:lvlText w:val="(%1)"/>
      <w:lvlJc w:val="left"/>
      <w:pPr>
        <w:tabs>
          <w:tab w:val="num" w:pos="86"/>
        </w:tabs>
        <w:ind w:left="720" w:hanging="720"/>
      </w:pPr>
      <w:rPr>
        <w:rFonts w:hint="default"/>
        <w:sz w:val="20"/>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246A3D1C"/>
    <w:multiLevelType w:val="multilevel"/>
    <w:tmpl w:val="D4CE75F8"/>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6A54181"/>
    <w:multiLevelType w:val="singleLevel"/>
    <w:tmpl w:val="22D246C6"/>
    <w:lvl w:ilvl="0">
      <w:start w:val="1"/>
      <w:numFmt w:val="bullet"/>
      <w:lvlText w:val=""/>
      <w:lvlJc w:val="left"/>
      <w:pPr>
        <w:tabs>
          <w:tab w:val="num" w:pos="360"/>
        </w:tabs>
        <w:ind w:left="360" w:hanging="360"/>
      </w:pPr>
      <w:rPr>
        <w:rFonts w:ascii="Symbol" w:hAnsi="Symbol" w:hint="default"/>
        <w:sz w:val="16"/>
      </w:rPr>
    </w:lvl>
  </w:abstractNum>
  <w:abstractNum w:abstractNumId="21">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nsid w:val="3840289F"/>
    <w:multiLevelType w:val="multilevel"/>
    <w:tmpl w:val="B2A4AE0C"/>
    <w:lvl w:ilvl="0">
      <w:start w:val="1"/>
      <w:numFmt w:val="upperLetter"/>
      <w:lvlText w:val="(%1)"/>
      <w:lvlJc w:val="left"/>
      <w:pPr>
        <w:tabs>
          <w:tab w:val="num" w:pos="720"/>
        </w:tabs>
        <w:ind w:left="720" w:hanging="720"/>
      </w:pPr>
      <w:rPr>
        <w:rFonts w:ascii="Calibri" w:hAnsi="Calibri"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CFC52E9"/>
    <w:multiLevelType w:val="hybridMultilevel"/>
    <w:tmpl w:val="D174DAAA"/>
    <w:lvl w:ilvl="0" w:tplc="40B48826">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D5D499C"/>
    <w:multiLevelType w:val="hybridMultilevel"/>
    <w:tmpl w:val="F744A156"/>
    <w:lvl w:ilvl="0" w:tplc="366639A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46D3A6A"/>
    <w:multiLevelType w:val="multilevel"/>
    <w:tmpl w:val="8BFEF890"/>
    <w:lvl w:ilvl="0">
      <w:start w:val="1"/>
      <w:numFmt w:val="bullet"/>
      <w:pStyle w:val="Bullet1"/>
      <w:lvlText w:val=""/>
      <w:lvlJc w:val="left"/>
      <w:pPr>
        <w:tabs>
          <w:tab w:val="num" w:pos="504"/>
        </w:tabs>
        <w:ind w:left="504" w:hanging="504"/>
      </w:pPr>
      <w:rPr>
        <w:rFonts w:ascii="Symbol" w:hAnsi="Symbol" w:hint="default"/>
        <w:b w:val="0"/>
        <w:i w:val="0"/>
        <w:vanish w:val="0"/>
        <w:color w:val="auto"/>
        <w:sz w:val="19"/>
        <w:szCs w:val="19"/>
      </w:rPr>
    </w:lvl>
    <w:lvl w:ilvl="1">
      <w:start w:val="1"/>
      <w:numFmt w:val="bullet"/>
      <w:pStyle w:val="Bullet2"/>
      <w:lvlText w:val="–"/>
      <w:lvlJc w:val="left"/>
      <w:pPr>
        <w:tabs>
          <w:tab w:val="num" w:pos="864"/>
        </w:tabs>
        <w:ind w:left="864"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7">
    <w:nsid w:val="458671A9"/>
    <w:multiLevelType w:val="multilevel"/>
    <w:tmpl w:val="13A4F39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45E2264B"/>
    <w:multiLevelType w:val="hybridMultilevel"/>
    <w:tmpl w:val="7F045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A2C4E32"/>
    <w:multiLevelType w:val="multilevel"/>
    <w:tmpl w:val="5FFA8F6A"/>
    <w:lvl w:ilvl="0">
      <w:start w:val="1"/>
      <w:numFmt w:val="upperLetter"/>
      <w:lvlText w:val="(%1)"/>
      <w:lvlJc w:val="left"/>
      <w:pPr>
        <w:tabs>
          <w:tab w:val="num" w:pos="720"/>
        </w:tabs>
        <w:ind w:left="720" w:hanging="720"/>
      </w:pPr>
      <w:rPr>
        <w:rFonts w:ascii="Arial" w:hAnsi="Arial"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4BB94889"/>
    <w:multiLevelType w:val="hybridMultilevel"/>
    <w:tmpl w:val="CFA0AB76"/>
    <w:lvl w:ilvl="0" w:tplc="6052C808">
      <w:start w:val="1"/>
      <w:numFmt w:val="upp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4E47526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F0A7EE4"/>
    <w:multiLevelType w:val="hybridMultilevel"/>
    <w:tmpl w:val="64F6A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0830342"/>
    <w:multiLevelType w:val="hybridMultilevel"/>
    <w:tmpl w:val="DFE86BC8"/>
    <w:lvl w:ilvl="0" w:tplc="40FA46C2">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31A62A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6984B24"/>
    <w:multiLevelType w:val="multilevel"/>
    <w:tmpl w:val="2D149DDA"/>
    <w:lvl w:ilvl="0">
      <w:start w:val="1"/>
      <w:numFmt w:val="upperLetter"/>
      <w:lvlText w:val="(%1)"/>
      <w:lvlJc w:val="left"/>
      <w:pPr>
        <w:tabs>
          <w:tab w:val="num" w:pos="720"/>
        </w:tabs>
        <w:ind w:left="720" w:hanging="720"/>
      </w:pPr>
      <w:rPr>
        <w:rFonts w:ascii="AvantGarde Bk BT" w:hAnsi="AvantGarde Bk BT" w:hint="default"/>
        <w:sz w:val="22"/>
        <w:szCs w:val="22"/>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56FB2E0B"/>
    <w:multiLevelType w:val="hybridMultilevel"/>
    <w:tmpl w:val="EDCE7868"/>
    <w:lvl w:ilvl="0" w:tplc="D2745096">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7">
    <w:nsid w:val="6E661EC9"/>
    <w:multiLevelType w:val="hybridMultilevel"/>
    <w:tmpl w:val="BC361348"/>
    <w:lvl w:ilvl="0" w:tplc="164E2324">
      <w:start w:val="1"/>
      <w:numFmt w:val="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38">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26301EE"/>
    <w:multiLevelType w:val="hybridMultilevel"/>
    <w:tmpl w:val="5DF27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2806EAF"/>
    <w:multiLevelType w:val="hybridMultilevel"/>
    <w:tmpl w:val="2F58BF86"/>
    <w:lvl w:ilvl="0" w:tplc="EBB04D60">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8441FB3"/>
    <w:multiLevelType w:val="hybridMultilevel"/>
    <w:tmpl w:val="F39674F4"/>
    <w:lvl w:ilvl="0" w:tplc="3EEC34DA">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92603EA"/>
    <w:multiLevelType w:val="singleLevel"/>
    <w:tmpl w:val="9DB0D9C8"/>
    <w:lvl w:ilvl="0">
      <w:start w:val="1"/>
      <w:numFmt w:val="bullet"/>
      <w:lvlText w:val=""/>
      <w:lvlJc w:val="left"/>
      <w:pPr>
        <w:tabs>
          <w:tab w:val="num" w:pos="360"/>
        </w:tabs>
        <w:ind w:left="360" w:hanging="360"/>
      </w:pPr>
      <w:rPr>
        <w:rFonts w:ascii="Symbol" w:hAnsi="Symbol" w:hint="default"/>
        <w:sz w:val="20"/>
      </w:rPr>
    </w:lvl>
  </w:abstractNum>
  <w:abstractNum w:abstractNumId="43">
    <w:nsid w:val="7F791EB1"/>
    <w:multiLevelType w:val="hybridMultilevel"/>
    <w:tmpl w:val="246C8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6"/>
  </w:num>
  <w:num w:numId="3">
    <w:abstractNumId w:val="38"/>
  </w:num>
  <w:num w:numId="4">
    <w:abstractNumId w:val="22"/>
  </w:num>
  <w:num w:numId="5">
    <w:abstractNumId w:val="24"/>
  </w:num>
  <w:num w:numId="6">
    <w:abstractNumId w:val="21"/>
  </w:num>
  <w:num w:numId="7">
    <w:abstractNumId w:val="26"/>
  </w:num>
  <w:num w:numId="8">
    <w:abstractNumId w:val="33"/>
  </w:num>
  <w:num w:numId="9">
    <w:abstractNumId w:val="25"/>
  </w:num>
  <w:num w:numId="10">
    <w:abstractNumId w:val="9"/>
  </w:num>
  <w:num w:numId="11">
    <w:abstractNumId w:val="20"/>
  </w:num>
  <w:num w:numId="12">
    <w:abstractNumId w:val="42"/>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37"/>
  </w:num>
  <w:num w:numId="23">
    <w:abstractNumId w:val="15"/>
  </w:num>
  <w:num w:numId="24">
    <w:abstractNumId w:val="30"/>
  </w:num>
  <w:num w:numId="25">
    <w:abstractNumId w:val="11"/>
  </w:num>
  <w:num w:numId="26">
    <w:abstractNumId w:val="18"/>
  </w:num>
  <w:num w:numId="27">
    <w:abstractNumId w:val="40"/>
  </w:num>
  <w:num w:numId="28">
    <w:abstractNumId w:val="12"/>
  </w:num>
  <w:num w:numId="29">
    <w:abstractNumId w:val="41"/>
  </w:num>
  <w:num w:numId="30">
    <w:abstractNumId w:val="19"/>
  </w:num>
  <w:num w:numId="31">
    <w:abstractNumId w:val="17"/>
  </w:num>
  <w:num w:numId="32">
    <w:abstractNumId w:val="27"/>
  </w:num>
  <w:num w:numId="33">
    <w:abstractNumId w:val="13"/>
  </w:num>
  <w:num w:numId="34">
    <w:abstractNumId w:val="29"/>
  </w:num>
  <w:num w:numId="35">
    <w:abstractNumId w:val="35"/>
  </w:num>
  <w:num w:numId="36">
    <w:abstractNumId w:val="23"/>
  </w:num>
  <w:num w:numId="37">
    <w:abstractNumId w:val="14"/>
  </w:num>
  <w:num w:numId="38">
    <w:abstractNumId w:val="43"/>
  </w:num>
  <w:num w:numId="39">
    <w:abstractNumId w:val="31"/>
  </w:num>
  <w:num w:numId="40">
    <w:abstractNumId w:val="34"/>
  </w:num>
  <w:num w:numId="41">
    <w:abstractNumId w:val="16"/>
  </w:num>
  <w:num w:numId="42">
    <w:abstractNumId w:val="32"/>
  </w:num>
  <w:num w:numId="43">
    <w:abstractNumId w:val="39"/>
  </w:num>
  <w:num w:numId="4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autoFormatOverride/>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370"/>
    <w:rsid w:val="0000414E"/>
    <w:rsid w:val="00006F06"/>
    <w:rsid w:val="00007537"/>
    <w:rsid w:val="00010EC5"/>
    <w:rsid w:val="00020E91"/>
    <w:rsid w:val="00021CE5"/>
    <w:rsid w:val="000221B3"/>
    <w:rsid w:val="00031488"/>
    <w:rsid w:val="00035734"/>
    <w:rsid w:val="000362EA"/>
    <w:rsid w:val="00041292"/>
    <w:rsid w:val="00043F9F"/>
    <w:rsid w:val="000451B1"/>
    <w:rsid w:val="00050885"/>
    <w:rsid w:val="000558B6"/>
    <w:rsid w:val="00056F1F"/>
    <w:rsid w:val="00060942"/>
    <w:rsid w:val="00061F50"/>
    <w:rsid w:val="00062624"/>
    <w:rsid w:val="00064FD8"/>
    <w:rsid w:val="00072B82"/>
    <w:rsid w:val="000771C1"/>
    <w:rsid w:val="000804F8"/>
    <w:rsid w:val="000868E5"/>
    <w:rsid w:val="000925EA"/>
    <w:rsid w:val="00093898"/>
    <w:rsid w:val="000A5321"/>
    <w:rsid w:val="000B1105"/>
    <w:rsid w:val="000B12EE"/>
    <w:rsid w:val="000B1B53"/>
    <w:rsid w:val="000B2895"/>
    <w:rsid w:val="000C1027"/>
    <w:rsid w:val="000C18E1"/>
    <w:rsid w:val="000D652A"/>
    <w:rsid w:val="000E725D"/>
    <w:rsid w:val="000F7A20"/>
    <w:rsid w:val="00100FCC"/>
    <w:rsid w:val="00121D86"/>
    <w:rsid w:val="00130570"/>
    <w:rsid w:val="001368DE"/>
    <w:rsid w:val="00140C5B"/>
    <w:rsid w:val="00150818"/>
    <w:rsid w:val="00150C34"/>
    <w:rsid w:val="00154535"/>
    <w:rsid w:val="0015668D"/>
    <w:rsid w:val="00157854"/>
    <w:rsid w:val="0016459F"/>
    <w:rsid w:val="00170A52"/>
    <w:rsid w:val="00176CD6"/>
    <w:rsid w:val="0017767A"/>
    <w:rsid w:val="00185277"/>
    <w:rsid w:val="001856DE"/>
    <w:rsid w:val="001A7ED4"/>
    <w:rsid w:val="001C0D0F"/>
    <w:rsid w:val="001C1EAD"/>
    <w:rsid w:val="001C25A2"/>
    <w:rsid w:val="001C2F60"/>
    <w:rsid w:val="001C6D0D"/>
    <w:rsid w:val="001D18E7"/>
    <w:rsid w:val="001D5206"/>
    <w:rsid w:val="001E15F3"/>
    <w:rsid w:val="001E38C0"/>
    <w:rsid w:val="001F386B"/>
    <w:rsid w:val="001F3DDD"/>
    <w:rsid w:val="001F4F89"/>
    <w:rsid w:val="0020013B"/>
    <w:rsid w:val="0020223B"/>
    <w:rsid w:val="002031D3"/>
    <w:rsid w:val="00225DCD"/>
    <w:rsid w:val="0023358D"/>
    <w:rsid w:val="00240744"/>
    <w:rsid w:val="002411D9"/>
    <w:rsid w:val="00243370"/>
    <w:rsid w:val="00245DCF"/>
    <w:rsid w:val="0025606D"/>
    <w:rsid w:val="00262B57"/>
    <w:rsid w:val="00267A1E"/>
    <w:rsid w:val="002733B3"/>
    <w:rsid w:val="00282839"/>
    <w:rsid w:val="002860E6"/>
    <w:rsid w:val="002B15CD"/>
    <w:rsid w:val="002B5189"/>
    <w:rsid w:val="002C04C2"/>
    <w:rsid w:val="002C1C0D"/>
    <w:rsid w:val="002D0C50"/>
    <w:rsid w:val="002D2E5D"/>
    <w:rsid w:val="002D4189"/>
    <w:rsid w:val="002D7692"/>
    <w:rsid w:val="002E0D69"/>
    <w:rsid w:val="002E22B8"/>
    <w:rsid w:val="002E31A2"/>
    <w:rsid w:val="002E5C62"/>
    <w:rsid w:val="002E7278"/>
    <w:rsid w:val="002F3CB5"/>
    <w:rsid w:val="003010A2"/>
    <w:rsid w:val="003014B4"/>
    <w:rsid w:val="00302525"/>
    <w:rsid w:val="00304B41"/>
    <w:rsid w:val="00322573"/>
    <w:rsid w:val="00322DD7"/>
    <w:rsid w:val="003233E0"/>
    <w:rsid w:val="003259E9"/>
    <w:rsid w:val="0032698D"/>
    <w:rsid w:val="0033005B"/>
    <w:rsid w:val="003352CE"/>
    <w:rsid w:val="00341734"/>
    <w:rsid w:val="00341E1B"/>
    <w:rsid w:val="00342ECD"/>
    <w:rsid w:val="00346956"/>
    <w:rsid w:val="00346AFE"/>
    <w:rsid w:val="003511F8"/>
    <w:rsid w:val="003553FF"/>
    <w:rsid w:val="00364C8B"/>
    <w:rsid w:val="0036725D"/>
    <w:rsid w:val="003819A4"/>
    <w:rsid w:val="00382EC5"/>
    <w:rsid w:val="003926C8"/>
    <w:rsid w:val="00393C58"/>
    <w:rsid w:val="0039472C"/>
    <w:rsid w:val="0039576F"/>
    <w:rsid w:val="00397F02"/>
    <w:rsid w:val="003A36C4"/>
    <w:rsid w:val="003C0422"/>
    <w:rsid w:val="003C2F48"/>
    <w:rsid w:val="003C3AAE"/>
    <w:rsid w:val="003E2EE8"/>
    <w:rsid w:val="003E31E5"/>
    <w:rsid w:val="003E5374"/>
    <w:rsid w:val="003E5F71"/>
    <w:rsid w:val="003E6F5A"/>
    <w:rsid w:val="003F15E7"/>
    <w:rsid w:val="003F4955"/>
    <w:rsid w:val="00401AD6"/>
    <w:rsid w:val="00402B50"/>
    <w:rsid w:val="004046AE"/>
    <w:rsid w:val="00406F75"/>
    <w:rsid w:val="00411AEE"/>
    <w:rsid w:val="00412BC0"/>
    <w:rsid w:val="004274F6"/>
    <w:rsid w:val="00437861"/>
    <w:rsid w:val="00446F20"/>
    <w:rsid w:val="00455F51"/>
    <w:rsid w:val="00465985"/>
    <w:rsid w:val="0046648A"/>
    <w:rsid w:val="0046774A"/>
    <w:rsid w:val="00472150"/>
    <w:rsid w:val="0047243E"/>
    <w:rsid w:val="00476A86"/>
    <w:rsid w:val="00480ADD"/>
    <w:rsid w:val="004828FB"/>
    <w:rsid w:val="00485CB3"/>
    <w:rsid w:val="0048776C"/>
    <w:rsid w:val="00492D93"/>
    <w:rsid w:val="00497606"/>
    <w:rsid w:val="004C08B1"/>
    <w:rsid w:val="004C3F0D"/>
    <w:rsid w:val="004C654C"/>
    <w:rsid w:val="004C767D"/>
    <w:rsid w:val="004D2300"/>
    <w:rsid w:val="004D392F"/>
    <w:rsid w:val="004D3DE7"/>
    <w:rsid w:val="004F0906"/>
    <w:rsid w:val="004F1592"/>
    <w:rsid w:val="004F6EFF"/>
    <w:rsid w:val="004F779D"/>
    <w:rsid w:val="00503A10"/>
    <w:rsid w:val="005040D7"/>
    <w:rsid w:val="0050487A"/>
    <w:rsid w:val="0050690B"/>
    <w:rsid w:val="00507425"/>
    <w:rsid w:val="0051195C"/>
    <w:rsid w:val="005142C4"/>
    <w:rsid w:val="00515C51"/>
    <w:rsid w:val="00516DF2"/>
    <w:rsid w:val="00522994"/>
    <w:rsid w:val="00531A3D"/>
    <w:rsid w:val="00533108"/>
    <w:rsid w:val="005410D3"/>
    <w:rsid w:val="005429ED"/>
    <w:rsid w:val="00545CA0"/>
    <w:rsid w:val="00547E3B"/>
    <w:rsid w:val="005538B4"/>
    <w:rsid w:val="005552E0"/>
    <w:rsid w:val="00561253"/>
    <w:rsid w:val="005659B1"/>
    <w:rsid w:val="00565C3C"/>
    <w:rsid w:val="00571E1E"/>
    <w:rsid w:val="00572DD3"/>
    <w:rsid w:val="00576FDF"/>
    <w:rsid w:val="00584E38"/>
    <w:rsid w:val="00595530"/>
    <w:rsid w:val="0059636A"/>
    <w:rsid w:val="00597626"/>
    <w:rsid w:val="005A0574"/>
    <w:rsid w:val="005A6362"/>
    <w:rsid w:val="005A6BE2"/>
    <w:rsid w:val="005A6FB4"/>
    <w:rsid w:val="005B081E"/>
    <w:rsid w:val="005B2863"/>
    <w:rsid w:val="005B41A8"/>
    <w:rsid w:val="005B54F2"/>
    <w:rsid w:val="005C1363"/>
    <w:rsid w:val="005C361B"/>
    <w:rsid w:val="005C7712"/>
    <w:rsid w:val="005D65C9"/>
    <w:rsid w:val="005D67FF"/>
    <w:rsid w:val="005D76F8"/>
    <w:rsid w:val="005D78C9"/>
    <w:rsid w:val="005E0AA3"/>
    <w:rsid w:val="005E17AB"/>
    <w:rsid w:val="005E5FCA"/>
    <w:rsid w:val="005F67EF"/>
    <w:rsid w:val="00602BE7"/>
    <w:rsid w:val="00605F2A"/>
    <w:rsid w:val="006065F4"/>
    <w:rsid w:val="0060685C"/>
    <w:rsid w:val="00606A43"/>
    <w:rsid w:val="00620D36"/>
    <w:rsid w:val="006306E9"/>
    <w:rsid w:val="00635546"/>
    <w:rsid w:val="00640C15"/>
    <w:rsid w:val="00641E21"/>
    <w:rsid w:val="00642BF1"/>
    <w:rsid w:val="00643DF9"/>
    <w:rsid w:val="00654E77"/>
    <w:rsid w:val="006568CD"/>
    <w:rsid w:val="00666CB7"/>
    <w:rsid w:val="00667796"/>
    <w:rsid w:val="00674B54"/>
    <w:rsid w:val="00677E49"/>
    <w:rsid w:val="0068185C"/>
    <w:rsid w:val="006841B2"/>
    <w:rsid w:val="00686543"/>
    <w:rsid w:val="0068681D"/>
    <w:rsid w:val="006A6CEB"/>
    <w:rsid w:val="006A7B84"/>
    <w:rsid w:val="006B4753"/>
    <w:rsid w:val="006C5EC5"/>
    <w:rsid w:val="006D02ED"/>
    <w:rsid w:val="006D0DC3"/>
    <w:rsid w:val="006D1E53"/>
    <w:rsid w:val="006E4730"/>
    <w:rsid w:val="006F055E"/>
    <w:rsid w:val="00701445"/>
    <w:rsid w:val="00706FD8"/>
    <w:rsid w:val="00715BF1"/>
    <w:rsid w:val="007161C5"/>
    <w:rsid w:val="0071751D"/>
    <w:rsid w:val="00717D6F"/>
    <w:rsid w:val="00723CCF"/>
    <w:rsid w:val="007457D9"/>
    <w:rsid w:val="007465D1"/>
    <w:rsid w:val="00746C6E"/>
    <w:rsid w:val="00751764"/>
    <w:rsid w:val="0076041D"/>
    <w:rsid w:val="00762943"/>
    <w:rsid w:val="007641DC"/>
    <w:rsid w:val="007703C5"/>
    <w:rsid w:val="00772CF3"/>
    <w:rsid w:val="0078370D"/>
    <w:rsid w:val="00784E79"/>
    <w:rsid w:val="00784F64"/>
    <w:rsid w:val="00793367"/>
    <w:rsid w:val="007A1057"/>
    <w:rsid w:val="007A3BD7"/>
    <w:rsid w:val="007B4258"/>
    <w:rsid w:val="007B7011"/>
    <w:rsid w:val="007D2A7C"/>
    <w:rsid w:val="007D5C74"/>
    <w:rsid w:val="007E7D39"/>
    <w:rsid w:val="007F39AE"/>
    <w:rsid w:val="007F5775"/>
    <w:rsid w:val="008047B2"/>
    <w:rsid w:val="0081669E"/>
    <w:rsid w:val="00816DA9"/>
    <w:rsid w:val="00817BD7"/>
    <w:rsid w:val="00825389"/>
    <w:rsid w:val="0082652B"/>
    <w:rsid w:val="0084045D"/>
    <w:rsid w:val="0084378E"/>
    <w:rsid w:val="00853954"/>
    <w:rsid w:val="00863D40"/>
    <w:rsid w:val="008659CB"/>
    <w:rsid w:val="0086685D"/>
    <w:rsid w:val="00867B50"/>
    <w:rsid w:val="00880B83"/>
    <w:rsid w:val="008827CA"/>
    <w:rsid w:val="00882953"/>
    <w:rsid w:val="008858A3"/>
    <w:rsid w:val="008871F8"/>
    <w:rsid w:val="00887B0B"/>
    <w:rsid w:val="00887F89"/>
    <w:rsid w:val="00891D05"/>
    <w:rsid w:val="008943E0"/>
    <w:rsid w:val="008A0DCD"/>
    <w:rsid w:val="008A5FE9"/>
    <w:rsid w:val="008B0FFC"/>
    <w:rsid w:val="008C5612"/>
    <w:rsid w:val="008D6831"/>
    <w:rsid w:val="008E20C7"/>
    <w:rsid w:val="008E4C65"/>
    <w:rsid w:val="008E5024"/>
    <w:rsid w:val="008F0F55"/>
    <w:rsid w:val="008F280C"/>
    <w:rsid w:val="008F60AE"/>
    <w:rsid w:val="00902A9D"/>
    <w:rsid w:val="00904A16"/>
    <w:rsid w:val="00910D2B"/>
    <w:rsid w:val="0091115C"/>
    <w:rsid w:val="009142A7"/>
    <w:rsid w:val="009200FD"/>
    <w:rsid w:val="00932B9C"/>
    <w:rsid w:val="009331F3"/>
    <w:rsid w:val="00937B02"/>
    <w:rsid w:val="00946EF0"/>
    <w:rsid w:val="00950D83"/>
    <w:rsid w:val="00956C6B"/>
    <w:rsid w:val="00957917"/>
    <w:rsid w:val="0096304A"/>
    <w:rsid w:val="0097206F"/>
    <w:rsid w:val="009738E6"/>
    <w:rsid w:val="00973A41"/>
    <w:rsid w:val="0097680B"/>
    <w:rsid w:val="0098552F"/>
    <w:rsid w:val="00992E7A"/>
    <w:rsid w:val="00995570"/>
    <w:rsid w:val="009A2BC2"/>
    <w:rsid w:val="009A3179"/>
    <w:rsid w:val="009B25A6"/>
    <w:rsid w:val="009B7C82"/>
    <w:rsid w:val="009C05DD"/>
    <w:rsid w:val="009C5731"/>
    <w:rsid w:val="009D183F"/>
    <w:rsid w:val="009E4089"/>
    <w:rsid w:val="009E5D93"/>
    <w:rsid w:val="009F0A3E"/>
    <w:rsid w:val="009F0F12"/>
    <w:rsid w:val="00A02FA8"/>
    <w:rsid w:val="00A07CFF"/>
    <w:rsid w:val="00A1268C"/>
    <w:rsid w:val="00A14E0E"/>
    <w:rsid w:val="00A16285"/>
    <w:rsid w:val="00A16406"/>
    <w:rsid w:val="00A20ED0"/>
    <w:rsid w:val="00A21AF5"/>
    <w:rsid w:val="00A2357F"/>
    <w:rsid w:val="00A251B1"/>
    <w:rsid w:val="00A47723"/>
    <w:rsid w:val="00A56CBA"/>
    <w:rsid w:val="00A576F6"/>
    <w:rsid w:val="00A57B48"/>
    <w:rsid w:val="00A71163"/>
    <w:rsid w:val="00A74AB1"/>
    <w:rsid w:val="00A74D09"/>
    <w:rsid w:val="00A759FE"/>
    <w:rsid w:val="00A805CA"/>
    <w:rsid w:val="00A831CC"/>
    <w:rsid w:val="00A83C4C"/>
    <w:rsid w:val="00A93F82"/>
    <w:rsid w:val="00A96824"/>
    <w:rsid w:val="00AA0DC3"/>
    <w:rsid w:val="00AA1AEA"/>
    <w:rsid w:val="00AA5AD3"/>
    <w:rsid w:val="00AB125D"/>
    <w:rsid w:val="00AB2018"/>
    <w:rsid w:val="00AB2CC7"/>
    <w:rsid w:val="00AC5FAD"/>
    <w:rsid w:val="00AD7110"/>
    <w:rsid w:val="00AE1F2D"/>
    <w:rsid w:val="00B022A5"/>
    <w:rsid w:val="00B0624D"/>
    <w:rsid w:val="00B14F51"/>
    <w:rsid w:val="00B21FEB"/>
    <w:rsid w:val="00B27537"/>
    <w:rsid w:val="00B27782"/>
    <w:rsid w:val="00B37863"/>
    <w:rsid w:val="00B37EF1"/>
    <w:rsid w:val="00B527F0"/>
    <w:rsid w:val="00B55816"/>
    <w:rsid w:val="00B56AF7"/>
    <w:rsid w:val="00B62098"/>
    <w:rsid w:val="00B64A6A"/>
    <w:rsid w:val="00B72182"/>
    <w:rsid w:val="00B72576"/>
    <w:rsid w:val="00B73926"/>
    <w:rsid w:val="00B742AA"/>
    <w:rsid w:val="00B76343"/>
    <w:rsid w:val="00B82D32"/>
    <w:rsid w:val="00B83B9F"/>
    <w:rsid w:val="00B847DA"/>
    <w:rsid w:val="00BA2418"/>
    <w:rsid w:val="00BB3B7A"/>
    <w:rsid w:val="00BB534C"/>
    <w:rsid w:val="00BC61E2"/>
    <w:rsid w:val="00BD0A5C"/>
    <w:rsid w:val="00BD364F"/>
    <w:rsid w:val="00BD7B65"/>
    <w:rsid w:val="00BE4F6F"/>
    <w:rsid w:val="00BF2190"/>
    <w:rsid w:val="00BF3DAE"/>
    <w:rsid w:val="00BF6AF3"/>
    <w:rsid w:val="00BF7248"/>
    <w:rsid w:val="00C0011A"/>
    <w:rsid w:val="00C04DD7"/>
    <w:rsid w:val="00C05D16"/>
    <w:rsid w:val="00C05DC9"/>
    <w:rsid w:val="00C14A3C"/>
    <w:rsid w:val="00C179B3"/>
    <w:rsid w:val="00C17EB8"/>
    <w:rsid w:val="00C24EC3"/>
    <w:rsid w:val="00C25A06"/>
    <w:rsid w:val="00C278C3"/>
    <w:rsid w:val="00C30146"/>
    <w:rsid w:val="00C35791"/>
    <w:rsid w:val="00C419DE"/>
    <w:rsid w:val="00C46316"/>
    <w:rsid w:val="00C46C0C"/>
    <w:rsid w:val="00C4789A"/>
    <w:rsid w:val="00C47B9E"/>
    <w:rsid w:val="00C50E7D"/>
    <w:rsid w:val="00C52998"/>
    <w:rsid w:val="00C529A0"/>
    <w:rsid w:val="00C550BF"/>
    <w:rsid w:val="00C63B4E"/>
    <w:rsid w:val="00C72AF4"/>
    <w:rsid w:val="00C756E9"/>
    <w:rsid w:val="00C75B91"/>
    <w:rsid w:val="00C75D0E"/>
    <w:rsid w:val="00C7678A"/>
    <w:rsid w:val="00C9591C"/>
    <w:rsid w:val="00C97E08"/>
    <w:rsid w:val="00CB3778"/>
    <w:rsid w:val="00CB3C8A"/>
    <w:rsid w:val="00CB50F4"/>
    <w:rsid w:val="00CB74FE"/>
    <w:rsid w:val="00CC2049"/>
    <w:rsid w:val="00CC3A34"/>
    <w:rsid w:val="00CC69F7"/>
    <w:rsid w:val="00CC73D9"/>
    <w:rsid w:val="00CD0577"/>
    <w:rsid w:val="00CD426E"/>
    <w:rsid w:val="00CE4B0E"/>
    <w:rsid w:val="00CF0F98"/>
    <w:rsid w:val="00CF132C"/>
    <w:rsid w:val="00CF25B1"/>
    <w:rsid w:val="00CF5FE1"/>
    <w:rsid w:val="00CF6838"/>
    <w:rsid w:val="00CF6AB4"/>
    <w:rsid w:val="00D0607A"/>
    <w:rsid w:val="00D10578"/>
    <w:rsid w:val="00D12B44"/>
    <w:rsid w:val="00D1521C"/>
    <w:rsid w:val="00D24C1E"/>
    <w:rsid w:val="00D24E4D"/>
    <w:rsid w:val="00D2588E"/>
    <w:rsid w:val="00D26C08"/>
    <w:rsid w:val="00D4798C"/>
    <w:rsid w:val="00D52B3F"/>
    <w:rsid w:val="00D53F5A"/>
    <w:rsid w:val="00D5615F"/>
    <w:rsid w:val="00D56B84"/>
    <w:rsid w:val="00D646A9"/>
    <w:rsid w:val="00D67950"/>
    <w:rsid w:val="00D732C8"/>
    <w:rsid w:val="00D9550A"/>
    <w:rsid w:val="00D95D7D"/>
    <w:rsid w:val="00DA0931"/>
    <w:rsid w:val="00DA4D63"/>
    <w:rsid w:val="00DA6CAB"/>
    <w:rsid w:val="00DB33FA"/>
    <w:rsid w:val="00DB3AF6"/>
    <w:rsid w:val="00DB716A"/>
    <w:rsid w:val="00DD79E9"/>
    <w:rsid w:val="00DE1D28"/>
    <w:rsid w:val="00DE3B1B"/>
    <w:rsid w:val="00DF389F"/>
    <w:rsid w:val="00E03B9D"/>
    <w:rsid w:val="00E06647"/>
    <w:rsid w:val="00E232F8"/>
    <w:rsid w:val="00E24DAF"/>
    <w:rsid w:val="00E25CC6"/>
    <w:rsid w:val="00E338A0"/>
    <w:rsid w:val="00E35F1A"/>
    <w:rsid w:val="00E361B9"/>
    <w:rsid w:val="00E37D79"/>
    <w:rsid w:val="00E43FB1"/>
    <w:rsid w:val="00E4642D"/>
    <w:rsid w:val="00E7552F"/>
    <w:rsid w:val="00E76C60"/>
    <w:rsid w:val="00E76F2A"/>
    <w:rsid w:val="00E84842"/>
    <w:rsid w:val="00E87460"/>
    <w:rsid w:val="00E97B8E"/>
    <w:rsid w:val="00EA3A5B"/>
    <w:rsid w:val="00EB1400"/>
    <w:rsid w:val="00EB1FD8"/>
    <w:rsid w:val="00EB6BA8"/>
    <w:rsid w:val="00EB7A3E"/>
    <w:rsid w:val="00EC2ADF"/>
    <w:rsid w:val="00EC5292"/>
    <w:rsid w:val="00ED0B29"/>
    <w:rsid w:val="00EF4C87"/>
    <w:rsid w:val="00EF6BFD"/>
    <w:rsid w:val="00F06BEE"/>
    <w:rsid w:val="00F07A2A"/>
    <w:rsid w:val="00F135C4"/>
    <w:rsid w:val="00F13D93"/>
    <w:rsid w:val="00F14A31"/>
    <w:rsid w:val="00F16216"/>
    <w:rsid w:val="00F17676"/>
    <w:rsid w:val="00F2013A"/>
    <w:rsid w:val="00F208A1"/>
    <w:rsid w:val="00F21979"/>
    <w:rsid w:val="00F22CBF"/>
    <w:rsid w:val="00F25DFE"/>
    <w:rsid w:val="00F302FC"/>
    <w:rsid w:val="00F312E6"/>
    <w:rsid w:val="00F35817"/>
    <w:rsid w:val="00F3640E"/>
    <w:rsid w:val="00F4248C"/>
    <w:rsid w:val="00F46096"/>
    <w:rsid w:val="00F46717"/>
    <w:rsid w:val="00F6397C"/>
    <w:rsid w:val="00F63E44"/>
    <w:rsid w:val="00F640AC"/>
    <w:rsid w:val="00F6691A"/>
    <w:rsid w:val="00F67E7B"/>
    <w:rsid w:val="00F773CE"/>
    <w:rsid w:val="00F80542"/>
    <w:rsid w:val="00F827F5"/>
    <w:rsid w:val="00F87345"/>
    <w:rsid w:val="00F92AFD"/>
    <w:rsid w:val="00F96FDC"/>
    <w:rsid w:val="00FA5495"/>
    <w:rsid w:val="00FA5CC9"/>
    <w:rsid w:val="00FB5BB7"/>
    <w:rsid w:val="00FB5CEA"/>
    <w:rsid w:val="00FB6608"/>
    <w:rsid w:val="00FB69B4"/>
    <w:rsid w:val="00FC2781"/>
    <w:rsid w:val="00FC62B6"/>
    <w:rsid w:val="00FC7DAC"/>
    <w:rsid w:val="00FD2818"/>
    <w:rsid w:val="00FE2B63"/>
    <w:rsid w:val="00FF010C"/>
    <w:rsid w:val="00FF01C0"/>
    <w:rsid w:val="00FF1527"/>
    <w:rsid w:val="00FF6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index 2" w:uiPriority="99"/>
    <w:lsdException w:name="index 3" w:semiHidden="1"/>
    <w:lsdException w:name="index 4" w:semiHidden="1"/>
    <w:lsdException w:name="index 5"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5"/>
    <w:lsdException w:name="toc 4" w:uiPriority="5"/>
    <w:lsdException w:name="toc 5" w:uiPriority="5"/>
    <w:lsdException w:name="toc 6" w:locked="1" w:semiHidden="1"/>
    <w:lsdException w:name="toc 7" w:locked="1" w:semiHidden="1"/>
    <w:lsdException w:name="toc 8" w:locked="1" w:semiHidden="1"/>
    <w:lsdException w:name="toc 9" w:locked="1" w:semiHidden="1"/>
    <w:lsdException w:name="Normal Indent" w:locked="1"/>
    <w:lsdException w:name="footnote text" w:locked="1" w:semiHidden="1" w:uiPriority="5"/>
    <w:lsdException w:name="annotation text" w:locked="1" w:semiHidden="1"/>
    <w:lsdException w:name="index heading" w:uiPriority="99"/>
    <w:lsdException w:name="caption" w:locked="1" w:semiHidden="1" w:unhideWhenUsed="1" w:qFormat="1"/>
    <w:lsdException w:name="table of figures" w:uiPriority="2" w:qFormat="1"/>
    <w:lsdException w:name="envelope address" w:locked="1" w:semiHidden="1"/>
    <w:lsdException w:name="envelope return" w:locked="1" w:semiHidden="1"/>
    <w:lsdException w:name="footnote reference" w:locked="1" w:semiHidden="1" w:uiPriority="5"/>
    <w:lsdException w:name="annotation reference" w:locked="1" w:semiHidden="1"/>
    <w:lsdException w:name="lin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locked="1" w:semiHidden="1"/>
    <w:lsdException w:name="Closing" w:locked="1" w:semiHidden="1"/>
    <w:lsdException w:name="Signature" w:locked="1" w:semiHidden="1"/>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locked="1" w:semiHidden="1"/>
    <w:lsdException w:name="Body Text First Indent" w:locked="1" w:semiHidden="1"/>
    <w:lsdException w:name="Body Text First Indent 2" w:locked="1" w:semiHidden="1"/>
    <w:lsdException w:name="Note Heading"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uiPriority="99"/>
    <w:lsdException w:name="FollowedHyperlink" w:locked="1" w:semiHidden="1" w:uiPriority="99"/>
    <w:lsdException w:name="Strong" w:locked="1" w:semiHidden="1"/>
    <w:lsdException w:name="Emphasis" w:locked="1" w:semiHidden="1"/>
    <w:lsdException w:name="Document Map" w:locked="1" w:semiHidden="1"/>
    <w:lsdException w:name="Plain Text" w:locked="1" w:semiHidden="1"/>
    <w:lsdException w:name="E-mail Signature" w:locked="1" w:semiHidden="1"/>
    <w:lsdException w:name="Normal (Web)" w:locked="1" w:semiHidden="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locked="1" w:semiHidden="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1"/>
    <w:lsdException w:name="Table Grid" w:locked="1" w:uiPriority="59"/>
    <w:lsdException w:name="Table Theme" w:lock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uiPriority w:val="1"/>
    <w:qFormat/>
    <w:rsid w:val="00746C6E"/>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uiPriority w:val="1"/>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uiPriority w:val="2"/>
    <w:qFormat/>
    <w:rsid w:val="00397F02"/>
    <w:pPr>
      <w:spacing w:after="0"/>
      <w:jc w:val="right"/>
    </w:pPr>
    <w:rPr>
      <w:rFonts w:ascii="Calibri" w:hAnsi="Calibri"/>
      <w:sz w:val="20"/>
      <w:szCs w:val="18"/>
    </w:rPr>
  </w:style>
  <w:style w:type="character" w:customStyle="1" w:styleId="TableofFiguresChar">
    <w:name w:val="Table of Figures Char"/>
    <w:link w:val="TableofFigures"/>
    <w:uiPriority w:val="2"/>
    <w:rsid w:val="00746C6E"/>
    <w:rPr>
      <w:rFonts w:ascii="Calibri" w:hAnsi="Calibri"/>
      <w:szCs w:val="18"/>
      <w:lang w:eastAsia="en-US"/>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uiPriority w:val="2"/>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uiPriority w:val="2"/>
    <w:qFormat/>
    <w:rsid w:val="00AE1F2D"/>
    <w:pPr>
      <w:ind w:left="180" w:hanging="180"/>
      <w:jc w:val="left"/>
    </w:pPr>
    <w:rPr>
      <w:sz w:val="19"/>
    </w:r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uiPriority w:val="2"/>
    <w:qFormat/>
    <w:rsid w:val="009E5D93"/>
    <w:pPr>
      <w:keepNext/>
      <w:spacing w:before="240"/>
      <w:ind w:left="1152" w:hanging="1152"/>
    </w:pPr>
    <w:rPr>
      <w:rFonts w:ascii="Calibri" w:hAnsi="Calibri"/>
      <w:b/>
    </w:rPr>
  </w:style>
  <w:style w:type="table" w:styleId="TableGrid">
    <w:name w:val="Table Grid"/>
    <w:basedOn w:val="TableNormal"/>
    <w:uiPriority w:val="59"/>
    <w:locked/>
    <w:rsid w:val="00B37EF1"/>
    <w:pPr>
      <w:spacing w:before="20" w:after="20"/>
      <w:ind w:left="170" w:hanging="170"/>
      <w:jc w:val="right"/>
    </w:pPr>
    <w:rPr>
      <w:rFonts w:ascii="Calibri" w:eastAsiaTheme="minorHAnsi" w:hAnsi="Calibri" w:cstheme="minorBidi"/>
      <w:spacing w:val="2"/>
      <w:sz w:val="18"/>
      <w:szCs w:val="21"/>
      <w:lang w:eastAsia="en-US"/>
    </w:rPr>
    <w:tblPr>
      <w:tblStyleColBandSize w:val="1"/>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color w:val="auto"/>
      </w:rPr>
      <w:tblPr/>
      <w:tcPr>
        <w:shd w:val="clear" w:color="auto" w:fill="000000" w:themeFill="text1"/>
        <w:vAlign w:val="bottom"/>
      </w:tcPr>
    </w:tblStylePr>
    <w:tblStylePr w:type="lastRow">
      <w:rPr>
        <w:b/>
      </w:rPr>
      <w:tblPr/>
      <w:tcPr>
        <w:tcBorders>
          <w:top w:val="single" w:sz="6" w:space="0" w:color="000000" w:themeColor="text1"/>
          <w:bottom w:val="single" w:sz="12" w:space="0" w:color="000000" w:themeColor="text1"/>
        </w:tcBorders>
      </w:tcPr>
    </w:tblStylePr>
    <w:tblStylePr w:type="firstCol">
      <w:pPr>
        <w:wordWrap/>
        <w:ind w:leftChars="0" w:left="170" w:rightChars="0" w:right="0" w:firstLineChars="0" w:hanging="170"/>
        <w:jc w:val="left"/>
      </w:pPr>
    </w:tblStylePr>
    <w:tblStylePr w:type="band1Vert">
      <w:pPr>
        <w:jc w:val="right"/>
      </w:pPr>
    </w:tblStylePr>
    <w:tblStylePr w:type="band2Vert">
      <w:pPr>
        <w:jc w:val="right"/>
      </w:pPr>
    </w:tblStyle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uiPriority w:val="3"/>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rsid w:val="00561253"/>
    <w:pPr>
      <w:pBdr>
        <w:top w:val="none" w:sz="0" w:space="0" w:color="auto"/>
      </w:pBdr>
      <w:tabs>
        <w:tab w:val="clear" w:pos="7085"/>
      </w:tabs>
    </w:pPr>
  </w:style>
  <w:style w:type="paragraph" w:customStyle="1" w:styleId="Heading2Notes">
    <w:name w:val="Heading 2 Notes"/>
    <w:basedOn w:val="Heading2"/>
    <w:rsid w:val="003E5374"/>
    <w:pPr>
      <w:tabs>
        <w:tab w:val="left" w:pos="1152"/>
      </w:tabs>
      <w:ind w:left="1152" w:hanging="1152"/>
    </w:pPr>
  </w:style>
  <w:style w:type="paragraph" w:customStyle="1" w:styleId="Notes">
    <w:name w:val="Notes"/>
    <w:basedOn w:val="Normal"/>
    <w:link w:val="NotesChar"/>
    <w:uiPriority w:val="2"/>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link w:val="OGHeading1Char"/>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E1F2D"/>
    <w:rPr>
      <w:rFonts w:ascii="Calibri" w:hAnsi="Calibri"/>
      <w:b/>
      <w:sz w:val="28"/>
      <w:szCs w:val="24"/>
      <w:lang w:eastAsia="en-US"/>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E1F2D"/>
    <w:rPr>
      <w:rFonts w:ascii="Calibri" w:hAnsi="Calibri"/>
      <w:szCs w:val="18"/>
      <w:lang w:eastAsia="en-US"/>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E1F2D"/>
    <w:rPr>
      <w:rFonts w:ascii="Calibri" w:hAnsi="Calibri"/>
      <w:szCs w:val="18"/>
      <w:lang w:eastAsia="en-US"/>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uiPriority w:val="2"/>
    <w:qFormat/>
    <w:locked/>
    <w:rsid w:val="00C24EC3"/>
    <w:rPr>
      <w:rFonts w:ascii="Calibri" w:hAnsi="Calibri"/>
      <w:i/>
      <w:sz w:val="15"/>
    </w:rPr>
  </w:style>
  <w:style w:type="paragraph" w:customStyle="1" w:styleId="TableofContentsheading">
    <w:name w:val="Table of Contents heading"/>
    <w:basedOn w:val="ChapterHeading"/>
    <w:next w:val="Normal"/>
    <w:uiPriority w:val="4"/>
  </w:style>
  <w:style w:type="paragraph" w:customStyle="1" w:styleId="Heading2NotesContd">
    <w:name w:val="Heading 2 Notes Cont'd"/>
    <w:basedOn w:val="Heading2Notes"/>
    <w:rsid w:val="002E5C62"/>
  </w:style>
  <w:style w:type="paragraph" w:customStyle="1" w:styleId="HighlightBoxBullet">
    <w:name w:val="Highlight Box Bullet"/>
    <w:basedOn w:val="Normal"/>
    <w:uiPriority w:val="2"/>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uiPriority w:val="5"/>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5"/>
    <w:rsid w:val="00910D2B"/>
    <w:pPr>
      <w:spacing w:after="0"/>
      <w:ind w:left="1152" w:hanging="1152"/>
    </w:pPr>
    <w:rPr>
      <w:b w:val="0"/>
      <w:noProof/>
      <w:sz w:val="20"/>
    </w:rPr>
  </w:style>
  <w:style w:type="paragraph" w:styleId="TOC5">
    <w:name w:val="toc 5"/>
    <w:basedOn w:val="TOC1"/>
    <w:next w:val="Normal"/>
    <w:uiPriority w:val="5"/>
    <w:rsid w:val="00910D2B"/>
    <w:rPr>
      <w:b w:val="0"/>
      <w:sz w:val="20"/>
    </w:rPr>
  </w:style>
  <w:style w:type="paragraph" w:customStyle="1" w:styleId="Tableheadingcontinued">
    <w:name w:val="Table heading continued"/>
    <w:basedOn w:val="Tableheading"/>
    <w:uiPriority w:val="2"/>
    <w:rsid w:val="002E5C62"/>
  </w:style>
  <w:style w:type="paragraph" w:customStyle="1" w:styleId="Tabletextcentred">
    <w:name w:val="Table text centred"/>
    <w:basedOn w:val="Tabletext"/>
    <w:uiPriority w:val="2"/>
    <w:rsid w:val="00784F64"/>
    <w:pPr>
      <w:ind w:left="0" w:firstLine="0"/>
      <w:jc w:val="center"/>
    </w:pPr>
  </w:style>
  <w:style w:type="paragraph" w:customStyle="1" w:styleId="Heading3Numbering">
    <w:name w:val="Heading 3 Numbering"/>
    <w:basedOn w:val="Heading3"/>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AE1F2D"/>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uiPriority w:val="2"/>
    <w:rsid w:val="000B1B53"/>
    <w:pPr>
      <w:jc w:val="center"/>
    </w:pPr>
  </w:style>
  <w:style w:type="paragraph" w:customStyle="1" w:styleId="DashText">
    <w:name w:val="Dash Text"/>
    <w:basedOn w:val="Normal"/>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uiPriority w:val="2"/>
    <w:rsid w:val="00507425"/>
    <w:pPr>
      <w:tabs>
        <w:tab w:val="clear" w:pos="454"/>
      </w:tabs>
      <w:ind w:left="915"/>
    </w:pPr>
  </w:style>
  <w:style w:type="paragraph" w:customStyle="1" w:styleId="NotesDash">
    <w:name w:val="NotesDash"/>
    <w:basedOn w:val="NotesIndent"/>
    <w:uiPriority w:val="2"/>
    <w:rsid w:val="0000414E"/>
    <w:pPr>
      <w:numPr>
        <w:numId w:val="5"/>
      </w:numPr>
      <w:tabs>
        <w:tab w:val="clear" w:pos="922"/>
        <w:tab w:val="num" w:pos="720"/>
      </w:tabs>
      <w:ind w:left="720" w:hanging="259"/>
    </w:p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uiPriority w:val="2"/>
    <w:rsid w:val="00CF5FE1"/>
    <w:pPr>
      <w:jc w:val="left"/>
    </w:pPr>
  </w:style>
  <w:style w:type="paragraph" w:styleId="NormalIndent">
    <w:name w:val="Normal Indent"/>
    <w:basedOn w:val="Normal"/>
    <w:semiHidden/>
    <w:locked/>
    <w:rsid w:val="00A831CC"/>
    <w:pPr>
      <w:ind w:left="360"/>
    </w:pPr>
  </w:style>
  <w:style w:type="paragraph" w:customStyle="1" w:styleId="Tabletextindent">
    <w:name w:val="Table text indent"/>
    <w:basedOn w:val="Tabletext"/>
    <w:uiPriority w:val="2"/>
    <w:rsid w:val="00E24DAF"/>
    <w:pPr>
      <w:ind w:left="360" w:firstLine="0"/>
    </w:pPr>
  </w:style>
  <w:style w:type="paragraph" w:customStyle="1" w:styleId="Tabletextindent2">
    <w:name w:val="Table text indent 2"/>
    <w:basedOn w:val="Tabletextindent"/>
    <w:uiPriority w:val="2"/>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uiPriority w:val="99"/>
    <w:semiHidden/>
    <w:rsid w:val="001C1EAD"/>
    <w:pPr>
      <w:spacing w:after="0"/>
      <w:ind w:left="220" w:hanging="220"/>
    </w:pPr>
    <w:rPr>
      <w:sz w:val="18"/>
      <w:szCs w:val="18"/>
    </w:rPr>
  </w:style>
  <w:style w:type="paragraph" w:customStyle="1" w:styleId="OGNotes">
    <w:name w:val="OGNotes"/>
    <w:basedOn w:val="NotesIndent"/>
    <w:link w:val="OGNotesChar"/>
    <w:rsid w:val="00C24EC3"/>
    <w:pPr>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uiPriority w:val="99"/>
    <w:semiHidden/>
    <w:rsid w:val="001C1EAD"/>
    <w:pPr>
      <w:spacing w:after="0"/>
      <w:ind w:left="440" w:hanging="220"/>
    </w:pPr>
    <w:rPr>
      <w:sz w:val="18"/>
      <w:szCs w:val="18"/>
    </w:rPr>
  </w:style>
  <w:style w:type="paragraph" w:styleId="IndexHeading">
    <w:name w:val="index heading"/>
    <w:basedOn w:val="Normal"/>
    <w:next w:val="Index1"/>
    <w:uiPriority w:val="99"/>
    <w:semiHidden/>
    <w:rsid w:val="001C1EAD"/>
    <w:pPr>
      <w:spacing w:before="240"/>
      <w:jc w:val="center"/>
    </w:pPr>
    <w:rPr>
      <w:b/>
      <w:bCs/>
      <w:sz w:val="26"/>
      <w:szCs w:val="26"/>
    </w:rPr>
  </w:style>
  <w:style w:type="paragraph" w:customStyle="1" w:styleId="HighlightBoxHeading">
    <w:name w:val="Highlight Box Heading"/>
    <w:basedOn w:val="HighlightBoxText"/>
    <w:uiPriority w:val="2"/>
    <w:qFormat/>
    <w:rsid w:val="0000414E"/>
    <w:rPr>
      <w:rFonts w:ascii="Calibri" w:hAnsi="Calibri"/>
      <w:b/>
      <w:sz w:val="21"/>
    </w:rPr>
  </w:style>
  <w:style w:type="paragraph" w:customStyle="1" w:styleId="HighlightBoxText">
    <w:name w:val="Highlight Box Text"/>
    <w:basedOn w:val="HighlightBoxBullet"/>
    <w:uiPriority w:val="2"/>
    <w:rsid w:val="00C24EC3"/>
    <w:pPr>
      <w:numPr>
        <w:numId w:val="0"/>
      </w:numPr>
    </w:pPr>
  </w:style>
  <w:style w:type="paragraph" w:customStyle="1" w:styleId="TableofContentscontinued">
    <w:name w:val="Table of Contents continued"/>
    <w:basedOn w:val="Normal"/>
    <w:uiPriority w:val="4"/>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uiPriority w:val="1"/>
    <w:rsid w:val="00AE1F2D"/>
    <w:rPr>
      <w:rFonts w:ascii="Calibri" w:hAnsi="Calibri"/>
      <w:i/>
      <w:sz w:val="18"/>
      <w:szCs w:val="18"/>
      <w:lang w:eastAsia="en-US"/>
    </w:rPr>
  </w:style>
  <w:style w:type="character" w:customStyle="1" w:styleId="TabletextheadingChar">
    <w:name w:val="Table text heading Char"/>
    <w:link w:val="Tabletextheading"/>
    <w:uiPriority w:val="2"/>
    <w:locked/>
    <w:rsid w:val="00746C6E"/>
    <w:rPr>
      <w:rFonts w:ascii="Calibri" w:hAnsi="Calibri"/>
      <w:i/>
      <w:szCs w:val="18"/>
      <w:lang w:eastAsia="en-US"/>
    </w:rPr>
  </w:style>
  <w:style w:type="character" w:customStyle="1" w:styleId="SourceChar">
    <w:name w:val="Source Char"/>
    <w:link w:val="Source"/>
    <w:uiPriority w:val="2"/>
    <w:locked/>
    <w:rsid w:val="00746C6E"/>
    <w:rPr>
      <w:rFonts w:ascii="Calibri" w:hAnsi="Calibri"/>
      <w:i/>
      <w:sz w:val="15"/>
      <w:lang w:eastAsia="en-US"/>
    </w:rPr>
  </w:style>
  <w:style w:type="table" w:customStyle="1" w:styleId="TableDTFfinancialcompact">
    <w:name w:val="Table DTF financial (compact)"/>
    <w:basedOn w:val="TableNormal"/>
    <w:uiPriority w:val="99"/>
    <w:rsid w:val="00B37EF1"/>
    <w:pPr>
      <w:spacing w:before="20" w:after="20"/>
      <w:ind w:left="170" w:hanging="170"/>
      <w:jc w:val="right"/>
    </w:pPr>
    <w:rPr>
      <w:rFonts w:asciiTheme="minorHAnsi" w:eastAsiaTheme="minorHAnsi" w:hAnsiTheme="minorHAnsi" w:cstheme="minorBidi"/>
      <w:spacing w:val="2"/>
      <w:sz w:val="14"/>
      <w:szCs w:val="21"/>
      <w:lang w:eastAsia="en-US"/>
    </w:rPr>
    <w:tblPr>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rPr>
      <w:tblPr/>
      <w:trPr>
        <w:tblHeader/>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jc w:val="left"/>
      </w:pPr>
    </w:tblStylePr>
  </w:style>
  <w:style w:type="table" w:customStyle="1" w:styleId="TableDTFGeneral">
    <w:name w:val="Table DTF General"/>
    <w:basedOn w:val="TableNormal"/>
    <w:uiPriority w:val="99"/>
    <w:rsid w:val="00B37EF1"/>
    <w:pPr>
      <w:spacing w:before="20" w:after="20" w:line="264" w:lineRule="auto"/>
      <w:ind w:left="170" w:hanging="170"/>
    </w:pPr>
    <w:rPr>
      <w:rFonts w:asciiTheme="minorHAnsi" w:eastAsiaTheme="minorHAnsi" w:hAnsiTheme="minorHAnsi" w:cstheme="minorBidi"/>
      <w:spacing w:val="4"/>
      <w:sz w:val="17"/>
      <w:szCs w:val="21"/>
      <w:lang w:eastAsia="en-US"/>
    </w:rPr>
    <w:tblPr>
      <w:tblInd w:w="28" w:type="dxa"/>
      <w:tblBorders>
        <w:bottom w:val="single" w:sz="6" w:space="0" w:color="auto"/>
      </w:tblBorders>
      <w:tblCellMar>
        <w:left w:w="57" w:type="dxa"/>
        <w:right w:w="57" w:type="dxa"/>
      </w:tblCellMar>
    </w:tblPr>
    <w:trPr>
      <w:cantSplit/>
    </w:trPr>
    <w:tblStylePr w:type="firstRow">
      <w:rPr>
        <w:i/>
      </w:rPr>
      <w:tblPr/>
      <w:tcPr>
        <w:shd w:val="clear" w:color="auto" w:fill="000000" w:themeFill="tex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pPr>
    </w:tblStylePr>
  </w:style>
  <w:style w:type="character" w:customStyle="1" w:styleId="Heading1Char">
    <w:name w:val="Heading 1 Char"/>
    <w:basedOn w:val="DefaultParagraphFont"/>
    <w:link w:val="Heading1"/>
    <w:rsid w:val="00243370"/>
    <w:rPr>
      <w:rFonts w:ascii="Calibri" w:hAnsi="Calibri"/>
      <w:b/>
      <w:caps/>
      <w:sz w:val="26"/>
      <w:szCs w:val="22"/>
      <w:lang w:eastAsia="en-US"/>
    </w:rPr>
  </w:style>
  <w:style w:type="character" w:customStyle="1" w:styleId="Heading5Char">
    <w:name w:val="Heading 5 Char"/>
    <w:basedOn w:val="DefaultParagraphFont"/>
    <w:link w:val="Heading5"/>
    <w:rsid w:val="00243370"/>
    <w:rPr>
      <w:rFonts w:ascii="Calibri" w:hAnsi="Calibri"/>
      <w:b/>
      <w:sz w:val="22"/>
      <w:lang w:eastAsia="en-US"/>
    </w:rPr>
  </w:style>
  <w:style w:type="paragraph" w:customStyle="1" w:styleId="Default">
    <w:name w:val="Default"/>
    <w:rsid w:val="00243370"/>
    <w:pPr>
      <w:autoSpaceDE w:val="0"/>
      <w:autoSpaceDN w:val="0"/>
      <w:adjustRightInd w:val="0"/>
    </w:pPr>
    <w:rPr>
      <w:rFonts w:ascii="Garamond" w:hAnsi="Garamond" w:cs="Garamond"/>
      <w:color w:val="000000"/>
      <w:sz w:val="24"/>
      <w:szCs w:val="24"/>
    </w:rPr>
  </w:style>
  <w:style w:type="character" w:styleId="CommentReference">
    <w:name w:val="annotation reference"/>
    <w:basedOn w:val="DefaultParagraphFont"/>
    <w:locked/>
    <w:rsid w:val="00243370"/>
    <w:rPr>
      <w:sz w:val="16"/>
      <w:szCs w:val="16"/>
    </w:rPr>
  </w:style>
  <w:style w:type="paragraph" w:styleId="CommentText">
    <w:name w:val="annotation text"/>
    <w:basedOn w:val="Normal"/>
    <w:link w:val="CommentTextChar"/>
    <w:locked/>
    <w:rsid w:val="00243370"/>
    <w:rPr>
      <w:color w:val="000000" w:themeColor="text1"/>
      <w:spacing w:val="2"/>
      <w:sz w:val="20"/>
    </w:rPr>
  </w:style>
  <w:style w:type="character" w:customStyle="1" w:styleId="CommentTextChar">
    <w:name w:val="Comment Text Char"/>
    <w:basedOn w:val="DefaultParagraphFont"/>
    <w:link w:val="CommentText"/>
    <w:rsid w:val="00243370"/>
    <w:rPr>
      <w:rFonts w:ascii="Garamond" w:hAnsi="Garamond"/>
      <w:color w:val="000000" w:themeColor="text1"/>
      <w:spacing w:val="2"/>
      <w:lang w:eastAsia="en-US"/>
    </w:rPr>
  </w:style>
  <w:style w:type="paragraph" w:styleId="BalloonText">
    <w:name w:val="Balloon Text"/>
    <w:basedOn w:val="Normal"/>
    <w:link w:val="BalloonTextChar"/>
    <w:locked/>
    <w:rsid w:val="00243370"/>
    <w:pPr>
      <w:spacing w:after="0"/>
    </w:pPr>
    <w:rPr>
      <w:rFonts w:ascii="Tahoma" w:hAnsi="Tahoma" w:cs="Tahoma"/>
      <w:color w:val="000000" w:themeColor="text1"/>
      <w:spacing w:val="2"/>
      <w:sz w:val="16"/>
      <w:szCs w:val="16"/>
    </w:rPr>
  </w:style>
  <w:style w:type="character" w:customStyle="1" w:styleId="BalloonTextChar">
    <w:name w:val="Balloon Text Char"/>
    <w:basedOn w:val="DefaultParagraphFont"/>
    <w:link w:val="BalloonText"/>
    <w:rsid w:val="00243370"/>
    <w:rPr>
      <w:rFonts w:ascii="Tahoma" w:hAnsi="Tahoma" w:cs="Tahoma"/>
      <w:color w:val="000000" w:themeColor="text1"/>
      <w:spacing w:val="2"/>
      <w:sz w:val="16"/>
      <w:szCs w:val="16"/>
      <w:lang w:eastAsia="en-US"/>
    </w:rPr>
  </w:style>
  <w:style w:type="character" w:customStyle="1" w:styleId="Heading4Char">
    <w:name w:val="Heading 4 Char"/>
    <w:basedOn w:val="DefaultParagraphFont"/>
    <w:link w:val="Heading4"/>
    <w:rsid w:val="00243370"/>
    <w:rPr>
      <w:rFonts w:ascii="Calibri" w:hAnsi="Calibri"/>
      <w:i/>
      <w:sz w:val="24"/>
      <w:szCs w:val="22"/>
      <w:lang w:eastAsia="en-US"/>
    </w:rPr>
  </w:style>
  <w:style w:type="paragraph" w:styleId="ListParagraph">
    <w:name w:val="List Paragraph"/>
    <w:basedOn w:val="Normal"/>
    <w:uiPriority w:val="34"/>
    <w:qFormat/>
    <w:rsid w:val="00243370"/>
    <w:pPr>
      <w:spacing w:after="0"/>
      <w:ind w:left="720"/>
      <w:contextualSpacing/>
    </w:pPr>
    <w:rPr>
      <w:rFonts w:ascii="Times New Roman" w:hAnsi="Times New Roman"/>
      <w:color w:val="000000" w:themeColor="text1"/>
      <w:spacing w:val="2"/>
      <w:sz w:val="24"/>
      <w:szCs w:val="24"/>
    </w:rPr>
  </w:style>
  <w:style w:type="character" w:customStyle="1" w:styleId="BulletTextChar">
    <w:name w:val="Bullet Text Char"/>
    <w:link w:val="BulletText"/>
    <w:locked/>
    <w:rsid w:val="00243370"/>
    <w:rPr>
      <w:rFonts w:ascii="Garamond" w:hAnsi="Garamond"/>
      <w:sz w:val="22"/>
      <w:lang w:eastAsia="en-US"/>
    </w:rPr>
  </w:style>
  <w:style w:type="character" w:customStyle="1" w:styleId="NotesChar">
    <w:name w:val="Notes Char"/>
    <w:link w:val="Notes"/>
    <w:locked/>
    <w:rsid w:val="00243370"/>
    <w:rPr>
      <w:rFonts w:ascii="Calibri" w:hAnsi="Calibri"/>
      <w:i/>
      <w:sz w:val="15"/>
      <w:lang w:eastAsia="en-US"/>
    </w:rPr>
  </w:style>
  <w:style w:type="character" w:customStyle="1" w:styleId="TabletextChar">
    <w:name w:val="Table text Char"/>
    <w:link w:val="Tabletext"/>
    <w:uiPriority w:val="2"/>
    <w:rsid w:val="00243370"/>
    <w:rPr>
      <w:rFonts w:ascii="Calibri" w:hAnsi="Calibri"/>
      <w:sz w:val="19"/>
      <w:szCs w:val="18"/>
      <w:lang w:eastAsia="en-US"/>
    </w:rPr>
  </w:style>
  <w:style w:type="character" w:customStyle="1" w:styleId="TableheadingChar">
    <w:name w:val="Table heading Char"/>
    <w:link w:val="Tableheading"/>
    <w:locked/>
    <w:rsid w:val="00243370"/>
    <w:rPr>
      <w:rFonts w:ascii="Calibri" w:hAnsi="Calibri"/>
      <w:b/>
      <w:sz w:val="22"/>
      <w:lang w:eastAsia="en-US"/>
    </w:rPr>
  </w:style>
  <w:style w:type="paragraph" w:customStyle="1" w:styleId="VersionTableText">
    <w:name w:val="VersionTableText"/>
    <w:basedOn w:val="Normal"/>
    <w:rsid w:val="00243370"/>
    <w:pPr>
      <w:spacing w:after="0"/>
      <w:jc w:val="center"/>
    </w:pPr>
    <w:rPr>
      <w:rFonts w:ascii="Calibri" w:hAnsi="Calibri"/>
      <w:color w:val="000000" w:themeColor="text1"/>
      <w:spacing w:val="2"/>
    </w:rPr>
  </w:style>
  <w:style w:type="paragraph" w:customStyle="1" w:styleId="VersionTableHeading">
    <w:name w:val="VersionTableHeading"/>
    <w:basedOn w:val="Normal"/>
    <w:rsid w:val="00243370"/>
    <w:pPr>
      <w:spacing w:after="0"/>
      <w:jc w:val="center"/>
    </w:pPr>
    <w:rPr>
      <w:rFonts w:ascii="Calibri" w:hAnsi="Calibri"/>
      <w:b/>
      <w:color w:val="000000" w:themeColor="text1"/>
      <w:spacing w:val="2"/>
    </w:rPr>
  </w:style>
  <w:style w:type="paragraph" w:styleId="CommentSubject">
    <w:name w:val="annotation subject"/>
    <w:basedOn w:val="CommentText"/>
    <w:next w:val="CommentText"/>
    <w:link w:val="CommentSubjectChar"/>
    <w:locked/>
    <w:rsid w:val="00243370"/>
    <w:rPr>
      <w:b/>
      <w:bCs/>
    </w:rPr>
  </w:style>
  <w:style w:type="character" w:customStyle="1" w:styleId="CommentSubjectChar">
    <w:name w:val="Comment Subject Char"/>
    <w:basedOn w:val="CommentTextChar"/>
    <w:link w:val="CommentSubject"/>
    <w:rsid w:val="00243370"/>
    <w:rPr>
      <w:rFonts w:ascii="Garamond" w:hAnsi="Garamond"/>
      <w:b/>
      <w:bCs/>
      <w:color w:val="000000" w:themeColor="text1"/>
      <w:spacing w:val="2"/>
      <w:lang w:eastAsia="en-US"/>
    </w:rPr>
  </w:style>
  <w:style w:type="paragraph" w:customStyle="1" w:styleId="Bullet1">
    <w:name w:val="Bullet 1"/>
    <w:qFormat/>
    <w:rsid w:val="00243370"/>
    <w:pPr>
      <w:numPr>
        <w:numId w:val="7"/>
      </w:numPr>
      <w:spacing w:before="100" w:after="100"/>
      <w:contextualSpacing/>
    </w:pPr>
    <w:rPr>
      <w:rFonts w:asciiTheme="minorHAnsi" w:hAnsiTheme="minorHAnsi" w:cs="Calibri"/>
      <w:spacing w:val="2"/>
    </w:rPr>
  </w:style>
  <w:style w:type="paragraph" w:customStyle="1" w:styleId="Bullet2">
    <w:name w:val="Bullet 2"/>
    <w:basedOn w:val="Bullet1"/>
    <w:qFormat/>
    <w:rsid w:val="00243370"/>
    <w:pPr>
      <w:numPr>
        <w:ilvl w:val="1"/>
      </w:numPr>
    </w:pPr>
  </w:style>
  <w:style w:type="paragraph" w:customStyle="1" w:styleId="Bulletindent">
    <w:name w:val="Bullet indent"/>
    <w:basedOn w:val="Bullet2"/>
    <w:uiPriority w:val="5"/>
    <w:qFormat/>
    <w:rsid w:val="00243370"/>
    <w:pPr>
      <w:numPr>
        <w:ilvl w:val="2"/>
      </w:numPr>
    </w:pPr>
  </w:style>
  <w:style w:type="paragraph" w:customStyle="1" w:styleId="Bulletindent2">
    <w:name w:val="Bullet indent 2"/>
    <w:basedOn w:val="Normal"/>
    <w:uiPriority w:val="5"/>
    <w:qFormat/>
    <w:rsid w:val="00243370"/>
    <w:pPr>
      <w:numPr>
        <w:ilvl w:val="3"/>
        <w:numId w:val="7"/>
      </w:numPr>
      <w:spacing w:before="100" w:after="100" w:line="276" w:lineRule="auto"/>
      <w:contextualSpacing/>
    </w:pPr>
    <w:rPr>
      <w:rFonts w:eastAsiaTheme="minorEastAsia" w:cstheme="minorBidi"/>
      <w:color w:val="000000" w:themeColor="text1"/>
      <w:spacing w:val="2"/>
      <w:sz w:val="20"/>
      <w:lang w:eastAsia="en-AU"/>
    </w:rPr>
  </w:style>
  <w:style w:type="character" w:customStyle="1" w:styleId="Heading2Char">
    <w:name w:val="Heading 2 Char"/>
    <w:basedOn w:val="DefaultParagraphFont"/>
    <w:link w:val="Heading2"/>
    <w:rsid w:val="00243370"/>
    <w:rPr>
      <w:rFonts w:ascii="Calibri" w:hAnsi="Calibri"/>
      <w:b/>
      <w:kern w:val="28"/>
      <w:sz w:val="26"/>
      <w:szCs w:val="22"/>
      <w:lang w:eastAsia="en-US"/>
    </w:rPr>
  </w:style>
  <w:style w:type="paragraph" w:customStyle="1" w:styleId="Tabletextnoindent">
    <w:name w:val="Table text no indent"/>
    <w:basedOn w:val="Tabletext"/>
    <w:qFormat/>
    <w:rsid w:val="00243370"/>
    <w:pPr>
      <w:spacing w:after="80"/>
      <w:ind w:left="0" w:firstLine="0"/>
    </w:pPr>
    <w:rPr>
      <w:sz w:val="20"/>
    </w:rPr>
  </w:style>
  <w:style w:type="paragraph" w:customStyle="1" w:styleId="TabletextheadingLeft0">
    <w:name w:val="Table text heading Left"/>
    <w:basedOn w:val="Tabletextheading"/>
    <w:rsid w:val="00243370"/>
    <w:pPr>
      <w:jc w:val="left"/>
    </w:pPr>
  </w:style>
  <w:style w:type="character" w:customStyle="1" w:styleId="OGNotesChar">
    <w:name w:val="OGNotes Char"/>
    <w:link w:val="OGNotes"/>
    <w:rsid w:val="00243370"/>
    <w:rPr>
      <w:rFonts w:ascii="Calibri" w:hAnsi="Calibri"/>
      <w:i/>
      <w:sz w:val="15"/>
    </w:rPr>
  </w:style>
  <w:style w:type="paragraph" w:styleId="FootnoteText">
    <w:name w:val="footnote text"/>
    <w:basedOn w:val="Normal"/>
    <w:link w:val="FootnoteTextChar"/>
    <w:uiPriority w:val="5"/>
    <w:locked/>
    <w:rsid w:val="00243370"/>
    <w:pPr>
      <w:spacing w:after="0"/>
    </w:pPr>
    <w:rPr>
      <w:sz w:val="20"/>
    </w:rPr>
  </w:style>
  <w:style w:type="character" w:customStyle="1" w:styleId="FootnoteTextChar">
    <w:name w:val="Footnote Text Char"/>
    <w:basedOn w:val="DefaultParagraphFont"/>
    <w:link w:val="FootnoteText"/>
    <w:uiPriority w:val="5"/>
    <w:rsid w:val="00243370"/>
    <w:rPr>
      <w:rFonts w:ascii="Garamond" w:hAnsi="Garamond"/>
      <w:lang w:eastAsia="en-US"/>
    </w:rPr>
  </w:style>
  <w:style w:type="character" w:styleId="FootnoteReference">
    <w:name w:val="footnote reference"/>
    <w:basedOn w:val="DefaultParagraphFont"/>
    <w:uiPriority w:val="5"/>
    <w:locked/>
    <w:rsid w:val="00243370"/>
    <w:rPr>
      <w:vertAlign w:val="superscript"/>
    </w:rPr>
  </w:style>
  <w:style w:type="character" w:customStyle="1" w:styleId="OGHeading1Char">
    <w:name w:val="OGHeading1 Char"/>
    <w:link w:val="OGHeading1"/>
    <w:rsid w:val="00243370"/>
    <w:rPr>
      <w:rFonts w:ascii="Calibri" w:hAnsi="Calibri"/>
      <w:b/>
      <w:sz w:val="32"/>
      <w:szCs w:val="28"/>
      <w:lang w:eastAsia="en-US"/>
    </w:rPr>
  </w:style>
  <w:style w:type="paragraph" w:customStyle="1" w:styleId="BERCReporting">
    <w:name w:val="BERCReporting"/>
    <w:rsid w:val="00243370"/>
    <w:pPr>
      <w:spacing w:line="280" w:lineRule="exact"/>
    </w:pPr>
    <w:rPr>
      <w:rFonts w:ascii="Calibri" w:eastAsia="Calibri" w:hAnsi="Calibri" w:cs="Calibri"/>
      <w:sz w:val="19"/>
      <w:szCs w:val="19"/>
      <w:lang w:eastAsia="en-US"/>
    </w:rPr>
  </w:style>
  <w:style w:type="character" w:styleId="Hyperlink">
    <w:name w:val="Hyperlink"/>
    <w:uiPriority w:val="99"/>
    <w:unhideWhenUsed/>
    <w:locked/>
    <w:rsid w:val="00243370"/>
    <w:rPr>
      <w:color w:val="0000FF"/>
      <w:u w:val="single"/>
    </w:rPr>
  </w:style>
  <w:style w:type="character" w:styleId="FollowedHyperlink">
    <w:name w:val="FollowedHyperlink"/>
    <w:uiPriority w:val="99"/>
    <w:unhideWhenUsed/>
    <w:locked/>
    <w:rsid w:val="00243370"/>
    <w:rPr>
      <w:color w:val="800080"/>
      <w:u w:val="single"/>
    </w:rPr>
  </w:style>
  <w:style w:type="paragraph" w:customStyle="1" w:styleId="DSETableTitle">
    <w:name w:val="DSE_TableTitle"/>
    <w:rsid w:val="00243370"/>
    <w:pPr>
      <w:spacing w:after="120" w:line="220" w:lineRule="atLeast"/>
    </w:pPr>
    <w:rPr>
      <w:rFonts w:ascii="Arial" w:hAnsi="Arial" w:cs="Arial"/>
      <w:b/>
      <w:color w:val="404040"/>
      <w:sz w:val="18"/>
      <w:szCs w:val="18"/>
      <w:lang w:eastAsia="en-US"/>
    </w:rPr>
  </w:style>
  <w:style w:type="paragraph" w:customStyle="1" w:styleId="CharCharCharChar">
    <w:name w:val="Char Char Char Char"/>
    <w:basedOn w:val="Normal"/>
    <w:rsid w:val="00243370"/>
    <w:pPr>
      <w:spacing w:after="160" w:line="240" w:lineRule="exact"/>
    </w:pPr>
    <w:rPr>
      <w:rFonts w:ascii="Tahoma" w:hAnsi="Tahoma" w:cs="Tahoma"/>
      <w:sz w:val="20"/>
      <w:lang w:val="en-US"/>
    </w:rPr>
  </w:style>
  <w:style w:type="table" w:styleId="MediumShading1">
    <w:name w:val="Medium Shading 1"/>
    <w:basedOn w:val="TableNormal"/>
    <w:uiPriority w:val="63"/>
    <w:rsid w:val="00243370"/>
    <w:tblPr>
      <w:tblStyleRowBandSize w:val="1"/>
      <w:tblStyleColBandSize w:val="1"/>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abletextbullet">
    <w:name w:val="Table text bullet"/>
    <w:basedOn w:val="Tabletextnoindent"/>
    <w:qFormat/>
    <w:rsid w:val="00243370"/>
    <w:pPr>
      <w:keepNext/>
      <w:numPr>
        <w:numId w:val="8"/>
      </w:numPr>
      <w:ind w:left="388"/>
      <w:outlineLvl w:val="1"/>
    </w:pPr>
  </w:style>
  <w:style w:type="paragraph" w:customStyle="1" w:styleId="xl63">
    <w:name w:val="xl63"/>
    <w:basedOn w:val="Normal"/>
    <w:rsid w:val="00243370"/>
    <w:pPr>
      <w:spacing w:before="100" w:beforeAutospacing="1" w:after="100" w:afterAutospacing="1"/>
    </w:pPr>
    <w:rPr>
      <w:rFonts w:ascii="Times New Roman" w:hAnsi="Times New Roman"/>
      <w:b/>
      <w:bCs/>
      <w:sz w:val="28"/>
      <w:szCs w:val="28"/>
      <w:lang w:eastAsia="en-AU"/>
    </w:rPr>
  </w:style>
  <w:style w:type="paragraph" w:customStyle="1" w:styleId="xl64">
    <w:name w:val="xl64"/>
    <w:basedOn w:val="Normal"/>
    <w:rsid w:val="00243370"/>
    <w:pPr>
      <w:pBdr>
        <w:top w:val="single" w:sz="4" w:space="0" w:color="000000"/>
        <w:left w:val="single" w:sz="4" w:space="0" w:color="000000"/>
        <w:right w:val="single" w:sz="4" w:space="0" w:color="000000"/>
      </w:pBdr>
      <w:shd w:val="clear" w:color="000000" w:fill="000000"/>
      <w:spacing w:before="100" w:beforeAutospacing="1" w:after="100" w:afterAutospacing="1"/>
    </w:pPr>
    <w:rPr>
      <w:rFonts w:ascii="Times New Roman" w:hAnsi="Times New Roman"/>
      <w:color w:val="FFFFFF"/>
      <w:sz w:val="24"/>
      <w:szCs w:val="24"/>
      <w:lang w:eastAsia="en-AU"/>
    </w:rPr>
  </w:style>
  <w:style w:type="paragraph" w:customStyle="1" w:styleId="xl65">
    <w:name w:val="xl65"/>
    <w:basedOn w:val="Normal"/>
    <w:rsid w:val="00243370"/>
    <w:pPr>
      <w:pBdr>
        <w:top w:val="single" w:sz="4" w:space="0" w:color="000000"/>
        <w:right w:val="single" w:sz="4" w:space="0" w:color="000000"/>
      </w:pBdr>
      <w:shd w:val="clear" w:color="000000" w:fill="000000"/>
      <w:spacing w:before="100" w:beforeAutospacing="1" w:after="100" w:afterAutospacing="1"/>
      <w:jc w:val="right"/>
    </w:pPr>
    <w:rPr>
      <w:rFonts w:ascii="Times New Roman" w:hAnsi="Times New Roman"/>
      <w:color w:val="FFFFFF"/>
      <w:sz w:val="24"/>
      <w:szCs w:val="24"/>
      <w:lang w:eastAsia="en-AU"/>
    </w:rPr>
  </w:style>
  <w:style w:type="paragraph" w:customStyle="1" w:styleId="xl66">
    <w:name w:val="xl66"/>
    <w:basedOn w:val="Normal"/>
    <w:rsid w:val="00243370"/>
    <w:pPr>
      <w:pBdr>
        <w:top w:val="single" w:sz="4" w:space="0" w:color="000000"/>
        <w:right w:val="single" w:sz="4" w:space="0" w:color="000000"/>
      </w:pBdr>
      <w:shd w:val="clear" w:color="000000" w:fill="000000"/>
      <w:spacing w:before="100" w:beforeAutospacing="1" w:after="100" w:afterAutospacing="1"/>
      <w:jc w:val="right"/>
    </w:pPr>
    <w:rPr>
      <w:rFonts w:ascii="Times New Roman" w:hAnsi="Times New Roman"/>
      <w:color w:val="EEECE1"/>
      <w:sz w:val="24"/>
      <w:szCs w:val="24"/>
      <w:lang w:eastAsia="en-AU"/>
    </w:rPr>
  </w:style>
  <w:style w:type="paragraph" w:customStyle="1" w:styleId="xl67">
    <w:name w:val="xl67"/>
    <w:basedOn w:val="Normal"/>
    <w:rsid w:val="00243370"/>
    <w:pPr>
      <w:pBdr>
        <w:left w:val="single" w:sz="4" w:space="0" w:color="000000"/>
        <w:right w:val="single" w:sz="4" w:space="0" w:color="000000"/>
      </w:pBdr>
      <w:shd w:val="clear" w:color="000000" w:fill="000000"/>
      <w:spacing w:before="100" w:beforeAutospacing="1" w:after="100" w:afterAutospacing="1"/>
    </w:pPr>
    <w:rPr>
      <w:rFonts w:ascii="Times New Roman" w:hAnsi="Times New Roman"/>
      <w:i/>
      <w:iCs/>
      <w:color w:val="FFFFFF"/>
      <w:sz w:val="24"/>
      <w:szCs w:val="24"/>
      <w:lang w:eastAsia="en-AU"/>
    </w:rPr>
  </w:style>
  <w:style w:type="paragraph" w:customStyle="1" w:styleId="xl68">
    <w:name w:val="xl68"/>
    <w:basedOn w:val="Normal"/>
    <w:rsid w:val="00243370"/>
    <w:pPr>
      <w:pBdr>
        <w:right w:val="single" w:sz="4" w:space="0" w:color="000000"/>
      </w:pBdr>
      <w:shd w:val="clear" w:color="000000" w:fill="000000"/>
      <w:spacing w:before="100" w:beforeAutospacing="1" w:after="100" w:afterAutospacing="1"/>
      <w:jc w:val="right"/>
    </w:pPr>
    <w:rPr>
      <w:rFonts w:ascii="Times New Roman" w:hAnsi="Times New Roman"/>
      <w:color w:val="FFFFFF"/>
      <w:sz w:val="24"/>
      <w:szCs w:val="24"/>
      <w:lang w:eastAsia="en-AU"/>
    </w:rPr>
  </w:style>
  <w:style w:type="paragraph" w:customStyle="1" w:styleId="xl69">
    <w:name w:val="xl69"/>
    <w:basedOn w:val="Normal"/>
    <w:rsid w:val="00243370"/>
    <w:pPr>
      <w:pBdr>
        <w:left w:val="single" w:sz="4" w:space="0" w:color="000000"/>
        <w:bottom w:val="single" w:sz="4" w:space="0" w:color="000000"/>
        <w:right w:val="single" w:sz="4" w:space="0" w:color="000000"/>
      </w:pBdr>
      <w:shd w:val="clear" w:color="000000" w:fill="000000"/>
      <w:spacing w:before="100" w:beforeAutospacing="1" w:after="100" w:afterAutospacing="1"/>
    </w:pPr>
    <w:rPr>
      <w:rFonts w:ascii="Times New Roman" w:hAnsi="Times New Roman"/>
      <w:sz w:val="24"/>
      <w:szCs w:val="24"/>
      <w:lang w:eastAsia="en-AU"/>
    </w:rPr>
  </w:style>
  <w:style w:type="paragraph" w:customStyle="1" w:styleId="xl70">
    <w:name w:val="xl70"/>
    <w:basedOn w:val="Normal"/>
    <w:rsid w:val="00243370"/>
    <w:pPr>
      <w:pBdr>
        <w:bottom w:val="single" w:sz="4" w:space="0" w:color="000000"/>
        <w:right w:val="single" w:sz="4" w:space="0" w:color="000000"/>
      </w:pBdr>
      <w:shd w:val="clear" w:color="000000" w:fill="000000"/>
      <w:spacing w:before="100" w:beforeAutospacing="1" w:after="100" w:afterAutospacing="1"/>
    </w:pPr>
    <w:rPr>
      <w:rFonts w:ascii="Times New Roman" w:hAnsi="Times New Roman"/>
      <w:sz w:val="24"/>
      <w:szCs w:val="24"/>
      <w:lang w:eastAsia="en-AU"/>
    </w:rPr>
  </w:style>
  <w:style w:type="paragraph" w:customStyle="1" w:styleId="xl71">
    <w:name w:val="xl71"/>
    <w:basedOn w:val="Normal"/>
    <w:rsid w:val="00243370"/>
    <w:pPr>
      <w:pBdr>
        <w:bottom w:val="single" w:sz="4" w:space="0" w:color="000000"/>
        <w:right w:val="single" w:sz="4" w:space="0" w:color="000000"/>
      </w:pBdr>
      <w:shd w:val="clear" w:color="000000" w:fill="000000"/>
      <w:spacing w:before="100" w:beforeAutospacing="1" w:after="100" w:afterAutospacing="1"/>
      <w:jc w:val="right"/>
    </w:pPr>
    <w:rPr>
      <w:rFonts w:ascii="Times New Roman" w:hAnsi="Times New Roman"/>
      <w:color w:val="FFFFFF"/>
      <w:sz w:val="24"/>
      <w:szCs w:val="24"/>
      <w:lang w:eastAsia="en-AU"/>
    </w:rPr>
  </w:style>
  <w:style w:type="paragraph" w:customStyle="1" w:styleId="xl72">
    <w:name w:val="xl72"/>
    <w:basedOn w:val="Normal"/>
    <w:rsid w:val="00243370"/>
    <w:pPr>
      <w:shd w:val="clear" w:color="000000" w:fill="FFFFFF"/>
      <w:spacing w:before="100" w:beforeAutospacing="1" w:after="100" w:afterAutospacing="1"/>
      <w:textAlignment w:val="top"/>
    </w:pPr>
    <w:rPr>
      <w:rFonts w:ascii="Times New Roman" w:hAnsi="Times New Roman"/>
      <w:sz w:val="24"/>
      <w:szCs w:val="24"/>
      <w:lang w:eastAsia="en-AU"/>
    </w:rPr>
  </w:style>
  <w:style w:type="paragraph" w:customStyle="1" w:styleId="xl73">
    <w:name w:val="xl73"/>
    <w:basedOn w:val="Normal"/>
    <w:rsid w:val="00243370"/>
    <w:pPr>
      <w:shd w:val="clear" w:color="000000" w:fill="FFFFFF"/>
      <w:spacing w:before="100" w:beforeAutospacing="1" w:after="100" w:afterAutospacing="1"/>
      <w:jc w:val="right"/>
      <w:textAlignment w:val="top"/>
    </w:pPr>
    <w:rPr>
      <w:rFonts w:ascii="Times New Roman" w:hAnsi="Times New Roman"/>
      <w:sz w:val="24"/>
      <w:szCs w:val="24"/>
      <w:lang w:eastAsia="en-AU"/>
    </w:rPr>
  </w:style>
  <w:style w:type="paragraph" w:customStyle="1" w:styleId="xl74">
    <w:name w:val="xl74"/>
    <w:basedOn w:val="Normal"/>
    <w:rsid w:val="00243370"/>
    <w:pPr>
      <w:shd w:val="clear" w:color="000000" w:fill="FFFFFF"/>
      <w:spacing w:before="100" w:beforeAutospacing="1" w:after="100" w:afterAutospacing="1"/>
      <w:jc w:val="center"/>
      <w:textAlignment w:val="top"/>
    </w:pPr>
    <w:rPr>
      <w:rFonts w:ascii="Times New Roman" w:hAnsi="Times New Roman"/>
      <w:sz w:val="24"/>
      <w:szCs w:val="24"/>
      <w:lang w:eastAsia="en-AU"/>
    </w:rPr>
  </w:style>
  <w:style w:type="paragraph" w:customStyle="1" w:styleId="xl75">
    <w:name w:val="xl75"/>
    <w:basedOn w:val="Normal"/>
    <w:rsid w:val="00243370"/>
    <w:pPr>
      <w:spacing w:before="100" w:beforeAutospacing="1" w:after="100" w:afterAutospacing="1"/>
    </w:pPr>
    <w:rPr>
      <w:rFonts w:ascii="Times New Roman" w:hAnsi="Times New Roman"/>
      <w:sz w:val="16"/>
      <w:szCs w:val="16"/>
      <w:lang w:eastAsia="en-AU"/>
    </w:rPr>
  </w:style>
  <w:style w:type="paragraph" w:customStyle="1" w:styleId="xl76">
    <w:name w:val="xl76"/>
    <w:basedOn w:val="Normal"/>
    <w:rsid w:val="00243370"/>
    <w:pPr>
      <w:shd w:val="clear" w:color="000000" w:fill="FFFFFF"/>
      <w:spacing w:before="100" w:beforeAutospacing="1" w:after="100" w:afterAutospacing="1"/>
      <w:jc w:val="right"/>
      <w:textAlignment w:val="top"/>
    </w:pPr>
    <w:rPr>
      <w:rFonts w:ascii="Times New Roman" w:hAnsi="Times New Roman"/>
      <w:sz w:val="24"/>
      <w:szCs w:val="24"/>
      <w:lang w:eastAsia="en-AU"/>
    </w:rPr>
  </w:style>
  <w:style w:type="paragraph" w:customStyle="1" w:styleId="xl77">
    <w:name w:val="xl77"/>
    <w:basedOn w:val="Normal"/>
    <w:rsid w:val="00243370"/>
    <w:pPr>
      <w:shd w:val="clear" w:color="000000" w:fill="FFFFFF"/>
      <w:spacing w:before="100" w:beforeAutospacing="1" w:after="100" w:afterAutospacing="1"/>
      <w:jc w:val="center"/>
      <w:textAlignment w:val="top"/>
    </w:pPr>
    <w:rPr>
      <w:rFonts w:ascii="Times New Roman" w:hAnsi="Times New Roman"/>
      <w:sz w:val="24"/>
      <w:szCs w:val="24"/>
      <w:lang w:eastAsia="en-AU"/>
    </w:rPr>
  </w:style>
  <w:style w:type="paragraph" w:customStyle="1" w:styleId="xl78">
    <w:name w:val="xl78"/>
    <w:basedOn w:val="Normal"/>
    <w:rsid w:val="00243370"/>
    <w:pPr>
      <w:shd w:val="clear" w:color="000000" w:fill="FFFFFF"/>
      <w:spacing w:before="100" w:beforeAutospacing="1" w:after="100" w:afterAutospacing="1"/>
      <w:jc w:val="right"/>
      <w:textAlignment w:val="top"/>
    </w:pPr>
    <w:rPr>
      <w:rFonts w:ascii="Times New Roman" w:hAnsi="Times New Roman"/>
      <w:sz w:val="24"/>
      <w:szCs w:val="24"/>
      <w:lang w:eastAsia="en-AU"/>
    </w:rPr>
  </w:style>
  <w:style w:type="paragraph" w:customStyle="1" w:styleId="xl79">
    <w:name w:val="xl79"/>
    <w:basedOn w:val="Normal"/>
    <w:rsid w:val="00243370"/>
    <w:pPr>
      <w:shd w:val="clear" w:color="000000" w:fill="FFFFFF"/>
      <w:spacing w:before="100" w:beforeAutospacing="1" w:after="100" w:afterAutospacing="1"/>
      <w:jc w:val="center"/>
      <w:textAlignment w:val="top"/>
    </w:pPr>
    <w:rPr>
      <w:rFonts w:ascii="Times New Roman" w:hAnsi="Times New Roman"/>
      <w:sz w:val="24"/>
      <w:szCs w:val="24"/>
      <w:lang w:eastAsia="en-AU"/>
    </w:rPr>
  </w:style>
  <w:style w:type="paragraph" w:customStyle="1" w:styleId="xl80">
    <w:name w:val="xl80"/>
    <w:basedOn w:val="Normal"/>
    <w:rsid w:val="00243370"/>
    <w:pPr>
      <w:spacing w:before="100" w:beforeAutospacing="1" w:after="100" w:afterAutospacing="1"/>
    </w:pPr>
    <w:rPr>
      <w:rFonts w:ascii="Times New Roman" w:hAnsi="Times New Roman"/>
      <w:sz w:val="24"/>
      <w:szCs w:val="24"/>
      <w:lang w:eastAsia="en-AU"/>
    </w:rPr>
  </w:style>
  <w:style w:type="paragraph" w:customStyle="1" w:styleId="xl81">
    <w:name w:val="xl81"/>
    <w:basedOn w:val="Normal"/>
    <w:rsid w:val="00243370"/>
    <w:pPr>
      <w:spacing w:before="100" w:beforeAutospacing="1" w:after="100" w:afterAutospacing="1"/>
    </w:pPr>
    <w:rPr>
      <w:rFonts w:ascii="Times New Roman" w:hAnsi="Times New Roman"/>
      <w:sz w:val="16"/>
      <w:szCs w:val="16"/>
      <w:lang w:eastAsia="en-AU"/>
    </w:rPr>
  </w:style>
  <w:style w:type="paragraph" w:customStyle="1" w:styleId="xl82">
    <w:name w:val="xl82"/>
    <w:basedOn w:val="Normal"/>
    <w:rsid w:val="00243370"/>
    <w:pPr>
      <w:pBdr>
        <w:left w:val="single" w:sz="4" w:space="0" w:color="000000"/>
        <w:right w:val="single" w:sz="4" w:space="0" w:color="000000"/>
      </w:pBdr>
      <w:shd w:val="clear" w:color="000000" w:fill="000000"/>
      <w:spacing w:before="100" w:beforeAutospacing="1" w:after="100" w:afterAutospacing="1"/>
    </w:pPr>
    <w:rPr>
      <w:rFonts w:ascii="Times New Roman" w:hAnsi="Times New Roman"/>
      <w:color w:val="FFFFFF"/>
      <w:sz w:val="24"/>
      <w:szCs w:val="24"/>
      <w:lang w:eastAsia="en-AU"/>
    </w:rPr>
  </w:style>
  <w:style w:type="paragraph" w:customStyle="1" w:styleId="xl83">
    <w:name w:val="xl83"/>
    <w:basedOn w:val="Normal"/>
    <w:rsid w:val="00243370"/>
    <w:pPr>
      <w:pBdr>
        <w:left w:val="single" w:sz="4" w:space="0" w:color="000000"/>
        <w:bottom w:val="single" w:sz="4" w:space="0" w:color="000000"/>
        <w:right w:val="single" w:sz="4" w:space="0" w:color="000000"/>
      </w:pBdr>
      <w:shd w:val="clear" w:color="000000" w:fill="000000"/>
      <w:spacing w:before="100" w:beforeAutospacing="1" w:after="100" w:afterAutospacing="1"/>
    </w:pPr>
    <w:rPr>
      <w:rFonts w:ascii="Times New Roman" w:hAnsi="Times New Roman"/>
      <w:color w:val="FFFFFF"/>
      <w:sz w:val="24"/>
      <w:szCs w:val="24"/>
      <w:lang w:eastAsia="en-AU"/>
    </w:rPr>
  </w:style>
  <w:style w:type="paragraph" w:customStyle="1" w:styleId="xl84">
    <w:name w:val="xl84"/>
    <w:basedOn w:val="Normal"/>
    <w:rsid w:val="00243370"/>
    <w:pPr>
      <w:spacing w:before="100" w:beforeAutospacing="1" w:after="100" w:afterAutospacing="1"/>
    </w:pPr>
    <w:rPr>
      <w:rFonts w:ascii="Times New Roman" w:hAnsi="Times New Roman"/>
      <w:b/>
      <w:bCs/>
      <w:sz w:val="28"/>
      <w:szCs w:val="28"/>
      <w:lang w:eastAsia="en-AU"/>
    </w:rPr>
  </w:style>
  <w:style w:type="paragraph" w:customStyle="1" w:styleId="xl85">
    <w:name w:val="xl85"/>
    <w:basedOn w:val="Normal"/>
    <w:rsid w:val="00243370"/>
    <w:pPr>
      <w:spacing w:before="100" w:beforeAutospacing="1" w:after="100" w:afterAutospacing="1"/>
    </w:pPr>
    <w:rPr>
      <w:rFonts w:ascii="Times New Roman" w:hAnsi="Times New Roman"/>
      <w:b/>
      <w:bCs/>
      <w:i/>
      <w:iCs/>
      <w:sz w:val="24"/>
      <w:szCs w:val="24"/>
      <w:lang w:eastAsia="en-AU"/>
    </w:rPr>
  </w:style>
  <w:style w:type="paragraph" w:customStyle="1" w:styleId="xl86">
    <w:name w:val="xl86"/>
    <w:basedOn w:val="Normal"/>
    <w:rsid w:val="00243370"/>
    <w:pPr>
      <w:spacing w:before="100" w:beforeAutospacing="1" w:after="100" w:afterAutospacing="1"/>
    </w:pPr>
    <w:rPr>
      <w:rFonts w:ascii="Times New Roman" w:hAnsi="Times New Roman"/>
      <w:sz w:val="18"/>
      <w:szCs w:val="18"/>
      <w:lang w:eastAsia="en-AU"/>
    </w:rPr>
  </w:style>
  <w:style w:type="paragraph" w:styleId="NormalWeb">
    <w:name w:val="Normal (Web)"/>
    <w:basedOn w:val="Normal"/>
    <w:locked/>
    <w:rsid w:val="00243370"/>
    <w:pPr>
      <w:spacing w:before="100" w:beforeAutospacing="1" w:after="100" w:afterAutospacing="1"/>
    </w:pPr>
    <w:rPr>
      <w:rFonts w:ascii="Times New Roman" w:hAnsi="Times New Roman"/>
      <w:sz w:val="24"/>
      <w:szCs w:val="24"/>
      <w:lang w:eastAsia="en-AU"/>
    </w:rPr>
  </w:style>
  <w:style w:type="character" w:customStyle="1" w:styleId="FooterChar">
    <w:name w:val="Footer Char"/>
    <w:link w:val="Footer"/>
    <w:rsid w:val="00243370"/>
    <w:rPr>
      <w:rFonts w:ascii="Calibri" w:hAnsi="Calibri"/>
      <w:szCs w:val="18"/>
      <w:lang w:eastAsia="en-US"/>
    </w:rPr>
  </w:style>
  <w:style w:type="paragraph" w:customStyle="1" w:styleId="Soy">
    <w:name w:val="Soy"/>
    <w:basedOn w:val="Source"/>
    <w:qFormat/>
    <w:rsid w:val="00243370"/>
  </w:style>
  <w:style w:type="paragraph" w:customStyle="1" w:styleId="font5">
    <w:name w:val="font5"/>
    <w:basedOn w:val="Normal"/>
    <w:rsid w:val="00243370"/>
    <w:pPr>
      <w:spacing w:before="100" w:beforeAutospacing="1" w:after="100" w:afterAutospacing="1"/>
    </w:pPr>
    <w:rPr>
      <w:rFonts w:ascii="Calibri" w:hAnsi="Calibri" w:cs="Calibri"/>
      <w:color w:val="000000"/>
      <w:sz w:val="16"/>
      <w:szCs w:val="16"/>
      <w:lang w:eastAsia="en-AU"/>
    </w:rPr>
  </w:style>
  <w:style w:type="paragraph" w:customStyle="1" w:styleId="font6">
    <w:name w:val="font6"/>
    <w:basedOn w:val="Normal"/>
    <w:rsid w:val="00243370"/>
    <w:pPr>
      <w:spacing w:before="100" w:beforeAutospacing="1" w:after="100" w:afterAutospacing="1"/>
    </w:pPr>
    <w:rPr>
      <w:rFonts w:ascii="Calibri" w:hAnsi="Calibri" w:cs="Calibri"/>
      <w:i/>
      <w:iCs/>
      <w:color w:val="000000"/>
      <w:sz w:val="16"/>
      <w:szCs w:val="16"/>
      <w:lang w:eastAsia="en-AU"/>
    </w:rPr>
  </w:style>
  <w:style w:type="paragraph" w:styleId="EndnoteText">
    <w:name w:val="endnote text"/>
    <w:basedOn w:val="Normal"/>
    <w:link w:val="EndnoteTextChar"/>
    <w:locked/>
    <w:rsid w:val="00243370"/>
    <w:rPr>
      <w:sz w:val="20"/>
    </w:rPr>
  </w:style>
  <w:style w:type="character" w:customStyle="1" w:styleId="EndnoteTextChar">
    <w:name w:val="Endnote Text Char"/>
    <w:basedOn w:val="DefaultParagraphFont"/>
    <w:link w:val="EndnoteText"/>
    <w:rsid w:val="00243370"/>
    <w:rPr>
      <w:rFonts w:ascii="Garamond" w:hAnsi="Garamond"/>
      <w:lang w:eastAsia="en-US"/>
    </w:rPr>
  </w:style>
  <w:style w:type="character" w:styleId="EndnoteReference">
    <w:name w:val="endnote reference"/>
    <w:locked/>
    <w:rsid w:val="00243370"/>
    <w:rPr>
      <w:vertAlign w:val="superscript"/>
    </w:rPr>
  </w:style>
  <w:style w:type="paragraph" w:customStyle="1" w:styleId="TableText0">
    <w:name w:val="Table Text"/>
    <w:basedOn w:val="Normal"/>
    <w:rsid w:val="00243370"/>
    <w:pPr>
      <w:spacing w:before="30" w:after="30"/>
    </w:pPr>
    <w:rPr>
      <w:rFonts w:ascii="Calibri" w:hAnsi="Calibri"/>
      <w:color w:val="4D4D4D"/>
      <w:sz w:val="18"/>
      <w:szCs w:val="24"/>
      <w:lang w:eastAsia="en-AU"/>
    </w:rPr>
  </w:style>
  <w:style w:type="paragraph" w:customStyle="1" w:styleId="TableTextHeadingLeft1">
    <w:name w:val="Table Text Heading Left"/>
    <w:basedOn w:val="Tabletextcentred"/>
    <w:rsid w:val="00243370"/>
    <w:pPr>
      <w:spacing w:before="30" w:after="30"/>
      <w:jc w:val="left"/>
    </w:pPr>
    <w:rPr>
      <w:b/>
      <w:color w:val="4D4D4D"/>
      <w:szCs w:val="24"/>
      <w:lang w:eastAsia="en-AU"/>
    </w:rPr>
  </w:style>
  <w:style w:type="paragraph" w:customStyle="1" w:styleId="TableTextHeadingRight">
    <w:name w:val="Table Text Heading Right"/>
    <w:basedOn w:val="TableTextHeadingLeft1"/>
    <w:rsid w:val="00243370"/>
    <w:pPr>
      <w:jc w:val="right"/>
    </w:pPr>
  </w:style>
  <w:style w:type="paragraph" w:customStyle="1" w:styleId="TableTextHeadingCentre">
    <w:name w:val="Table Text Heading Centre"/>
    <w:basedOn w:val="TableTextHeadingLeft1"/>
    <w:rsid w:val="00243370"/>
    <w:pPr>
      <w:jc w:val="center"/>
    </w:pPr>
  </w:style>
  <w:style w:type="paragraph" w:customStyle="1" w:styleId="TableTextCentred0">
    <w:name w:val="Table Text Centred"/>
    <w:basedOn w:val="TableText0"/>
    <w:rsid w:val="00243370"/>
    <w:pPr>
      <w:jc w:val="center"/>
    </w:pPr>
  </w:style>
  <w:style w:type="paragraph" w:customStyle="1" w:styleId="TableTextRight">
    <w:name w:val="Table Text Right"/>
    <w:basedOn w:val="Normal"/>
    <w:rsid w:val="00243370"/>
    <w:pPr>
      <w:spacing w:before="30" w:after="30"/>
      <w:jc w:val="right"/>
    </w:pPr>
    <w:rPr>
      <w:rFonts w:ascii="Calibri" w:hAnsi="Calibri"/>
      <w:color w:val="4D4D4D"/>
      <w:sz w:val="18"/>
      <w:szCs w:val="18"/>
      <w:lang w:eastAsia="en-AU"/>
    </w:rPr>
  </w:style>
  <w:style w:type="character" w:customStyle="1" w:styleId="Heading3Char">
    <w:name w:val="Heading 3 Char"/>
    <w:link w:val="Heading3"/>
    <w:locked/>
    <w:rsid w:val="00243370"/>
    <w:rPr>
      <w:rFonts w:ascii="Calibri" w:hAnsi="Calibri"/>
      <w:b/>
      <w:i/>
      <w:kern w:val="28"/>
      <w:sz w:val="24"/>
      <w:szCs w:val="22"/>
      <w:lang w:eastAsia="en-US"/>
    </w:rPr>
  </w:style>
  <w:style w:type="paragraph" w:styleId="Index3">
    <w:name w:val="index 3"/>
    <w:basedOn w:val="Normal"/>
    <w:next w:val="Normal"/>
    <w:autoRedefine/>
    <w:rsid w:val="00243370"/>
    <w:pPr>
      <w:spacing w:after="0"/>
      <w:ind w:left="660" w:hanging="220"/>
    </w:pPr>
    <w:rPr>
      <w:rFonts w:ascii="Calibri" w:hAnsi="Calibri" w:cs="Calibri"/>
      <w:sz w:val="18"/>
      <w:szCs w:val="18"/>
    </w:rPr>
  </w:style>
  <w:style w:type="paragraph" w:styleId="Index4">
    <w:name w:val="index 4"/>
    <w:basedOn w:val="Normal"/>
    <w:next w:val="Normal"/>
    <w:autoRedefine/>
    <w:rsid w:val="00243370"/>
    <w:pPr>
      <w:spacing w:after="0"/>
      <w:ind w:left="880" w:hanging="220"/>
    </w:pPr>
    <w:rPr>
      <w:rFonts w:ascii="Calibri" w:hAnsi="Calibri" w:cs="Calibri"/>
      <w:sz w:val="18"/>
      <w:szCs w:val="18"/>
    </w:rPr>
  </w:style>
  <w:style w:type="paragraph" w:styleId="Index5">
    <w:name w:val="index 5"/>
    <w:basedOn w:val="Normal"/>
    <w:next w:val="Normal"/>
    <w:autoRedefine/>
    <w:rsid w:val="00243370"/>
    <w:pPr>
      <w:spacing w:after="0"/>
      <w:ind w:left="1100" w:hanging="220"/>
    </w:pPr>
    <w:rPr>
      <w:rFonts w:ascii="Calibri" w:hAnsi="Calibri" w:cs="Calibri"/>
      <w:sz w:val="18"/>
      <w:szCs w:val="18"/>
    </w:rPr>
  </w:style>
  <w:style w:type="paragraph" w:styleId="Index6">
    <w:name w:val="index 6"/>
    <w:basedOn w:val="Normal"/>
    <w:next w:val="Normal"/>
    <w:autoRedefine/>
    <w:locked/>
    <w:rsid w:val="00243370"/>
    <w:pPr>
      <w:spacing w:after="0"/>
      <w:ind w:left="1320" w:hanging="220"/>
    </w:pPr>
    <w:rPr>
      <w:rFonts w:ascii="Calibri" w:hAnsi="Calibri" w:cs="Calibri"/>
      <w:sz w:val="18"/>
      <w:szCs w:val="18"/>
    </w:rPr>
  </w:style>
  <w:style w:type="paragraph" w:styleId="Index7">
    <w:name w:val="index 7"/>
    <w:basedOn w:val="Normal"/>
    <w:next w:val="Normal"/>
    <w:autoRedefine/>
    <w:locked/>
    <w:rsid w:val="00243370"/>
    <w:pPr>
      <w:spacing w:after="0"/>
      <w:ind w:left="1540" w:hanging="220"/>
    </w:pPr>
    <w:rPr>
      <w:rFonts w:ascii="Calibri" w:hAnsi="Calibri" w:cs="Calibri"/>
      <w:sz w:val="18"/>
      <w:szCs w:val="18"/>
    </w:rPr>
  </w:style>
  <w:style w:type="paragraph" w:styleId="Index8">
    <w:name w:val="index 8"/>
    <w:basedOn w:val="Normal"/>
    <w:next w:val="Normal"/>
    <w:autoRedefine/>
    <w:locked/>
    <w:rsid w:val="00243370"/>
    <w:pPr>
      <w:spacing w:after="0"/>
      <w:ind w:left="1760" w:hanging="220"/>
    </w:pPr>
    <w:rPr>
      <w:rFonts w:ascii="Calibri" w:hAnsi="Calibri" w:cs="Calibri"/>
      <w:sz w:val="18"/>
      <w:szCs w:val="18"/>
    </w:rPr>
  </w:style>
  <w:style w:type="paragraph" w:styleId="Index9">
    <w:name w:val="index 9"/>
    <w:basedOn w:val="Normal"/>
    <w:next w:val="Normal"/>
    <w:autoRedefine/>
    <w:locked/>
    <w:rsid w:val="00243370"/>
    <w:pPr>
      <w:spacing w:after="0"/>
      <w:ind w:left="1980" w:hanging="220"/>
    </w:pPr>
    <w:rPr>
      <w:rFonts w:ascii="Calibri" w:hAnsi="Calibri" w:cs="Calibri"/>
      <w:sz w:val="18"/>
      <w:szCs w:val="18"/>
    </w:rPr>
  </w:style>
  <w:style w:type="paragraph" w:styleId="Revision">
    <w:name w:val="Revision"/>
    <w:hidden/>
    <w:uiPriority w:val="99"/>
    <w:semiHidden/>
    <w:rsid w:val="00243370"/>
    <w:rPr>
      <w:rFonts w:ascii="Garamond" w:hAnsi="Garamond"/>
      <w:sz w:val="22"/>
      <w:lang w:eastAsia="en-US"/>
    </w:rPr>
  </w:style>
  <w:style w:type="paragraph" w:customStyle="1" w:styleId="DPCbody">
    <w:name w:val="DPC body"/>
    <w:qFormat/>
    <w:rsid w:val="00243370"/>
    <w:pPr>
      <w:spacing w:after="160" w:line="300" w:lineRule="atLeast"/>
    </w:pPr>
    <w:rPr>
      <w:rFonts w:asciiTheme="minorHAnsi" w:eastAsia="Times" w:hAnsiTheme="minorHAnsi" w:cs="Arial"/>
      <w:color w:val="000000" w:themeColor="text1"/>
      <w:sz w:val="24"/>
      <w:szCs w:val="24"/>
      <w:lang w:eastAsia="en-US"/>
    </w:rPr>
  </w:style>
  <w:style w:type="table" w:styleId="TableColumns4">
    <w:name w:val="Table Columns 4"/>
    <w:basedOn w:val="TableNormal"/>
    <w:unhideWhenUsed/>
    <w:locked/>
    <w:rsid w:val="00243370"/>
    <w:pPr>
      <w:spacing w:after="120"/>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index 2" w:uiPriority="99"/>
    <w:lsdException w:name="index 3" w:semiHidden="1"/>
    <w:lsdException w:name="index 4" w:semiHidden="1"/>
    <w:lsdException w:name="index 5" w:semiHidden="1"/>
    <w:lsdException w:name="index 6" w:locked="1" w:semiHidden="1"/>
    <w:lsdException w:name="index 7" w:locked="1" w:semiHidden="1"/>
    <w:lsdException w:name="index 8" w:locked="1" w:semiHidden="1"/>
    <w:lsdException w:name="index 9" w:locked="1" w:semiHidden="1"/>
    <w:lsdException w:name="toc 1" w:uiPriority="39"/>
    <w:lsdException w:name="toc 2" w:uiPriority="39"/>
    <w:lsdException w:name="toc 3" w:uiPriority="5"/>
    <w:lsdException w:name="toc 4" w:uiPriority="5"/>
    <w:lsdException w:name="toc 5" w:uiPriority="5"/>
    <w:lsdException w:name="toc 6" w:locked="1" w:semiHidden="1"/>
    <w:lsdException w:name="toc 7" w:locked="1" w:semiHidden="1"/>
    <w:lsdException w:name="toc 8" w:locked="1" w:semiHidden="1"/>
    <w:lsdException w:name="toc 9" w:locked="1" w:semiHidden="1"/>
    <w:lsdException w:name="Normal Indent" w:locked="1"/>
    <w:lsdException w:name="footnote text" w:locked="1" w:semiHidden="1" w:uiPriority="5"/>
    <w:lsdException w:name="annotation text" w:locked="1" w:semiHidden="1"/>
    <w:lsdException w:name="index heading" w:uiPriority="99"/>
    <w:lsdException w:name="caption" w:locked="1" w:semiHidden="1" w:unhideWhenUsed="1" w:qFormat="1"/>
    <w:lsdException w:name="table of figures" w:uiPriority="2" w:qFormat="1"/>
    <w:lsdException w:name="envelope address" w:locked="1" w:semiHidden="1"/>
    <w:lsdException w:name="envelope return" w:locked="1" w:semiHidden="1"/>
    <w:lsdException w:name="footnote reference" w:locked="1" w:semiHidden="1" w:uiPriority="5"/>
    <w:lsdException w:name="annotation reference" w:locked="1" w:semiHidden="1"/>
    <w:lsdException w:name="line number" w:locked="1" w:semiHidden="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locked="1" w:semiHidden="1"/>
    <w:lsdException w:name="Closing" w:locked="1" w:semiHidden="1"/>
    <w:lsdException w:name="Signature" w:locked="1" w:semiHidden="1"/>
    <w:lsdException w:name="Body Text" w:locked="1" w:semiHidden="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semiHidden="1"/>
    <w:lsdException w:name="Salutation" w:locked="1" w:semiHidden="1"/>
    <w:lsdException w:name="Date" w:locked="1" w:semiHidden="1"/>
    <w:lsdException w:name="Body Text First Indent" w:locked="1" w:semiHidden="1"/>
    <w:lsdException w:name="Body Text First Indent 2" w:locked="1" w:semiHidden="1"/>
    <w:lsdException w:name="Note Heading"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semiHidden="1" w:uiPriority="99"/>
    <w:lsdException w:name="FollowedHyperlink" w:locked="1" w:semiHidden="1" w:uiPriority="99"/>
    <w:lsdException w:name="Strong" w:locked="1" w:semiHidden="1"/>
    <w:lsdException w:name="Emphasis" w:locked="1" w:semiHidden="1"/>
    <w:lsdException w:name="Document Map" w:locked="1" w:semiHidden="1"/>
    <w:lsdException w:name="Plain Text" w:locked="1" w:semiHidden="1"/>
    <w:lsdException w:name="E-mail Signature" w:locked="1" w:semiHidden="1"/>
    <w:lsdException w:name="Normal (Web)" w:locked="1" w:semiHidden="1"/>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lsdException w:name="HTML Sample" w:locked="1" w:semiHidden="1"/>
    <w:lsdException w:name="HTML Typewriter" w:locked="1" w:semiHidden="1"/>
    <w:lsdException w:name="HTML Variable" w:locked="1" w:semiHidden="1"/>
    <w:lsdException w:name="annotation subject" w:locked="1" w:semiHidden="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semiHidden="1"/>
    <w:lsdException w:name="Table Grid" w:locked="1" w:uiPriority="59"/>
    <w:lsdException w:name="Table Theme" w:lock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uiPriority w:val="1"/>
    <w:qFormat/>
    <w:rsid w:val="00746C6E"/>
    <w:pPr>
      <w:spacing w:after="120"/>
    </w:pPr>
    <w:rPr>
      <w:rFonts w:ascii="Garamond" w:hAnsi="Garamond"/>
      <w:sz w:val="22"/>
      <w:lang w:eastAsia="en-US"/>
    </w:rPr>
  </w:style>
  <w:style w:type="paragraph" w:styleId="Heading1">
    <w:name w:val="heading 1"/>
    <w:basedOn w:val="Normal"/>
    <w:next w:val="Normal"/>
    <w:link w:val="Heading1Char"/>
    <w:qFormat/>
    <w:rsid w:val="00397F02"/>
    <w:pPr>
      <w:keepNext/>
      <w:spacing w:before="360"/>
      <w:outlineLvl w:val="0"/>
    </w:pPr>
    <w:rPr>
      <w:rFonts w:ascii="Calibri" w:hAnsi="Calibri"/>
      <w:b/>
      <w:caps/>
      <w:sz w:val="26"/>
      <w:szCs w:val="22"/>
    </w:rPr>
  </w:style>
  <w:style w:type="paragraph" w:styleId="Heading2">
    <w:name w:val="heading 2"/>
    <w:basedOn w:val="Normal"/>
    <w:next w:val="Normal"/>
    <w:link w:val="Heading2Char"/>
    <w:qFormat/>
    <w:rsid w:val="00397F02"/>
    <w:pPr>
      <w:keepNext/>
      <w:spacing w:before="240"/>
      <w:outlineLvl w:val="1"/>
    </w:pPr>
    <w:rPr>
      <w:rFonts w:ascii="Calibri" w:hAnsi="Calibri"/>
      <w:b/>
      <w:kern w:val="28"/>
      <w:sz w:val="26"/>
      <w:szCs w:val="22"/>
    </w:rPr>
  </w:style>
  <w:style w:type="paragraph" w:styleId="Heading3">
    <w:name w:val="heading 3"/>
    <w:basedOn w:val="Normal"/>
    <w:next w:val="Normal"/>
    <w:link w:val="Heading3Char"/>
    <w:qFormat/>
    <w:rsid w:val="00397F02"/>
    <w:pPr>
      <w:keepNext/>
      <w:spacing w:before="240"/>
      <w:outlineLvl w:val="2"/>
    </w:pPr>
    <w:rPr>
      <w:rFonts w:ascii="Calibri" w:hAnsi="Calibri"/>
      <w:b/>
      <w:i/>
      <w:kern w:val="28"/>
      <w:sz w:val="24"/>
      <w:szCs w:val="22"/>
    </w:rPr>
  </w:style>
  <w:style w:type="paragraph" w:styleId="Heading4">
    <w:name w:val="heading 4"/>
    <w:basedOn w:val="Normal"/>
    <w:next w:val="Normal"/>
    <w:link w:val="Heading4Char"/>
    <w:qFormat/>
    <w:rsid w:val="00397F02"/>
    <w:pPr>
      <w:keepNext/>
      <w:spacing w:before="240"/>
      <w:outlineLvl w:val="3"/>
    </w:pPr>
    <w:rPr>
      <w:rFonts w:ascii="Calibri" w:hAnsi="Calibri"/>
      <w:i/>
      <w:sz w:val="24"/>
      <w:szCs w:val="22"/>
    </w:rPr>
  </w:style>
  <w:style w:type="paragraph" w:styleId="Heading5">
    <w:name w:val="heading 5"/>
    <w:basedOn w:val="Normal"/>
    <w:next w:val="Normal"/>
    <w:link w:val="Heading5Char"/>
    <w:qFormat/>
    <w:rsid w:val="00F14A31"/>
    <w:pPr>
      <w:keepNext/>
      <w:tabs>
        <w:tab w:val="left" w:pos="504"/>
      </w:tabs>
      <w:spacing w:before="120" w:after="60"/>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uiPriority w:val="1"/>
    <w:qFormat/>
    <w:rsid w:val="00A831CC"/>
    <w:pPr>
      <w:spacing w:after="0"/>
      <w:jc w:val="center"/>
    </w:pPr>
    <w:rPr>
      <w:rFonts w:ascii="Calibri" w:hAnsi="Calibri"/>
      <w:i/>
      <w:sz w:val="18"/>
      <w:szCs w:val="18"/>
    </w:rPr>
  </w:style>
  <w:style w:type="paragraph" w:styleId="TableofFigures">
    <w:name w:val="table of figures"/>
    <w:basedOn w:val="Normal"/>
    <w:next w:val="Normal"/>
    <w:link w:val="TableofFiguresChar"/>
    <w:uiPriority w:val="2"/>
    <w:qFormat/>
    <w:rsid w:val="00397F02"/>
    <w:pPr>
      <w:spacing w:after="0"/>
      <w:jc w:val="right"/>
    </w:pPr>
    <w:rPr>
      <w:rFonts w:ascii="Calibri" w:hAnsi="Calibri"/>
      <w:sz w:val="20"/>
      <w:szCs w:val="18"/>
    </w:rPr>
  </w:style>
  <w:style w:type="character" w:customStyle="1" w:styleId="TableofFiguresChar">
    <w:name w:val="Table of Figures Char"/>
    <w:link w:val="TableofFigures"/>
    <w:uiPriority w:val="2"/>
    <w:rsid w:val="00746C6E"/>
    <w:rPr>
      <w:rFonts w:ascii="Calibri" w:hAnsi="Calibri"/>
      <w:szCs w:val="18"/>
      <w:lang w:eastAsia="en-US"/>
    </w:rPr>
  </w:style>
  <w:style w:type="paragraph" w:customStyle="1" w:styleId="BP4Figures">
    <w:name w:val="BP4 Figures"/>
    <w:basedOn w:val="TableofFigures"/>
    <w:rsid w:val="0059636A"/>
    <w:pPr>
      <w:spacing w:after="30"/>
    </w:pPr>
    <w:rPr>
      <w:sz w:val="18"/>
    </w:rPr>
  </w:style>
  <w:style w:type="paragraph" w:customStyle="1" w:styleId="Tabletextheading">
    <w:name w:val="Table text heading"/>
    <w:basedOn w:val="TableofFigures"/>
    <w:link w:val="TabletextheadingChar"/>
    <w:uiPriority w:val="2"/>
    <w:qFormat/>
    <w:rsid w:val="00A831CC"/>
    <w:rPr>
      <w:i/>
    </w:rPr>
  </w:style>
  <w:style w:type="paragraph" w:customStyle="1" w:styleId="BP4headingr">
    <w:name w:val="BP4 heading r"/>
    <w:basedOn w:val="Tabletextheading"/>
    <w:rsid w:val="00817BD7"/>
    <w:rPr>
      <w:sz w:val="18"/>
    </w:rPr>
  </w:style>
  <w:style w:type="paragraph" w:customStyle="1" w:styleId="BP4headingl">
    <w:name w:val="BP4 heading l"/>
    <w:basedOn w:val="BP4headingr"/>
    <w:rsid w:val="00817BD7"/>
    <w:pPr>
      <w:jc w:val="left"/>
    </w:pPr>
  </w:style>
  <w:style w:type="paragraph" w:customStyle="1" w:styleId="Tabletext">
    <w:name w:val="Table text"/>
    <w:basedOn w:val="TableofFigures"/>
    <w:link w:val="TabletextChar"/>
    <w:uiPriority w:val="2"/>
    <w:qFormat/>
    <w:rsid w:val="00AE1F2D"/>
    <w:pPr>
      <w:ind w:left="180" w:hanging="180"/>
      <w:jc w:val="left"/>
    </w:pPr>
    <w:rPr>
      <w:sz w:val="19"/>
    </w:rPr>
  </w:style>
  <w:style w:type="paragraph" w:customStyle="1" w:styleId="BP4tabletext">
    <w:name w:val="BP4 table text"/>
    <w:basedOn w:val="Tabletext"/>
    <w:rsid w:val="00817BD7"/>
    <w:pPr>
      <w:spacing w:after="30"/>
      <w:ind w:left="72" w:hanging="72"/>
    </w:pPr>
    <w:rPr>
      <w:sz w:val="18"/>
    </w:rPr>
  </w:style>
  <w:style w:type="paragraph" w:customStyle="1" w:styleId="Tableheading">
    <w:name w:val="Table heading"/>
    <w:basedOn w:val="Normal"/>
    <w:link w:val="TableheadingChar"/>
    <w:uiPriority w:val="2"/>
    <w:qFormat/>
    <w:rsid w:val="009E5D93"/>
    <w:pPr>
      <w:keepNext/>
      <w:spacing w:before="240"/>
      <w:ind w:left="1152" w:hanging="1152"/>
    </w:pPr>
    <w:rPr>
      <w:rFonts w:ascii="Calibri" w:hAnsi="Calibri"/>
      <w:b/>
    </w:rPr>
  </w:style>
  <w:style w:type="table" w:styleId="TableGrid">
    <w:name w:val="Table Grid"/>
    <w:basedOn w:val="TableNormal"/>
    <w:uiPriority w:val="59"/>
    <w:locked/>
    <w:rsid w:val="00B37EF1"/>
    <w:pPr>
      <w:spacing w:before="20" w:after="20"/>
      <w:ind w:left="170" w:hanging="170"/>
      <w:jc w:val="right"/>
    </w:pPr>
    <w:rPr>
      <w:rFonts w:ascii="Calibri" w:eastAsiaTheme="minorHAnsi" w:hAnsi="Calibri" w:cstheme="minorBidi"/>
      <w:spacing w:val="2"/>
      <w:sz w:val="18"/>
      <w:szCs w:val="21"/>
      <w:lang w:eastAsia="en-US"/>
    </w:rPr>
    <w:tblPr>
      <w:tblStyleColBandSize w:val="1"/>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color w:val="auto"/>
      </w:rPr>
      <w:tblPr/>
      <w:tcPr>
        <w:shd w:val="clear" w:color="auto" w:fill="000000" w:themeFill="text1"/>
        <w:vAlign w:val="bottom"/>
      </w:tcPr>
    </w:tblStylePr>
    <w:tblStylePr w:type="lastRow">
      <w:rPr>
        <w:b/>
      </w:rPr>
      <w:tblPr/>
      <w:tcPr>
        <w:tcBorders>
          <w:top w:val="single" w:sz="6" w:space="0" w:color="000000" w:themeColor="text1"/>
          <w:bottom w:val="single" w:sz="12" w:space="0" w:color="000000" w:themeColor="text1"/>
        </w:tcBorders>
      </w:tcPr>
    </w:tblStylePr>
    <w:tblStylePr w:type="firstCol">
      <w:pPr>
        <w:wordWrap/>
        <w:ind w:leftChars="0" w:left="170" w:rightChars="0" w:right="0" w:firstLineChars="0" w:hanging="170"/>
        <w:jc w:val="left"/>
      </w:pPr>
    </w:tblStylePr>
    <w:tblStylePr w:type="band1Vert">
      <w:pPr>
        <w:jc w:val="right"/>
      </w:pPr>
    </w:tblStylePr>
    <w:tblStylePr w:type="band2Vert">
      <w:pPr>
        <w:jc w:val="right"/>
      </w:pPr>
    </w:tblStylePr>
  </w:style>
  <w:style w:type="paragraph" w:customStyle="1" w:styleId="BulletText">
    <w:name w:val="Bullet Text"/>
    <w:basedOn w:val="Normal"/>
    <w:link w:val="BulletTextChar"/>
    <w:qFormat/>
    <w:rsid w:val="00CB74FE"/>
    <w:pPr>
      <w:numPr>
        <w:numId w:val="4"/>
      </w:numPr>
    </w:pPr>
  </w:style>
  <w:style w:type="paragraph" w:customStyle="1" w:styleId="ChapterHeading">
    <w:name w:val="Chapter Heading"/>
    <w:basedOn w:val="Normal"/>
    <w:next w:val="Heading1"/>
    <w:qFormat/>
    <w:rsid w:val="00C75B91"/>
    <w:pPr>
      <w:keepNext/>
      <w:pBdr>
        <w:bottom w:val="single" w:sz="12" w:space="7" w:color="auto"/>
      </w:pBdr>
      <w:spacing w:before="1440" w:after="360"/>
    </w:pPr>
    <w:rPr>
      <w:rFonts w:ascii="Calibri" w:hAnsi="Calibri"/>
      <w:b/>
      <w:caps/>
      <w:sz w:val="36"/>
      <w:szCs w:val="28"/>
    </w:rPr>
  </w:style>
  <w:style w:type="paragraph" w:customStyle="1" w:styleId="Chartheading">
    <w:name w:val="Chart heading"/>
    <w:basedOn w:val="Tableheading"/>
    <w:next w:val="Normal"/>
    <w:uiPriority w:val="3"/>
    <w:qFormat/>
    <w:rsid w:val="009E5D93"/>
  </w:style>
  <w:style w:type="paragraph" w:styleId="Footer">
    <w:name w:val="footer"/>
    <w:basedOn w:val="Normal"/>
    <w:link w:val="FooterChar"/>
    <w:rsid w:val="00185277"/>
    <w:pPr>
      <w:pBdr>
        <w:top w:val="single" w:sz="6" w:space="1" w:color="auto"/>
      </w:pBdr>
      <w:tabs>
        <w:tab w:val="right" w:pos="7085"/>
      </w:tabs>
    </w:pPr>
    <w:rPr>
      <w:rFonts w:ascii="Calibri" w:hAnsi="Calibri"/>
      <w:sz w:val="20"/>
      <w:szCs w:val="18"/>
    </w:rPr>
  </w:style>
  <w:style w:type="paragraph" w:styleId="Header">
    <w:name w:val="header"/>
    <w:basedOn w:val="Footer"/>
    <w:rsid w:val="00561253"/>
    <w:pPr>
      <w:pBdr>
        <w:top w:val="none" w:sz="0" w:space="0" w:color="auto"/>
      </w:pBdr>
      <w:tabs>
        <w:tab w:val="clear" w:pos="7085"/>
      </w:tabs>
    </w:pPr>
  </w:style>
  <w:style w:type="paragraph" w:customStyle="1" w:styleId="Heading2Notes">
    <w:name w:val="Heading 2 Notes"/>
    <w:basedOn w:val="Heading2"/>
    <w:rsid w:val="003E5374"/>
    <w:pPr>
      <w:tabs>
        <w:tab w:val="left" w:pos="1152"/>
      </w:tabs>
      <w:ind w:left="1152" w:hanging="1152"/>
    </w:pPr>
  </w:style>
  <w:style w:type="paragraph" w:customStyle="1" w:styleId="Notes">
    <w:name w:val="Notes"/>
    <w:basedOn w:val="Normal"/>
    <w:link w:val="NotesChar"/>
    <w:uiPriority w:val="2"/>
    <w:qFormat/>
    <w:rsid w:val="00C24EC3"/>
    <w:pPr>
      <w:tabs>
        <w:tab w:val="left" w:pos="454"/>
      </w:tabs>
      <w:spacing w:after="0"/>
      <w:ind w:left="461" w:hanging="461"/>
    </w:pPr>
    <w:rPr>
      <w:rFonts w:ascii="Calibri" w:hAnsi="Calibri"/>
      <w:i/>
      <w:sz w:val="15"/>
    </w:rPr>
  </w:style>
  <w:style w:type="paragraph" w:customStyle="1" w:styleId="OGBullet">
    <w:name w:val="OGBullet"/>
    <w:basedOn w:val="Normal"/>
    <w:rsid w:val="00397F02"/>
    <w:pPr>
      <w:numPr>
        <w:numId w:val="1"/>
      </w:numPr>
    </w:pPr>
    <w:rPr>
      <w:rFonts w:ascii="Calibri" w:hAnsi="Calibri"/>
      <w:sz w:val="20"/>
      <w:szCs w:val="18"/>
    </w:rPr>
  </w:style>
  <w:style w:type="paragraph" w:customStyle="1" w:styleId="OGHeading1">
    <w:name w:val="OGHeading1"/>
    <w:basedOn w:val="Normal"/>
    <w:link w:val="OGHeading1Char"/>
    <w:rsid w:val="00397F02"/>
    <w:rPr>
      <w:rFonts w:ascii="Calibri" w:hAnsi="Calibri"/>
      <w:b/>
      <w:sz w:val="32"/>
      <w:szCs w:val="28"/>
    </w:rPr>
  </w:style>
  <w:style w:type="paragraph" w:customStyle="1" w:styleId="OGHeading2">
    <w:name w:val="OGHeading2"/>
    <w:basedOn w:val="Normal"/>
    <w:link w:val="OGHeading2Char"/>
    <w:rsid w:val="00397F02"/>
    <w:pPr>
      <w:keepNext/>
      <w:spacing w:before="60"/>
    </w:pPr>
    <w:rPr>
      <w:rFonts w:ascii="Calibri" w:hAnsi="Calibri"/>
      <w:b/>
      <w:sz w:val="28"/>
      <w:szCs w:val="24"/>
    </w:rPr>
  </w:style>
  <w:style w:type="character" w:customStyle="1" w:styleId="OGHeading2Char">
    <w:name w:val="OGHeading2 Char"/>
    <w:link w:val="OGHeading2"/>
    <w:rsid w:val="00AE1F2D"/>
    <w:rPr>
      <w:rFonts w:ascii="Calibri" w:hAnsi="Calibri"/>
      <w:b/>
      <w:sz w:val="28"/>
      <w:szCs w:val="24"/>
      <w:lang w:eastAsia="en-US"/>
    </w:rPr>
  </w:style>
  <w:style w:type="paragraph" w:customStyle="1" w:styleId="OGTabHead">
    <w:name w:val="OGTabHead"/>
    <w:basedOn w:val="Normal"/>
    <w:rsid w:val="00882953"/>
    <w:pPr>
      <w:keepNext/>
      <w:keepLines/>
      <w:spacing w:before="30" w:after="30"/>
    </w:pPr>
    <w:rPr>
      <w:rFonts w:ascii="Calibri" w:hAnsi="Calibri"/>
      <w:i/>
      <w:sz w:val="20"/>
      <w:szCs w:val="18"/>
    </w:rPr>
  </w:style>
  <w:style w:type="paragraph" w:customStyle="1" w:styleId="OGTabText">
    <w:name w:val="OGTabText"/>
    <w:basedOn w:val="Normal"/>
    <w:link w:val="OGTabTextChar"/>
    <w:rsid w:val="00882953"/>
    <w:pPr>
      <w:spacing w:before="30" w:after="30"/>
      <w:ind w:left="144"/>
    </w:pPr>
    <w:rPr>
      <w:rFonts w:ascii="Calibri" w:hAnsi="Calibri"/>
      <w:sz w:val="20"/>
      <w:szCs w:val="18"/>
    </w:rPr>
  </w:style>
  <w:style w:type="character" w:customStyle="1" w:styleId="OGTabTextChar">
    <w:name w:val="OGTabText Char"/>
    <w:link w:val="OGTabText"/>
    <w:rsid w:val="00AE1F2D"/>
    <w:rPr>
      <w:rFonts w:ascii="Calibri" w:hAnsi="Calibri"/>
      <w:szCs w:val="18"/>
      <w:lang w:eastAsia="en-US"/>
    </w:rPr>
  </w:style>
  <w:style w:type="paragraph" w:customStyle="1" w:styleId="OGText">
    <w:name w:val="OGText"/>
    <w:basedOn w:val="Normal"/>
    <w:link w:val="OGTextChar"/>
    <w:rsid w:val="00882953"/>
    <w:pPr>
      <w:keepNext/>
      <w:spacing w:before="40"/>
    </w:pPr>
    <w:rPr>
      <w:rFonts w:ascii="Calibri" w:hAnsi="Calibri"/>
      <w:sz w:val="20"/>
      <w:szCs w:val="18"/>
    </w:rPr>
  </w:style>
  <w:style w:type="character" w:customStyle="1" w:styleId="OGTextChar">
    <w:name w:val="OGText Char"/>
    <w:link w:val="OGText"/>
    <w:rsid w:val="00AE1F2D"/>
    <w:rPr>
      <w:rFonts w:ascii="Calibri" w:hAnsi="Calibri"/>
      <w:szCs w:val="18"/>
      <w:lang w:eastAsia="en-US"/>
    </w:rPr>
  </w:style>
  <w:style w:type="character" w:styleId="PageNumber">
    <w:name w:val="page number"/>
    <w:rsid w:val="00185277"/>
    <w:rPr>
      <w:rFonts w:ascii="Calibri" w:hAnsi="Calibri"/>
      <w:sz w:val="20"/>
    </w:rPr>
  </w:style>
  <w:style w:type="paragraph" w:customStyle="1" w:styleId="Source">
    <w:name w:val="Source"/>
    <w:basedOn w:val="Normal"/>
    <w:next w:val="Normal"/>
    <w:link w:val="SourceChar"/>
    <w:uiPriority w:val="2"/>
    <w:qFormat/>
    <w:locked/>
    <w:rsid w:val="00C24EC3"/>
    <w:rPr>
      <w:rFonts w:ascii="Calibri" w:hAnsi="Calibri"/>
      <w:i/>
      <w:sz w:val="15"/>
    </w:rPr>
  </w:style>
  <w:style w:type="paragraph" w:customStyle="1" w:styleId="TableofContentsheading">
    <w:name w:val="Table of Contents heading"/>
    <w:basedOn w:val="ChapterHeading"/>
    <w:next w:val="Normal"/>
    <w:uiPriority w:val="4"/>
  </w:style>
  <w:style w:type="paragraph" w:customStyle="1" w:styleId="Heading2NotesContd">
    <w:name w:val="Heading 2 Notes Cont'd"/>
    <w:basedOn w:val="Heading2Notes"/>
    <w:rsid w:val="002E5C62"/>
  </w:style>
  <w:style w:type="paragraph" w:customStyle="1" w:styleId="HighlightBoxBullet">
    <w:name w:val="Highlight Box Bullet"/>
    <w:basedOn w:val="Normal"/>
    <w:uiPriority w:val="2"/>
    <w:qFormat/>
    <w:rsid w:val="00100FCC"/>
    <w:pPr>
      <w:numPr>
        <w:numId w:val="2"/>
      </w:numPr>
      <w:shd w:val="pct10" w:color="auto" w:fill="FFFFFF"/>
      <w:tabs>
        <w:tab w:val="clear" w:pos="90"/>
        <w:tab w:val="num" w:pos="360"/>
      </w:tabs>
      <w:ind w:left="360" w:right="43"/>
    </w:pPr>
  </w:style>
  <w:style w:type="paragraph" w:styleId="TOC1">
    <w:name w:val="toc 1"/>
    <w:basedOn w:val="Normal"/>
    <w:next w:val="Normal"/>
    <w:uiPriority w:val="39"/>
    <w:rsid w:val="00BF2190"/>
    <w:pPr>
      <w:tabs>
        <w:tab w:val="right" w:leader="dot" w:pos="7830"/>
      </w:tabs>
      <w:spacing w:before="40" w:after="40"/>
      <w:ind w:right="422"/>
    </w:pPr>
    <w:rPr>
      <w:rFonts w:ascii="Calibri" w:hAnsi="Calibri"/>
      <w:b/>
      <w:sz w:val="24"/>
    </w:rPr>
  </w:style>
  <w:style w:type="paragraph" w:styleId="TOC2">
    <w:name w:val="toc 2"/>
    <w:basedOn w:val="Normal"/>
    <w:next w:val="Normal"/>
    <w:uiPriority w:val="39"/>
    <w:rsid w:val="00C72AF4"/>
    <w:pPr>
      <w:tabs>
        <w:tab w:val="right" w:leader="dot" w:pos="7830"/>
      </w:tabs>
      <w:spacing w:after="0"/>
      <w:ind w:left="288" w:right="422"/>
    </w:pPr>
    <w:rPr>
      <w:rFonts w:ascii="Calibri" w:hAnsi="Calibri"/>
      <w:sz w:val="20"/>
    </w:rPr>
  </w:style>
  <w:style w:type="paragraph" w:styleId="TOC3">
    <w:name w:val="toc 3"/>
    <w:basedOn w:val="Normal"/>
    <w:next w:val="Normal"/>
    <w:uiPriority w:val="5"/>
    <w:rsid w:val="00C72AF4"/>
    <w:pPr>
      <w:tabs>
        <w:tab w:val="right" w:leader="dot" w:pos="7830"/>
      </w:tabs>
      <w:spacing w:after="0"/>
      <w:ind w:left="432" w:right="422"/>
    </w:pPr>
    <w:rPr>
      <w:rFonts w:ascii="Calibri" w:hAnsi="Calibri"/>
      <w:i/>
      <w:sz w:val="20"/>
    </w:rPr>
  </w:style>
  <w:style w:type="paragraph" w:styleId="TOC4">
    <w:name w:val="toc 4"/>
    <w:basedOn w:val="TOC1"/>
    <w:next w:val="Normal"/>
    <w:uiPriority w:val="5"/>
    <w:rsid w:val="00910D2B"/>
    <w:pPr>
      <w:spacing w:after="0"/>
      <w:ind w:left="1152" w:hanging="1152"/>
    </w:pPr>
    <w:rPr>
      <w:b w:val="0"/>
      <w:noProof/>
      <w:sz w:val="20"/>
    </w:rPr>
  </w:style>
  <w:style w:type="paragraph" w:styleId="TOC5">
    <w:name w:val="toc 5"/>
    <w:basedOn w:val="TOC1"/>
    <w:next w:val="Normal"/>
    <w:uiPriority w:val="5"/>
    <w:rsid w:val="00910D2B"/>
    <w:rPr>
      <w:b w:val="0"/>
      <w:sz w:val="20"/>
    </w:rPr>
  </w:style>
  <w:style w:type="paragraph" w:customStyle="1" w:styleId="Tableheadingcontinued">
    <w:name w:val="Table heading continued"/>
    <w:basedOn w:val="Tableheading"/>
    <w:uiPriority w:val="2"/>
    <w:rsid w:val="002E5C62"/>
  </w:style>
  <w:style w:type="paragraph" w:customStyle="1" w:styleId="Tabletextcentred">
    <w:name w:val="Table text centred"/>
    <w:basedOn w:val="Tabletext"/>
    <w:uiPriority w:val="2"/>
    <w:rsid w:val="00784F64"/>
    <w:pPr>
      <w:ind w:left="0" w:firstLine="0"/>
      <w:jc w:val="center"/>
    </w:pPr>
  </w:style>
  <w:style w:type="paragraph" w:customStyle="1" w:styleId="Heading3Numbering">
    <w:name w:val="Heading 3 Numbering"/>
    <w:basedOn w:val="Heading3"/>
    <w:rsid w:val="004C767D"/>
    <w:pPr>
      <w:numPr>
        <w:numId w:val="3"/>
      </w:numPr>
      <w:tabs>
        <w:tab w:val="clear" w:pos="720"/>
        <w:tab w:val="left" w:pos="504"/>
      </w:tabs>
      <w:ind w:left="504" w:hanging="504"/>
    </w:pPr>
  </w:style>
  <w:style w:type="paragraph" w:customStyle="1" w:styleId="Heading5a">
    <w:name w:val="Heading 5a"/>
    <w:basedOn w:val="Heading5"/>
    <w:rsid w:val="00641E21"/>
    <w:pPr>
      <w:tabs>
        <w:tab w:val="clear" w:pos="504"/>
      </w:tabs>
    </w:pPr>
    <w:rPr>
      <w:b w:val="0"/>
      <w:i/>
      <w:sz w:val="21"/>
    </w:rPr>
  </w:style>
  <w:style w:type="character" w:customStyle="1" w:styleId="OGTabBulletChar">
    <w:name w:val="OGTabBullet Char"/>
    <w:link w:val="OGTabBullet"/>
    <w:rsid w:val="00AE1F2D"/>
    <w:rPr>
      <w:rFonts w:ascii="Calibri" w:hAnsi="Calibri"/>
      <w:szCs w:val="18"/>
    </w:rPr>
  </w:style>
  <w:style w:type="paragraph" w:customStyle="1" w:styleId="OGTabBullet">
    <w:name w:val="OGTabBullet"/>
    <w:basedOn w:val="OGBullet"/>
    <w:link w:val="OGTabBulletChar"/>
    <w:rsid w:val="00667796"/>
    <w:pPr>
      <w:tabs>
        <w:tab w:val="clear" w:pos="360"/>
        <w:tab w:val="left" w:pos="604"/>
      </w:tabs>
      <w:spacing w:before="30" w:after="30"/>
      <w:ind w:left="605"/>
    </w:pPr>
    <w:rPr>
      <w:lang w:eastAsia="en-AU"/>
    </w:rPr>
  </w:style>
  <w:style w:type="paragraph" w:customStyle="1" w:styleId="Heading2NotesQtrly">
    <w:name w:val="Heading 2 Notes Qtrly"/>
    <w:basedOn w:val="Heading2Notes"/>
    <w:rsid w:val="005142C4"/>
  </w:style>
  <w:style w:type="paragraph" w:customStyle="1" w:styleId="OGUoM">
    <w:name w:val="OGUoM"/>
    <w:basedOn w:val="Tabletextcentred"/>
    <w:rsid w:val="00882953"/>
    <w:pPr>
      <w:spacing w:before="30" w:after="30"/>
    </w:pPr>
  </w:style>
  <w:style w:type="paragraph" w:customStyle="1" w:styleId="Tabletextheadingcentred">
    <w:name w:val="Table text heading centred"/>
    <w:basedOn w:val="Tabletextheading"/>
    <w:uiPriority w:val="2"/>
    <w:rsid w:val="000B1B53"/>
    <w:pPr>
      <w:jc w:val="center"/>
    </w:pPr>
  </w:style>
  <w:style w:type="paragraph" w:customStyle="1" w:styleId="DashText">
    <w:name w:val="Dash Text"/>
    <w:basedOn w:val="Normal"/>
    <w:qFormat/>
    <w:rsid w:val="00CB74FE"/>
    <w:pPr>
      <w:numPr>
        <w:ilvl w:val="1"/>
        <w:numId w:val="4"/>
      </w:numPr>
    </w:pPr>
  </w:style>
  <w:style w:type="paragraph" w:customStyle="1" w:styleId="OGTableofFigures">
    <w:name w:val="OGTable of Figures"/>
    <w:basedOn w:val="TableofFigures"/>
    <w:rsid w:val="00882953"/>
    <w:pPr>
      <w:spacing w:before="30" w:after="30"/>
    </w:pPr>
  </w:style>
  <w:style w:type="paragraph" w:customStyle="1" w:styleId="NotesIndent">
    <w:name w:val="NotesIndent"/>
    <w:basedOn w:val="Notes"/>
    <w:uiPriority w:val="2"/>
    <w:rsid w:val="00507425"/>
    <w:pPr>
      <w:tabs>
        <w:tab w:val="clear" w:pos="454"/>
      </w:tabs>
      <w:ind w:left="915"/>
    </w:pPr>
  </w:style>
  <w:style w:type="paragraph" w:customStyle="1" w:styleId="NotesDash">
    <w:name w:val="NotesDash"/>
    <w:basedOn w:val="NotesIndent"/>
    <w:uiPriority w:val="2"/>
    <w:rsid w:val="0000414E"/>
    <w:pPr>
      <w:numPr>
        <w:numId w:val="5"/>
      </w:numPr>
      <w:tabs>
        <w:tab w:val="clear" w:pos="922"/>
        <w:tab w:val="num" w:pos="720"/>
      </w:tabs>
      <w:ind w:left="720" w:hanging="259"/>
    </w:pPr>
  </w:style>
  <w:style w:type="paragraph" w:customStyle="1" w:styleId="VAGOText">
    <w:name w:val="VAGOText"/>
    <w:basedOn w:val="Normal"/>
    <w:semiHidden/>
    <w:rsid w:val="00C14A3C"/>
    <w:pPr>
      <w:spacing w:before="120"/>
    </w:pPr>
    <w:rPr>
      <w:rFonts w:ascii="Arial" w:hAnsi="Arial" w:cs="Arial"/>
      <w:sz w:val="16"/>
      <w:szCs w:val="16"/>
    </w:rPr>
  </w:style>
  <w:style w:type="paragraph" w:customStyle="1" w:styleId="VAGOHeading2">
    <w:name w:val="VAGOHeading2"/>
    <w:basedOn w:val="Normal"/>
    <w:semiHidden/>
    <w:rsid w:val="00853954"/>
    <w:rPr>
      <w:rFonts w:ascii="Arial" w:hAnsi="Arial" w:cs="Arial"/>
      <w:b/>
      <w:sz w:val="16"/>
      <w:szCs w:val="16"/>
    </w:rPr>
  </w:style>
  <w:style w:type="paragraph" w:customStyle="1" w:styleId="VAGOHeading1">
    <w:name w:val="VAGOHeading1"/>
    <w:basedOn w:val="Normal"/>
    <w:semiHidden/>
    <w:rsid w:val="00B72182"/>
    <w:pPr>
      <w:jc w:val="center"/>
    </w:pPr>
    <w:rPr>
      <w:rFonts w:ascii="Arial" w:hAnsi="Arial" w:cs="Arial"/>
      <w:b/>
      <w:sz w:val="17"/>
      <w:szCs w:val="17"/>
    </w:rPr>
  </w:style>
  <w:style w:type="paragraph" w:customStyle="1" w:styleId="VAGOHeading3">
    <w:name w:val="VAGOHeading3"/>
    <w:basedOn w:val="VAGOHeading2"/>
    <w:semiHidden/>
    <w:rsid w:val="00853954"/>
    <w:rPr>
      <w:b w:val="0"/>
      <w:i/>
    </w:rPr>
  </w:style>
  <w:style w:type="paragraph" w:customStyle="1" w:styleId="VAGOBullet">
    <w:name w:val="VAGOBullet"/>
    <w:basedOn w:val="VAGOText"/>
    <w:semiHidden/>
    <w:rsid w:val="00C14A3C"/>
    <w:pPr>
      <w:numPr>
        <w:numId w:val="6"/>
      </w:numPr>
      <w:ind w:right="-51"/>
    </w:pPr>
    <w:rPr>
      <w:iCs/>
    </w:rPr>
  </w:style>
  <w:style w:type="paragraph" w:customStyle="1" w:styleId="Tabletextheadingleft">
    <w:name w:val="Table text heading left"/>
    <w:basedOn w:val="Tabletextheading"/>
    <w:uiPriority w:val="2"/>
    <w:rsid w:val="00CF5FE1"/>
    <w:pPr>
      <w:jc w:val="left"/>
    </w:pPr>
  </w:style>
  <w:style w:type="paragraph" w:styleId="NormalIndent">
    <w:name w:val="Normal Indent"/>
    <w:basedOn w:val="Normal"/>
    <w:semiHidden/>
    <w:locked/>
    <w:rsid w:val="00A831CC"/>
    <w:pPr>
      <w:ind w:left="360"/>
    </w:pPr>
  </w:style>
  <w:style w:type="paragraph" w:customStyle="1" w:styleId="Tabletextindent">
    <w:name w:val="Table text indent"/>
    <w:basedOn w:val="Tabletext"/>
    <w:uiPriority w:val="2"/>
    <w:rsid w:val="00E24DAF"/>
    <w:pPr>
      <w:ind w:left="360" w:firstLine="0"/>
    </w:pPr>
  </w:style>
  <w:style w:type="paragraph" w:customStyle="1" w:styleId="Tabletextindent2">
    <w:name w:val="Table text indent 2"/>
    <w:basedOn w:val="Tabletextindent"/>
    <w:uiPriority w:val="2"/>
    <w:rsid w:val="00E24DAF"/>
    <w:pPr>
      <w:ind w:left="720"/>
    </w:pPr>
  </w:style>
  <w:style w:type="paragraph" w:customStyle="1" w:styleId="Heading3NumberingBP4">
    <w:name w:val="Heading 3 Numbering BP4"/>
    <w:basedOn w:val="Heading3Numbering"/>
    <w:semiHidden/>
    <w:rsid w:val="0046648A"/>
  </w:style>
  <w:style w:type="paragraph" w:customStyle="1" w:styleId="Chartpara">
    <w:name w:val="Chart para"/>
    <w:basedOn w:val="Normal"/>
    <w:semiHidden/>
    <w:rsid w:val="00342ECD"/>
    <w:pPr>
      <w:spacing w:after="0"/>
    </w:pPr>
  </w:style>
  <w:style w:type="paragraph" w:customStyle="1" w:styleId="OGTabColCentred">
    <w:name w:val="OGTabColCentred"/>
    <w:basedOn w:val="OGUoM"/>
    <w:rsid w:val="00061F50"/>
    <w:rPr>
      <w:b/>
      <w:lang w:eastAsia="en-AU"/>
    </w:rPr>
  </w:style>
  <w:style w:type="paragraph" w:customStyle="1" w:styleId="OGTabColRight">
    <w:name w:val="OGTabColRight"/>
    <w:basedOn w:val="OGTableofFigures"/>
    <w:rsid w:val="00A14E0E"/>
    <w:rPr>
      <w:b/>
    </w:rPr>
  </w:style>
  <w:style w:type="paragraph" w:customStyle="1" w:styleId="OGTabColLeft">
    <w:name w:val="OGTabColLeft"/>
    <w:basedOn w:val="OGTabColRight"/>
    <w:rsid w:val="00A14E0E"/>
    <w:pPr>
      <w:jc w:val="left"/>
    </w:pPr>
    <w:rPr>
      <w:lang w:eastAsia="en-AU"/>
    </w:rPr>
  </w:style>
  <w:style w:type="paragraph" w:customStyle="1" w:styleId="FrontPage">
    <w:name w:val="Front Page"/>
    <w:basedOn w:val="Normal"/>
    <w:semiHidden/>
    <w:rsid w:val="00867B50"/>
    <w:pPr>
      <w:jc w:val="center"/>
    </w:pPr>
    <w:rPr>
      <w:rFonts w:ascii="Calibri" w:hAnsi="Calibri"/>
      <w:b/>
      <w:sz w:val="52"/>
      <w:szCs w:val="52"/>
    </w:rPr>
  </w:style>
  <w:style w:type="paragraph" w:customStyle="1" w:styleId="FrontPage2">
    <w:name w:val="Front Page 2"/>
    <w:basedOn w:val="FrontPage"/>
    <w:semiHidden/>
    <w:rsid w:val="00867B50"/>
    <w:pPr>
      <w:pBdr>
        <w:bottom w:val="single" w:sz="12" w:space="1" w:color="auto"/>
      </w:pBdr>
    </w:pPr>
  </w:style>
  <w:style w:type="paragraph" w:customStyle="1" w:styleId="FrontPage3">
    <w:name w:val="Front Page 3"/>
    <w:basedOn w:val="Normal"/>
    <w:semiHidden/>
    <w:rsid w:val="00867B50"/>
    <w:pPr>
      <w:jc w:val="center"/>
    </w:pPr>
    <w:rPr>
      <w:rFonts w:ascii="Calibri" w:hAnsi="Calibri"/>
      <w:sz w:val="28"/>
      <w:szCs w:val="28"/>
    </w:rPr>
  </w:style>
  <w:style w:type="paragraph" w:customStyle="1" w:styleId="FrontPageMin">
    <w:name w:val="Front Page Min"/>
    <w:basedOn w:val="Normal"/>
    <w:semiHidden/>
    <w:rsid w:val="00867B50"/>
    <w:pPr>
      <w:jc w:val="center"/>
    </w:pPr>
    <w:rPr>
      <w:rFonts w:ascii="Calibri" w:hAnsi="Calibri"/>
      <w:sz w:val="36"/>
      <w:szCs w:val="36"/>
    </w:rPr>
  </w:style>
  <w:style w:type="paragraph" w:customStyle="1" w:styleId="FrontPageHon">
    <w:name w:val="Front Page Hon"/>
    <w:basedOn w:val="Normal"/>
    <w:semiHidden/>
    <w:rsid w:val="00867B50"/>
    <w:pPr>
      <w:jc w:val="center"/>
    </w:pPr>
    <w:rPr>
      <w:rFonts w:ascii="Calibri" w:hAnsi="Calibri"/>
      <w:sz w:val="30"/>
      <w:szCs w:val="30"/>
    </w:rPr>
  </w:style>
  <w:style w:type="paragraph" w:customStyle="1" w:styleId="FrontPageBP">
    <w:name w:val="Front Page BP"/>
    <w:basedOn w:val="Normal"/>
    <w:semiHidden/>
    <w:rsid w:val="00867B50"/>
    <w:pPr>
      <w:jc w:val="center"/>
    </w:pPr>
    <w:rPr>
      <w:rFonts w:ascii="Calibri" w:hAnsi="Calibri"/>
      <w:b/>
      <w:sz w:val="32"/>
      <w:szCs w:val="32"/>
    </w:rPr>
  </w:style>
  <w:style w:type="paragraph" w:styleId="Index1">
    <w:name w:val="index 1"/>
    <w:basedOn w:val="Normal"/>
    <w:next w:val="Normal"/>
    <w:autoRedefine/>
    <w:uiPriority w:val="99"/>
    <w:semiHidden/>
    <w:rsid w:val="001C1EAD"/>
    <w:pPr>
      <w:spacing w:after="0"/>
      <w:ind w:left="220" w:hanging="220"/>
    </w:pPr>
    <w:rPr>
      <w:sz w:val="18"/>
      <w:szCs w:val="18"/>
    </w:rPr>
  </w:style>
  <w:style w:type="paragraph" w:customStyle="1" w:styleId="OGNotes">
    <w:name w:val="OGNotes"/>
    <w:basedOn w:val="NotesIndent"/>
    <w:link w:val="OGNotesChar"/>
    <w:rsid w:val="00C24EC3"/>
    <w:pPr>
      <w:spacing w:after="60"/>
      <w:ind w:left="360" w:right="115" w:firstLine="0"/>
    </w:pPr>
    <w:rPr>
      <w:lang w:eastAsia="en-AU"/>
    </w:rPr>
  </w:style>
  <w:style w:type="paragraph" w:customStyle="1" w:styleId="OGNotesIndent">
    <w:name w:val="OGNotesIndent"/>
    <w:basedOn w:val="OGNotes"/>
    <w:rsid w:val="001C0D0F"/>
    <w:pPr>
      <w:ind w:left="720" w:hanging="360"/>
    </w:pPr>
  </w:style>
  <w:style w:type="paragraph" w:styleId="Index2">
    <w:name w:val="index 2"/>
    <w:basedOn w:val="Normal"/>
    <w:next w:val="Normal"/>
    <w:autoRedefine/>
    <w:uiPriority w:val="99"/>
    <w:semiHidden/>
    <w:rsid w:val="001C1EAD"/>
    <w:pPr>
      <w:spacing w:after="0"/>
      <w:ind w:left="440" w:hanging="220"/>
    </w:pPr>
    <w:rPr>
      <w:sz w:val="18"/>
      <w:szCs w:val="18"/>
    </w:rPr>
  </w:style>
  <w:style w:type="paragraph" w:styleId="IndexHeading">
    <w:name w:val="index heading"/>
    <w:basedOn w:val="Normal"/>
    <w:next w:val="Index1"/>
    <w:uiPriority w:val="99"/>
    <w:semiHidden/>
    <w:rsid w:val="001C1EAD"/>
    <w:pPr>
      <w:spacing w:before="240"/>
      <w:jc w:val="center"/>
    </w:pPr>
    <w:rPr>
      <w:b/>
      <w:bCs/>
      <w:sz w:val="26"/>
      <w:szCs w:val="26"/>
    </w:rPr>
  </w:style>
  <w:style w:type="paragraph" w:customStyle="1" w:styleId="HighlightBoxHeading">
    <w:name w:val="Highlight Box Heading"/>
    <w:basedOn w:val="HighlightBoxText"/>
    <w:uiPriority w:val="2"/>
    <w:qFormat/>
    <w:rsid w:val="0000414E"/>
    <w:rPr>
      <w:rFonts w:ascii="Calibri" w:hAnsi="Calibri"/>
      <w:b/>
      <w:sz w:val="21"/>
    </w:rPr>
  </w:style>
  <w:style w:type="paragraph" w:customStyle="1" w:styleId="HighlightBoxText">
    <w:name w:val="Highlight Box Text"/>
    <w:basedOn w:val="HighlightBoxBullet"/>
    <w:uiPriority w:val="2"/>
    <w:rsid w:val="00C24EC3"/>
    <w:pPr>
      <w:numPr>
        <w:numId w:val="0"/>
      </w:numPr>
    </w:pPr>
  </w:style>
  <w:style w:type="paragraph" w:customStyle="1" w:styleId="TableofContentscontinued">
    <w:name w:val="Table of Contents continued"/>
    <w:basedOn w:val="Normal"/>
    <w:uiPriority w:val="4"/>
    <w:rsid w:val="000221B3"/>
    <w:pPr>
      <w:keepNext/>
      <w:tabs>
        <w:tab w:val="left" w:pos="1152"/>
      </w:tabs>
      <w:spacing w:before="240"/>
      <w:ind w:left="1152" w:hanging="1152"/>
      <w:outlineLvl w:val="1"/>
    </w:pPr>
    <w:rPr>
      <w:rFonts w:ascii="Calibri" w:hAnsi="Calibri"/>
      <w:b/>
      <w:kern w:val="28"/>
      <w:sz w:val="26"/>
      <w:szCs w:val="22"/>
    </w:rPr>
  </w:style>
  <w:style w:type="character" w:customStyle="1" w:styleId="millionChar">
    <w:name w:val="$million Char"/>
    <w:link w:val="million"/>
    <w:uiPriority w:val="1"/>
    <w:rsid w:val="00AE1F2D"/>
    <w:rPr>
      <w:rFonts w:ascii="Calibri" w:hAnsi="Calibri"/>
      <w:i/>
      <w:sz w:val="18"/>
      <w:szCs w:val="18"/>
      <w:lang w:eastAsia="en-US"/>
    </w:rPr>
  </w:style>
  <w:style w:type="character" w:customStyle="1" w:styleId="TabletextheadingChar">
    <w:name w:val="Table text heading Char"/>
    <w:link w:val="Tabletextheading"/>
    <w:uiPriority w:val="2"/>
    <w:locked/>
    <w:rsid w:val="00746C6E"/>
    <w:rPr>
      <w:rFonts w:ascii="Calibri" w:hAnsi="Calibri"/>
      <w:i/>
      <w:szCs w:val="18"/>
      <w:lang w:eastAsia="en-US"/>
    </w:rPr>
  </w:style>
  <w:style w:type="character" w:customStyle="1" w:styleId="SourceChar">
    <w:name w:val="Source Char"/>
    <w:link w:val="Source"/>
    <w:uiPriority w:val="2"/>
    <w:locked/>
    <w:rsid w:val="00746C6E"/>
    <w:rPr>
      <w:rFonts w:ascii="Calibri" w:hAnsi="Calibri"/>
      <w:i/>
      <w:sz w:val="15"/>
      <w:lang w:eastAsia="en-US"/>
    </w:rPr>
  </w:style>
  <w:style w:type="table" w:customStyle="1" w:styleId="TableDTFfinancialcompact">
    <w:name w:val="Table DTF financial (compact)"/>
    <w:basedOn w:val="TableNormal"/>
    <w:uiPriority w:val="99"/>
    <w:rsid w:val="00B37EF1"/>
    <w:pPr>
      <w:spacing w:before="20" w:after="20"/>
      <w:ind w:left="170" w:hanging="170"/>
      <w:jc w:val="right"/>
    </w:pPr>
    <w:rPr>
      <w:rFonts w:asciiTheme="minorHAnsi" w:eastAsiaTheme="minorHAnsi" w:hAnsiTheme="minorHAnsi" w:cstheme="minorBidi"/>
      <w:spacing w:val="2"/>
      <w:sz w:val="14"/>
      <w:szCs w:val="21"/>
      <w:lang w:eastAsia="en-US"/>
    </w:rPr>
    <w:tblPr>
      <w:tblInd w:w="28" w:type="dxa"/>
      <w:tblBorders>
        <w:bottom w:val="single" w:sz="6" w:space="0" w:color="auto"/>
      </w:tblBorders>
      <w:tblCellMar>
        <w:left w:w="57" w:type="dxa"/>
        <w:right w:w="57" w:type="dxa"/>
      </w:tblCellMar>
    </w:tblPr>
    <w:trPr>
      <w:cantSplit/>
    </w:trPr>
    <w:tblStylePr w:type="firstRow">
      <w:pPr>
        <w:keepNext/>
        <w:keepLines/>
        <w:widowControl/>
        <w:wordWrap/>
        <w:jc w:val="right"/>
      </w:pPr>
      <w:rPr>
        <w:i/>
      </w:rPr>
      <w:tblPr/>
      <w:trPr>
        <w:tblHeader/>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jc w:val="left"/>
      </w:pPr>
    </w:tblStylePr>
  </w:style>
  <w:style w:type="table" w:customStyle="1" w:styleId="TableDTFGeneral">
    <w:name w:val="Table DTF General"/>
    <w:basedOn w:val="TableNormal"/>
    <w:uiPriority w:val="99"/>
    <w:rsid w:val="00B37EF1"/>
    <w:pPr>
      <w:spacing w:before="20" w:after="20" w:line="264" w:lineRule="auto"/>
      <w:ind w:left="170" w:hanging="170"/>
    </w:pPr>
    <w:rPr>
      <w:rFonts w:asciiTheme="minorHAnsi" w:eastAsiaTheme="minorHAnsi" w:hAnsiTheme="minorHAnsi" w:cstheme="minorBidi"/>
      <w:spacing w:val="4"/>
      <w:sz w:val="17"/>
      <w:szCs w:val="21"/>
      <w:lang w:eastAsia="en-US"/>
    </w:rPr>
    <w:tblPr>
      <w:tblInd w:w="28" w:type="dxa"/>
      <w:tblBorders>
        <w:bottom w:val="single" w:sz="6" w:space="0" w:color="auto"/>
      </w:tblBorders>
      <w:tblCellMar>
        <w:left w:w="57" w:type="dxa"/>
        <w:right w:w="57" w:type="dxa"/>
      </w:tblCellMar>
    </w:tblPr>
    <w:trPr>
      <w:cantSplit/>
    </w:trPr>
    <w:tblStylePr w:type="firstRow">
      <w:rPr>
        <w:i/>
      </w:rPr>
      <w:tblPr/>
      <w:tcPr>
        <w:shd w:val="clear" w:color="auto" w:fill="000000" w:themeFill="tex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firstCol">
      <w:pPr>
        <w:wordWrap/>
        <w:ind w:leftChars="0" w:left="170" w:rightChars="0" w:right="0" w:firstLineChars="0" w:hanging="170"/>
      </w:pPr>
    </w:tblStylePr>
  </w:style>
  <w:style w:type="character" w:customStyle="1" w:styleId="Heading1Char">
    <w:name w:val="Heading 1 Char"/>
    <w:basedOn w:val="DefaultParagraphFont"/>
    <w:link w:val="Heading1"/>
    <w:rsid w:val="00243370"/>
    <w:rPr>
      <w:rFonts w:ascii="Calibri" w:hAnsi="Calibri"/>
      <w:b/>
      <w:caps/>
      <w:sz w:val="26"/>
      <w:szCs w:val="22"/>
      <w:lang w:eastAsia="en-US"/>
    </w:rPr>
  </w:style>
  <w:style w:type="character" w:customStyle="1" w:styleId="Heading5Char">
    <w:name w:val="Heading 5 Char"/>
    <w:basedOn w:val="DefaultParagraphFont"/>
    <w:link w:val="Heading5"/>
    <w:rsid w:val="00243370"/>
    <w:rPr>
      <w:rFonts w:ascii="Calibri" w:hAnsi="Calibri"/>
      <w:b/>
      <w:sz w:val="22"/>
      <w:lang w:eastAsia="en-US"/>
    </w:rPr>
  </w:style>
  <w:style w:type="paragraph" w:customStyle="1" w:styleId="Default">
    <w:name w:val="Default"/>
    <w:rsid w:val="00243370"/>
    <w:pPr>
      <w:autoSpaceDE w:val="0"/>
      <w:autoSpaceDN w:val="0"/>
      <w:adjustRightInd w:val="0"/>
    </w:pPr>
    <w:rPr>
      <w:rFonts w:ascii="Garamond" w:hAnsi="Garamond" w:cs="Garamond"/>
      <w:color w:val="000000"/>
      <w:sz w:val="24"/>
      <w:szCs w:val="24"/>
    </w:rPr>
  </w:style>
  <w:style w:type="character" w:styleId="CommentReference">
    <w:name w:val="annotation reference"/>
    <w:basedOn w:val="DefaultParagraphFont"/>
    <w:locked/>
    <w:rsid w:val="00243370"/>
    <w:rPr>
      <w:sz w:val="16"/>
      <w:szCs w:val="16"/>
    </w:rPr>
  </w:style>
  <w:style w:type="paragraph" w:styleId="CommentText">
    <w:name w:val="annotation text"/>
    <w:basedOn w:val="Normal"/>
    <w:link w:val="CommentTextChar"/>
    <w:locked/>
    <w:rsid w:val="00243370"/>
    <w:rPr>
      <w:color w:val="000000" w:themeColor="text1"/>
      <w:spacing w:val="2"/>
      <w:sz w:val="20"/>
    </w:rPr>
  </w:style>
  <w:style w:type="character" w:customStyle="1" w:styleId="CommentTextChar">
    <w:name w:val="Comment Text Char"/>
    <w:basedOn w:val="DefaultParagraphFont"/>
    <w:link w:val="CommentText"/>
    <w:rsid w:val="00243370"/>
    <w:rPr>
      <w:rFonts w:ascii="Garamond" w:hAnsi="Garamond"/>
      <w:color w:val="000000" w:themeColor="text1"/>
      <w:spacing w:val="2"/>
      <w:lang w:eastAsia="en-US"/>
    </w:rPr>
  </w:style>
  <w:style w:type="paragraph" w:styleId="BalloonText">
    <w:name w:val="Balloon Text"/>
    <w:basedOn w:val="Normal"/>
    <w:link w:val="BalloonTextChar"/>
    <w:locked/>
    <w:rsid w:val="00243370"/>
    <w:pPr>
      <w:spacing w:after="0"/>
    </w:pPr>
    <w:rPr>
      <w:rFonts w:ascii="Tahoma" w:hAnsi="Tahoma" w:cs="Tahoma"/>
      <w:color w:val="000000" w:themeColor="text1"/>
      <w:spacing w:val="2"/>
      <w:sz w:val="16"/>
      <w:szCs w:val="16"/>
    </w:rPr>
  </w:style>
  <w:style w:type="character" w:customStyle="1" w:styleId="BalloonTextChar">
    <w:name w:val="Balloon Text Char"/>
    <w:basedOn w:val="DefaultParagraphFont"/>
    <w:link w:val="BalloonText"/>
    <w:rsid w:val="00243370"/>
    <w:rPr>
      <w:rFonts w:ascii="Tahoma" w:hAnsi="Tahoma" w:cs="Tahoma"/>
      <w:color w:val="000000" w:themeColor="text1"/>
      <w:spacing w:val="2"/>
      <w:sz w:val="16"/>
      <w:szCs w:val="16"/>
      <w:lang w:eastAsia="en-US"/>
    </w:rPr>
  </w:style>
  <w:style w:type="character" w:customStyle="1" w:styleId="Heading4Char">
    <w:name w:val="Heading 4 Char"/>
    <w:basedOn w:val="DefaultParagraphFont"/>
    <w:link w:val="Heading4"/>
    <w:rsid w:val="00243370"/>
    <w:rPr>
      <w:rFonts w:ascii="Calibri" w:hAnsi="Calibri"/>
      <w:i/>
      <w:sz w:val="24"/>
      <w:szCs w:val="22"/>
      <w:lang w:eastAsia="en-US"/>
    </w:rPr>
  </w:style>
  <w:style w:type="paragraph" w:styleId="ListParagraph">
    <w:name w:val="List Paragraph"/>
    <w:basedOn w:val="Normal"/>
    <w:uiPriority w:val="34"/>
    <w:qFormat/>
    <w:rsid w:val="00243370"/>
    <w:pPr>
      <w:spacing w:after="0"/>
      <w:ind w:left="720"/>
      <w:contextualSpacing/>
    </w:pPr>
    <w:rPr>
      <w:rFonts w:ascii="Times New Roman" w:hAnsi="Times New Roman"/>
      <w:color w:val="000000" w:themeColor="text1"/>
      <w:spacing w:val="2"/>
      <w:sz w:val="24"/>
      <w:szCs w:val="24"/>
    </w:rPr>
  </w:style>
  <w:style w:type="character" w:customStyle="1" w:styleId="BulletTextChar">
    <w:name w:val="Bullet Text Char"/>
    <w:link w:val="BulletText"/>
    <w:locked/>
    <w:rsid w:val="00243370"/>
    <w:rPr>
      <w:rFonts w:ascii="Garamond" w:hAnsi="Garamond"/>
      <w:sz w:val="22"/>
      <w:lang w:eastAsia="en-US"/>
    </w:rPr>
  </w:style>
  <w:style w:type="character" w:customStyle="1" w:styleId="NotesChar">
    <w:name w:val="Notes Char"/>
    <w:link w:val="Notes"/>
    <w:locked/>
    <w:rsid w:val="00243370"/>
    <w:rPr>
      <w:rFonts w:ascii="Calibri" w:hAnsi="Calibri"/>
      <w:i/>
      <w:sz w:val="15"/>
      <w:lang w:eastAsia="en-US"/>
    </w:rPr>
  </w:style>
  <w:style w:type="character" w:customStyle="1" w:styleId="TabletextChar">
    <w:name w:val="Table text Char"/>
    <w:link w:val="Tabletext"/>
    <w:uiPriority w:val="2"/>
    <w:rsid w:val="00243370"/>
    <w:rPr>
      <w:rFonts w:ascii="Calibri" w:hAnsi="Calibri"/>
      <w:sz w:val="19"/>
      <w:szCs w:val="18"/>
      <w:lang w:eastAsia="en-US"/>
    </w:rPr>
  </w:style>
  <w:style w:type="character" w:customStyle="1" w:styleId="TableheadingChar">
    <w:name w:val="Table heading Char"/>
    <w:link w:val="Tableheading"/>
    <w:locked/>
    <w:rsid w:val="00243370"/>
    <w:rPr>
      <w:rFonts w:ascii="Calibri" w:hAnsi="Calibri"/>
      <w:b/>
      <w:sz w:val="22"/>
      <w:lang w:eastAsia="en-US"/>
    </w:rPr>
  </w:style>
  <w:style w:type="paragraph" w:customStyle="1" w:styleId="VersionTableText">
    <w:name w:val="VersionTableText"/>
    <w:basedOn w:val="Normal"/>
    <w:rsid w:val="00243370"/>
    <w:pPr>
      <w:spacing w:after="0"/>
      <w:jc w:val="center"/>
    </w:pPr>
    <w:rPr>
      <w:rFonts w:ascii="Calibri" w:hAnsi="Calibri"/>
      <w:color w:val="000000" w:themeColor="text1"/>
      <w:spacing w:val="2"/>
    </w:rPr>
  </w:style>
  <w:style w:type="paragraph" w:customStyle="1" w:styleId="VersionTableHeading">
    <w:name w:val="VersionTableHeading"/>
    <w:basedOn w:val="Normal"/>
    <w:rsid w:val="00243370"/>
    <w:pPr>
      <w:spacing w:after="0"/>
      <w:jc w:val="center"/>
    </w:pPr>
    <w:rPr>
      <w:rFonts w:ascii="Calibri" w:hAnsi="Calibri"/>
      <w:b/>
      <w:color w:val="000000" w:themeColor="text1"/>
      <w:spacing w:val="2"/>
    </w:rPr>
  </w:style>
  <w:style w:type="paragraph" w:styleId="CommentSubject">
    <w:name w:val="annotation subject"/>
    <w:basedOn w:val="CommentText"/>
    <w:next w:val="CommentText"/>
    <w:link w:val="CommentSubjectChar"/>
    <w:locked/>
    <w:rsid w:val="00243370"/>
    <w:rPr>
      <w:b/>
      <w:bCs/>
    </w:rPr>
  </w:style>
  <w:style w:type="character" w:customStyle="1" w:styleId="CommentSubjectChar">
    <w:name w:val="Comment Subject Char"/>
    <w:basedOn w:val="CommentTextChar"/>
    <w:link w:val="CommentSubject"/>
    <w:rsid w:val="00243370"/>
    <w:rPr>
      <w:rFonts w:ascii="Garamond" w:hAnsi="Garamond"/>
      <w:b/>
      <w:bCs/>
      <w:color w:val="000000" w:themeColor="text1"/>
      <w:spacing w:val="2"/>
      <w:lang w:eastAsia="en-US"/>
    </w:rPr>
  </w:style>
  <w:style w:type="paragraph" w:customStyle="1" w:styleId="Bullet1">
    <w:name w:val="Bullet 1"/>
    <w:qFormat/>
    <w:rsid w:val="00243370"/>
    <w:pPr>
      <w:numPr>
        <w:numId w:val="7"/>
      </w:numPr>
      <w:spacing w:before="100" w:after="100"/>
      <w:contextualSpacing/>
    </w:pPr>
    <w:rPr>
      <w:rFonts w:asciiTheme="minorHAnsi" w:hAnsiTheme="minorHAnsi" w:cs="Calibri"/>
      <w:spacing w:val="2"/>
    </w:rPr>
  </w:style>
  <w:style w:type="paragraph" w:customStyle="1" w:styleId="Bullet2">
    <w:name w:val="Bullet 2"/>
    <w:basedOn w:val="Bullet1"/>
    <w:qFormat/>
    <w:rsid w:val="00243370"/>
    <w:pPr>
      <w:numPr>
        <w:ilvl w:val="1"/>
      </w:numPr>
    </w:pPr>
  </w:style>
  <w:style w:type="paragraph" w:customStyle="1" w:styleId="Bulletindent">
    <w:name w:val="Bullet indent"/>
    <w:basedOn w:val="Bullet2"/>
    <w:uiPriority w:val="5"/>
    <w:qFormat/>
    <w:rsid w:val="00243370"/>
    <w:pPr>
      <w:numPr>
        <w:ilvl w:val="2"/>
      </w:numPr>
    </w:pPr>
  </w:style>
  <w:style w:type="paragraph" w:customStyle="1" w:styleId="Bulletindent2">
    <w:name w:val="Bullet indent 2"/>
    <w:basedOn w:val="Normal"/>
    <w:uiPriority w:val="5"/>
    <w:qFormat/>
    <w:rsid w:val="00243370"/>
    <w:pPr>
      <w:numPr>
        <w:ilvl w:val="3"/>
        <w:numId w:val="7"/>
      </w:numPr>
      <w:spacing w:before="100" w:after="100" w:line="276" w:lineRule="auto"/>
      <w:contextualSpacing/>
    </w:pPr>
    <w:rPr>
      <w:rFonts w:eastAsiaTheme="minorEastAsia" w:cstheme="minorBidi"/>
      <w:color w:val="000000" w:themeColor="text1"/>
      <w:spacing w:val="2"/>
      <w:sz w:val="20"/>
      <w:lang w:eastAsia="en-AU"/>
    </w:rPr>
  </w:style>
  <w:style w:type="character" w:customStyle="1" w:styleId="Heading2Char">
    <w:name w:val="Heading 2 Char"/>
    <w:basedOn w:val="DefaultParagraphFont"/>
    <w:link w:val="Heading2"/>
    <w:rsid w:val="00243370"/>
    <w:rPr>
      <w:rFonts w:ascii="Calibri" w:hAnsi="Calibri"/>
      <w:b/>
      <w:kern w:val="28"/>
      <w:sz w:val="26"/>
      <w:szCs w:val="22"/>
      <w:lang w:eastAsia="en-US"/>
    </w:rPr>
  </w:style>
  <w:style w:type="paragraph" w:customStyle="1" w:styleId="Tabletextnoindent">
    <w:name w:val="Table text no indent"/>
    <w:basedOn w:val="Tabletext"/>
    <w:qFormat/>
    <w:rsid w:val="00243370"/>
    <w:pPr>
      <w:spacing w:after="80"/>
      <w:ind w:left="0" w:firstLine="0"/>
    </w:pPr>
    <w:rPr>
      <w:sz w:val="20"/>
    </w:rPr>
  </w:style>
  <w:style w:type="paragraph" w:customStyle="1" w:styleId="TabletextheadingLeft0">
    <w:name w:val="Table text heading Left"/>
    <w:basedOn w:val="Tabletextheading"/>
    <w:rsid w:val="00243370"/>
    <w:pPr>
      <w:jc w:val="left"/>
    </w:pPr>
  </w:style>
  <w:style w:type="character" w:customStyle="1" w:styleId="OGNotesChar">
    <w:name w:val="OGNotes Char"/>
    <w:link w:val="OGNotes"/>
    <w:rsid w:val="00243370"/>
    <w:rPr>
      <w:rFonts w:ascii="Calibri" w:hAnsi="Calibri"/>
      <w:i/>
      <w:sz w:val="15"/>
    </w:rPr>
  </w:style>
  <w:style w:type="paragraph" w:styleId="FootnoteText">
    <w:name w:val="footnote text"/>
    <w:basedOn w:val="Normal"/>
    <w:link w:val="FootnoteTextChar"/>
    <w:uiPriority w:val="5"/>
    <w:locked/>
    <w:rsid w:val="00243370"/>
    <w:pPr>
      <w:spacing w:after="0"/>
    </w:pPr>
    <w:rPr>
      <w:sz w:val="20"/>
    </w:rPr>
  </w:style>
  <w:style w:type="character" w:customStyle="1" w:styleId="FootnoteTextChar">
    <w:name w:val="Footnote Text Char"/>
    <w:basedOn w:val="DefaultParagraphFont"/>
    <w:link w:val="FootnoteText"/>
    <w:uiPriority w:val="5"/>
    <w:rsid w:val="00243370"/>
    <w:rPr>
      <w:rFonts w:ascii="Garamond" w:hAnsi="Garamond"/>
      <w:lang w:eastAsia="en-US"/>
    </w:rPr>
  </w:style>
  <w:style w:type="character" w:styleId="FootnoteReference">
    <w:name w:val="footnote reference"/>
    <w:basedOn w:val="DefaultParagraphFont"/>
    <w:uiPriority w:val="5"/>
    <w:locked/>
    <w:rsid w:val="00243370"/>
    <w:rPr>
      <w:vertAlign w:val="superscript"/>
    </w:rPr>
  </w:style>
  <w:style w:type="character" w:customStyle="1" w:styleId="OGHeading1Char">
    <w:name w:val="OGHeading1 Char"/>
    <w:link w:val="OGHeading1"/>
    <w:rsid w:val="00243370"/>
    <w:rPr>
      <w:rFonts w:ascii="Calibri" w:hAnsi="Calibri"/>
      <w:b/>
      <w:sz w:val="32"/>
      <w:szCs w:val="28"/>
      <w:lang w:eastAsia="en-US"/>
    </w:rPr>
  </w:style>
  <w:style w:type="paragraph" w:customStyle="1" w:styleId="BERCReporting">
    <w:name w:val="BERCReporting"/>
    <w:rsid w:val="00243370"/>
    <w:pPr>
      <w:spacing w:line="280" w:lineRule="exact"/>
    </w:pPr>
    <w:rPr>
      <w:rFonts w:ascii="Calibri" w:eastAsia="Calibri" w:hAnsi="Calibri" w:cs="Calibri"/>
      <w:sz w:val="19"/>
      <w:szCs w:val="19"/>
      <w:lang w:eastAsia="en-US"/>
    </w:rPr>
  </w:style>
  <w:style w:type="character" w:styleId="Hyperlink">
    <w:name w:val="Hyperlink"/>
    <w:uiPriority w:val="99"/>
    <w:unhideWhenUsed/>
    <w:locked/>
    <w:rsid w:val="00243370"/>
    <w:rPr>
      <w:color w:val="0000FF"/>
      <w:u w:val="single"/>
    </w:rPr>
  </w:style>
  <w:style w:type="character" w:styleId="FollowedHyperlink">
    <w:name w:val="FollowedHyperlink"/>
    <w:uiPriority w:val="99"/>
    <w:unhideWhenUsed/>
    <w:locked/>
    <w:rsid w:val="00243370"/>
    <w:rPr>
      <w:color w:val="800080"/>
      <w:u w:val="single"/>
    </w:rPr>
  </w:style>
  <w:style w:type="paragraph" w:customStyle="1" w:styleId="DSETableTitle">
    <w:name w:val="DSE_TableTitle"/>
    <w:rsid w:val="00243370"/>
    <w:pPr>
      <w:spacing w:after="120" w:line="220" w:lineRule="atLeast"/>
    </w:pPr>
    <w:rPr>
      <w:rFonts w:ascii="Arial" w:hAnsi="Arial" w:cs="Arial"/>
      <w:b/>
      <w:color w:val="404040"/>
      <w:sz w:val="18"/>
      <w:szCs w:val="18"/>
      <w:lang w:eastAsia="en-US"/>
    </w:rPr>
  </w:style>
  <w:style w:type="paragraph" w:customStyle="1" w:styleId="CharCharCharChar">
    <w:name w:val="Char Char Char Char"/>
    <w:basedOn w:val="Normal"/>
    <w:rsid w:val="00243370"/>
    <w:pPr>
      <w:spacing w:after="160" w:line="240" w:lineRule="exact"/>
    </w:pPr>
    <w:rPr>
      <w:rFonts w:ascii="Tahoma" w:hAnsi="Tahoma" w:cs="Tahoma"/>
      <w:sz w:val="20"/>
      <w:lang w:val="en-US"/>
    </w:rPr>
  </w:style>
  <w:style w:type="table" w:styleId="MediumShading1">
    <w:name w:val="Medium Shading 1"/>
    <w:basedOn w:val="TableNormal"/>
    <w:uiPriority w:val="63"/>
    <w:rsid w:val="00243370"/>
    <w:tblPr>
      <w:tblStyleRowBandSize w:val="1"/>
      <w:tblStyleColBandSize w:val="1"/>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abletextbullet">
    <w:name w:val="Table text bullet"/>
    <w:basedOn w:val="Tabletextnoindent"/>
    <w:qFormat/>
    <w:rsid w:val="00243370"/>
    <w:pPr>
      <w:keepNext/>
      <w:numPr>
        <w:numId w:val="8"/>
      </w:numPr>
      <w:ind w:left="388"/>
      <w:outlineLvl w:val="1"/>
    </w:pPr>
  </w:style>
  <w:style w:type="paragraph" w:customStyle="1" w:styleId="xl63">
    <w:name w:val="xl63"/>
    <w:basedOn w:val="Normal"/>
    <w:rsid w:val="00243370"/>
    <w:pPr>
      <w:spacing w:before="100" w:beforeAutospacing="1" w:after="100" w:afterAutospacing="1"/>
    </w:pPr>
    <w:rPr>
      <w:rFonts w:ascii="Times New Roman" w:hAnsi="Times New Roman"/>
      <w:b/>
      <w:bCs/>
      <w:sz w:val="28"/>
      <w:szCs w:val="28"/>
      <w:lang w:eastAsia="en-AU"/>
    </w:rPr>
  </w:style>
  <w:style w:type="paragraph" w:customStyle="1" w:styleId="xl64">
    <w:name w:val="xl64"/>
    <w:basedOn w:val="Normal"/>
    <w:rsid w:val="00243370"/>
    <w:pPr>
      <w:pBdr>
        <w:top w:val="single" w:sz="4" w:space="0" w:color="000000"/>
        <w:left w:val="single" w:sz="4" w:space="0" w:color="000000"/>
        <w:right w:val="single" w:sz="4" w:space="0" w:color="000000"/>
      </w:pBdr>
      <w:shd w:val="clear" w:color="000000" w:fill="000000"/>
      <w:spacing w:before="100" w:beforeAutospacing="1" w:after="100" w:afterAutospacing="1"/>
    </w:pPr>
    <w:rPr>
      <w:rFonts w:ascii="Times New Roman" w:hAnsi="Times New Roman"/>
      <w:color w:val="FFFFFF"/>
      <w:sz w:val="24"/>
      <w:szCs w:val="24"/>
      <w:lang w:eastAsia="en-AU"/>
    </w:rPr>
  </w:style>
  <w:style w:type="paragraph" w:customStyle="1" w:styleId="xl65">
    <w:name w:val="xl65"/>
    <w:basedOn w:val="Normal"/>
    <w:rsid w:val="00243370"/>
    <w:pPr>
      <w:pBdr>
        <w:top w:val="single" w:sz="4" w:space="0" w:color="000000"/>
        <w:right w:val="single" w:sz="4" w:space="0" w:color="000000"/>
      </w:pBdr>
      <w:shd w:val="clear" w:color="000000" w:fill="000000"/>
      <w:spacing w:before="100" w:beforeAutospacing="1" w:after="100" w:afterAutospacing="1"/>
      <w:jc w:val="right"/>
    </w:pPr>
    <w:rPr>
      <w:rFonts w:ascii="Times New Roman" w:hAnsi="Times New Roman"/>
      <w:color w:val="FFFFFF"/>
      <w:sz w:val="24"/>
      <w:szCs w:val="24"/>
      <w:lang w:eastAsia="en-AU"/>
    </w:rPr>
  </w:style>
  <w:style w:type="paragraph" w:customStyle="1" w:styleId="xl66">
    <w:name w:val="xl66"/>
    <w:basedOn w:val="Normal"/>
    <w:rsid w:val="00243370"/>
    <w:pPr>
      <w:pBdr>
        <w:top w:val="single" w:sz="4" w:space="0" w:color="000000"/>
        <w:right w:val="single" w:sz="4" w:space="0" w:color="000000"/>
      </w:pBdr>
      <w:shd w:val="clear" w:color="000000" w:fill="000000"/>
      <w:spacing w:before="100" w:beforeAutospacing="1" w:after="100" w:afterAutospacing="1"/>
      <w:jc w:val="right"/>
    </w:pPr>
    <w:rPr>
      <w:rFonts w:ascii="Times New Roman" w:hAnsi="Times New Roman"/>
      <w:color w:val="EEECE1"/>
      <w:sz w:val="24"/>
      <w:szCs w:val="24"/>
      <w:lang w:eastAsia="en-AU"/>
    </w:rPr>
  </w:style>
  <w:style w:type="paragraph" w:customStyle="1" w:styleId="xl67">
    <w:name w:val="xl67"/>
    <w:basedOn w:val="Normal"/>
    <w:rsid w:val="00243370"/>
    <w:pPr>
      <w:pBdr>
        <w:left w:val="single" w:sz="4" w:space="0" w:color="000000"/>
        <w:right w:val="single" w:sz="4" w:space="0" w:color="000000"/>
      </w:pBdr>
      <w:shd w:val="clear" w:color="000000" w:fill="000000"/>
      <w:spacing w:before="100" w:beforeAutospacing="1" w:after="100" w:afterAutospacing="1"/>
    </w:pPr>
    <w:rPr>
      <w:rFonts w:ascii="Times New Roman" w:hAnsi="Times New Roman"/>
      <w:i/>
      <w:iCs/>
      <w:color w:val="FFFFFF"/>
      <w:sz w:val="24"/>
      <w:szCs w:val="24"/>
      <w:lang w:eastAsia="en-AU"/>
    </w:rPr>
  </w:style>
  <w:style w:type="paragraph" w:customStyle="1" w:styleId="xl68">
    <w:name w:val="xl68"/>
    <w:basedOn w:val="Normal"/>
    <w:rsid w:val="00243370"/>
    <w:pPr>
      <w:pBdr>
        <w:right w:val="single" w:sz="4" w:space="0" w:color="000000"/>
      </w:pBdr>
      <w:shd w:val="clear" w:color="000000" w:fill="000000"/>
      <w:spacing w:before="100" w:beforeAutospacing="1" w:after="100" w:afterAutospacing="1"/>
      <w:jc w:val="right"/>
    </w:pPr>
    <w:rPr>
      <w:rFonts w:ascii="Times New Roman" w:hAnsi="Times New Roman"/>
      <w:color w:val="FFFFFF"/>
      <w:sz w:val="24"/>
      <w:szCs w:val="24"/>
      <w:lang w:eastAsia="en-AU"/>
    </w:rPr>
  </w:style>
  <w:style w:type="paragraph" w:customStyle="1" w:styleId="xl69">
    <w:name w:val="xl69"/>
    <w:basedOn w:val="Normal"/>
    <w:rsid w:val="00243370"/>
    <w:pPr>
      <w:pBdr>
        <w:left w:val="single" w:sz="4" w:space="0" w:color="000000"/>
        <w:bottom w:val="single" w:sz="4" w:space="0" w:color="000000"/>
        <w:right w:val="single" w:sz="4" w:space="0" w:color="000000"/>
      </w:pBdr>
      <w:shd w:val="clear" w:color="000000" w:fill="000000"/>
      <w:spacing w:before="100" w:beforeAutospacing="1" w:after="100" w:afterAutospacing="1"/>
    </w:pPr>
    <w:rPr>
      <w:rFonts w:ascii="Times New Roman" w:hAnsi="Times New Roman"/>
      <w:sz w:val="24"/>
      <w:szCs w:val="24"/>
      <w:lang w:eastAsia="en-AU"/>
    </w:rPr>
  </w:style>
  <w:style w:type="paragraph" w:customStyle="1" w:styleId="xl70">
    <w:name w:val="xl70"/>
    <w:basedOn w:val="Normal"/>
    <w:rsid w:val="00243370"/>
    <w:pPr>
      <w:pBdr>
        <w:bottom w:val="single" w:sz="4" w:space="0" w:color="000000"/>
        <w:right w:val="single" w:sz="4" w:space="0" w:color="000000"/>
      </w:pBdr>
      <w:shd w:val="clear" w:color="000000" w:fill="000000"/>
      <w:spacing w:before="100" w:beforeAutospacing="1" w:after="100" w:afterAutospacing="1"/>
    </w:pPr>
    <w:rPr>
      <w:rFonts w:ascii="Times New Roman" w:hAnsi="Times New Roman"/>
      <w:sz w:val="24"/>
      <w:szCs w:val="24"/>
      <w:lang w:eastAsia="en-AU"/>
    </w:rPr>
  </w:style>
  <w:style w:type="paragraph" w:customStyle="1" w:styleId="xl71">
    <w:name w:val="xl71"/>
    <w:basedOn w:val="Normal"/>
    <w:rsid w:val="00243370"/>
    <w:pPr>
      <w:pBdr>
        <w:bottom w:val="single" w:sz="4" w:space="0" w:color="000000"/>
        <w:right w:val="single" w:sz="4" w:space="0" w:color="000000"/>
      </w:pBdr>
      <w:shd w:val="clear" w:color="000000" w:fill="000000"/>
      <w:spacing w:before="100" w:beforeAutospacing="1" w:after="100" w:afterAutospacing="1"/>
      <w:jc w:val="right"/>
    </w:pPr>
    <w:rPr>
      <w:rFonts w:ascii="Times New Roman" w:hAnsi="Times New Roman"/>
      <w:color w:val="FFFFFF"/>
      <w:sz w:val="24"/>
      <w:szCs w:val="24"/>
      <w:lang w:eastAsia="en-AU"/>
    </w:rPr>
  </w:style>
  <w:style w:type="paragraph" w:customStyle="1" w:styleId="xl72">
    <w:name w:val="xl72"/>
    <w:basedOn w:val="Normal"/>
    <w:rsid w:val="00243370"/>
    <w:pPr>
      <w:shd w:val="clear" w:color="000000" w:fill="FFFFFF"/>
      <w:spacing w:before="100" w:beforeAutospacing="1" w:after="100" w:afterAutospacing="1"/>
      <w:textAlignment w:val="top"/>
    </w:pPr>
    <w:rPr>
      <w:rFonts w:ascii="Times New Roman" w:hAnsi="Times New Roman"/>
      <w:sz w:val="24"/>
      <w:szCs w:val="24"/>
      <w:lang w:eastAsia="en-AU"/>
    </w:rPr>
  </w:style>
  <w:style w:type="paragraph" w:customStyle="1" w:styleId="xl73">
    <w:name w:val="xl73"/>
    <w:basedOn w:val="Normal"/>
    <w:rsid w:val="00243370"/>
    <w:pPr>
      <w:shd w:val="clear" w:color="000000" w:fill="FFFFFF"/>
      <w:spacing w:before="100" w:beforeAutospacing="1" w:after="100" w:afterAutospacing="1"/>
      <w:jc w:val="right"/>
      <w:textAlignment w:val="top"/>
    </w:pPr>
    <w:rPr>
      <w:rFonts w:ascii="Times New Roman" w:hAnsi="Times New Roman"/>
      <w:sz w:val="24"/>
      <w:szCs w:val="24"/>
      <w:lang w:eastAsia="en-AU"/>
    </w:rPr>
  </w:style>
  <w:style w:type="paragraph" w:customStyle="1" w:styleId="xl74">
    <w:name w:val="xl74"/>
    <w:basedOn w:val="Normal"/>
    <w:rsid w:val="00243370"/>
    <w:pPr>
      <w:shd w:val="clear" w:color="000000" w:fill="FFFFFF"/>
      <w:spacing w:before="100" w:beforeAutospacing="1" w:after="100" w:afterAutospacing="1"/>
      <w:jc w:val="center"/>
      <w:textAlignment w:val="top"/>
    </w:pPr>
    <w:rPr>
      <w:rFonts w:ascii="Times New Roman" w:hAnsi="Times New Roman"/>
      <w:sz w:val="24"/>
      <w:szCs w:val="24"/>
      <w:lang w:eastAsia="en-AU"/>
    </w:rPr>
  </w:style>
  <w:style w:type="paragraph" w:customStyle="1" w:styleId="xl75">
    <w:name w:val="xl75"/>
    <w:basedOn w:val="Normal"/>
    <w:rsid w:val="00243370"/>
    <w:pPr>
      <w:spacing w:before="100" w:beforeAutospacing="1" w:after="100" w:afterAutospacing="1"/>
    </w:pPr>
    <w:rPr>
      <w:rFonts w:ascii="Times New Roman" w:hAnsi="Times New Roman"/>
      <w:sz w:val="16"/>
      <w:szCs w:val="16"/>
      <w:lang w:eastAsia="en-AU"/>
    </w:rPr>
  </w:style>
  <w:style w:type="paragraph" w:customStyle="1" w:styleId="xl76">
    <w:name w:val="xl76"/>
    <w:basedOn w:val="Normal"/>
    <w:rsid w:val="00243370"/>
    <w:pPr>
      <w:shd w:val="clear" w:color="000000" w:fill="FFFFFF"/>
      <w:spacing w:before="100" w:beforeAutospacing="1" w:after="100" w:afterAutospacing="1"/>
      <w:jc w:val="right"/>
      <w:textAlignment w:val="top"/>
    </w:pPr>
    <w:rPr>
      <w:rFonts w:ascii="Times New Roman" w:hAnsi="Times New Roman"/>
      <w:sz w:val="24"/>
      <w:szCs w:val="24"/>
      <w:lang w:eastAsia="en-AU"/>
    </w:rPr>
  </w:style>
  <w:style w:type="paragraph" w:customStyle="1" w:styleId="xl77">
    <w:name w:val="xl77"/>
    <w:basedOn w:val="Normal"/>
    <w:rsid w:val="00243370"/>
    <w:pPr>
      <w:shd w:val="clear" w:color="000000" w:fill="FFFFFF"/>
      <w:spacing w:before="100" w:beforeAutospacing="1" w:after="100" w:afterAutospacing="1"/>
      <w:jc w:val="center"/>
      <w:textAlignment w:val="top"/>
    </w:pPr>
    <w:rPr>
      <w:rFonts w:ascii="Times New Roman" w:hAnsi="Times New Roman"/>
      <w:sz w:val="24"/>
      <w:szCs w:val="24"/>
      <w:lang w:eastAsia="en-AU"/>
    </w:rPr>
  </w:style>
  <w:style w:type="paragraph" w:customStyle="1" w:styleId="xl78">
    <w:name w:val="xl78"/>
    <w:basedOn w:val="Normal"/>
    <w:rsid w:val="00243370"/>
    <w:pPr>
      <w:shd w:val="clear" w:color="000000" w:fill="FFFFFF"/>
      <w:spacing w:before="100" w:beforeAutospacing="1" w:after="100" w:afterAutospacing="1"/>
      <w:jc w:val="right"/>
      <w:textAlignment w:val="top"/>
    </w:pPr>
    <w:rPr>
      <w:rFonts w:ascii="Times New Roman" w:hAnsi="Times New Roman"/>
      <w:sz w:val="24"/>
      <w:szCs w:val="24"/>
      <w:lang w:eastAsia="en-AU"/>
    </w:rPr>
  </w:style>
  <w:style w:type="paragraph" w:customStyle="1" w:styleId="xl79">
    <w:name w:val="xl79"/>
    <w:basedOn w:val="Normal"/>
    <w:rsid w:val="00243370"/>
    <w:pPr>
      <w:shd w:val="clear" w:color="000000" w:fill="FFFFFF"/>
      <w:spacing w:before="100" w:beforeAutospacing="1" w:after="100" w:afterAutospacing="1"/>
      <w:jc w:val="center"/>
      <w:textAlignment w:val="top"/>
    </w:pPr>
    <w:rPr>
      <w:rFonts w:ascii="Times New Roman" w:hAnsi="Times New Roman"/>
      <w:sz w:val="24"/>
      <w:szCs w:val="24"/>
      <w:lang w:eastAsia="en-AU"/>
    </w:rPr>
  </w:style>
  <w:style w:type="paragraph" w:customStyle="1" w:styleId="xl80">
    <w:name w:val="xl80"/>
    <w:basedOn w:val="Normal"/>
    <w:rsid w:val="00243370"/>
    <w:pPr>
      <w:spacing w:before="100" w:beforeAutospacing="1" w:after="100" w:afterAutospacing="1"/>
    </w:pPr>
    <w:rPr>
      <w:rFonts w:ascii="Times New Roman" w:hAnsi="Times New Roman"/>
      <w:sz w:val="24"/>
      <w:szCs w:val="24"/>
      <w:lang w:eastAsia="en-AU"/>
    </w:rPr>
  </w:style>
  <w:style w:type="paragraph" w:customStyle="1" w:styleId="xl81">
    <w:name w:val="xl81"/>
    <w:basedOn w:val="Normal"/>
    <w:rsid w:val="00243370"/>
    <w:pPr>
      <w:spacing w:before="100" w:beforeAutospacing="1" w:after="100" w:afterAutospacing="1"/>
    </w:pPr>
    <w:rPr>
      <w:rFonts w:ascii="Times New Roman" w:hAnsi="Times New Roman"/>
      <w:sz w:val="16"/>
      <w:szCs w:val="16"/>
      <w:lang w:eastAsia="en-AU"/>
    </w:rPr>
  </w:style>
  <w:style w:type="paragraph" w:customStyle="1" w:styleId="xl82">
    <w:name w:val="xl82"/>
    <w:basedOn w:val="Normal"/>
    <w:rsid w:val="00243370"/>
    <w:pPr>
      <w:pBdr>
        <w:left w:val="single" w:sz="4" w:space="0" w:color="000000"/>
        <w:right w:val="single" w:sz="4" w:space="0" w:color="000000"/>
      </w:pBdr>
      <w:shd w:val="clear" w:color="000000" w:fill="000000"/>
      <w:spacing w:before="100" w:beforeAutospacing="1" w:after="100" w:afterAutospacing="1"/>
    </w:pPr>
    <w:rPr>
      <w:rFonts w:ascii="Times New Roman" w:hAnsi="Times New Roman"/>
      <w:color w:val="FFFFFF"/>
      <w:sz w:val="24"/>
      <w:szCs w:val="24"/>
      <w:lang w:eastAsia="en-AU"/>
    </w:rPr>
  </w:style>
  <w:style w:type="paragraph" w:customStyle="1" w:styleId="xl83">
    <w:name w:val="xl83"/>
    <w:basedOn w:val="Normal"/>
    <w:rsid w:val="00243370"/>
    <w:pPr>
      <w:pBdr>
        <w:left w:val="single" w:sz="4" w:space="0" w:color="000000"/>
        <w:bottom w:val="single" w:sz="4" w:space="0" w:color="000000"/>
        <w:right w:val="single" w:sz="4" w:space="0" w:color="000000"/>
      </w:pBdr>
      <w:shd w:val="clear" w:color="000000" w:fill="000000"/>
      <w:spacing w:before="100" w:beforeAutospacing="1" w:after="100" w:afterAutospacing="1"/>
    </w:pPr>
    <w:rPr>
      <w:rFonts w:ascii="Times New Roman" w:hAnsi="Times New Roman"/>
      <w:color w:val="FFFFFF"/>
      <w:sz w:val="24"/>
      <w:szCs w:val="24"/>
      <w:lang w:eastAsia="en-AU"/>
    </w:rPr>
  </w:style>
  <w:style w:type="paragraph" w:customStyle="1" w:styleId="xl84">
    <w:name w:val="xl84"/>
    <w:basedOn w:val="Normal"/>
    <w:rsid w:val="00243370"/>
    <w:pPr>
      <w:spacing w:before="100" w:beforeAutospacing="1" w:after="100" w:afterAutospacing="1"/>
    </w:pPr>
    <w:rPr>
      <w:rFonts w:ascii="Times New Roman" w:hAnsi="Times New Roman"/>
      <w:b/>
      <w:bCs/>
      <w:sz w:val="28"/>
      <w:szCs w:val="28"/>
      <w:lang w:eastAsia="en-AU"/>
    </w:rPr>
  </w:style>
  <w:style w:type="paragraph" w:customStyle="1" w:styleId="xl85">
    <w:name w:val="xl85"/>
    <w:basedOn w:val="Normal"/>
    <w:rsid w:val="00243370"/>
    <w:pPr>
      <w:spacing w:before="100" w:beforeAutospacing="1" w:after="100" w:afterAutospacing="1"/>
    </w:pPr>
    <w:rPr>
      <w:rFonts w:ascii="Times New Roman" w:hAnsi="Times New Roman"/>
      <w:b/>
      <w:bCs/>
      <w:i/>
      <w:iCs/>
      <w:sz w:val="24"/>
      <w:szCs w:val="24"/>
      <w:lang w:eastAsia="en-AU"/>
    </w:rPr>
  </w:style>
  <w:style w:type="paragraph" w:customStyle="1" w:styleId="xl86">
    <w:name w:val="xl86"/>
    <w:basedOn w:val="Normal"/>
    <w:rsid w:val="00243370"/>
    <w:pPr>
      <w:spacing w:before="100" w:beforeAutospacing="1" w:after="100" w:afterAutospacing="1"/>
    </w:pPr>
    <w:rPr>
      <w:rFonts w:ascii="Times New Roman" w:hAnsi="Times New Roman"/>
      <w:sz w:val="18"/>
      <w:szCs w:val="18"/>
      <w:lang w:eastAsia="en-AU"/>
    </w:rPr>
  </w:style>
  <w:style w:type="paragraph" w:styleId="NormalWeb">
    <w:name w:val="Normal (Web)"/>
    <w:basedOn w:val="Normal"/>
    <w:locked/>
    <w:rsid w:val="00243370"/>
    <w:pPr>
      <w:spacing w:before="100" w:beforeAutospacing="1" w:after="100" w:afterAutospacing="1"/>
    </w:pPr>
    <w:rPr>
      <w:rFonts w:ascii="Times New Roman" w:hAnsi="Times New Roman"/>
      <w:sz w:val="24"/>
      <w:szCs w:val="24"/>
      <w:lang w:eastAsia="en-AU"/>
    </w:rPr>
  </w:style>
  <w:style w:type="character" w:customStyle="1" w:styleId="FooterChar">
    <w:name w:val="Footer Char"/>
    <w:link w:val="Footer"/>
    <w:rsid w:val="00243370"/>
    <w:rPr>
      <w:rFonts w:ascii="Calibri" w:hAnsi="Calibri"/>
      <w:szCs w:val="18"/>
      <w:lang w:eastAsia="en-US"/>
    </w:rPr>
  </w:style>
  <w:style w:type="paragraph" w:customStyle="1" w:styleId="Soy">
    <w:name w:val="Soy"/>
    <w:basedOn w:val="Source"/>
    <w:qFormat/>
    <w:rsid w:val="00243370"/>
  </w:style>
  <w:style w:type="paragraph" w:customStyle="1" w:styleId="font5">
    <w:name w:val="font5"/>
    <w:basedOn w:val="Normal"/>
    <w:rsid w:val="00243370"/>
    <w:pPr>
      <w:spacing w:before="100" w:beforeAutospacing="1" w:after="100" w:afterAutospacing="1"/>
    </w:pPr>
    <w:rPr>
      <w:rFonts w:ascii="Calibri" w:hAnsi="Calibri" w:cs="Calibri"/>
      <w:color w:val="000000"/>
      <w:sz w:val="16"/>
      <w:szCs w:val="16"/>
      <w:lang w:eastAsia="en-AU"/>
    </w:rPr>
  </w:style>
  <w:style w:type="paragraph" w:customStyle="1" w:styleId="font6">
    <w:name w:val="font6"/>
    <w:basedOn w:val="Normal"/>
    <w:rsid w:val="00243370"/>
    <w:pPr>
      <w:spacing w:before="100" w:beforeAutospacing="1" w:after="100" w:afterAutospacing="1"/>
    </w:pPr>
    <w:rPr>
      <w:rFonts w:ascii="Calibri" w:hAnsi="Calibri" w:cs="Calibri"/>
      <w:i/>
      <w:iCs/>
      <w:color w:val="000000"/>
      <w:sz w:val="16"/>
      <w:szCs w:val="16"/>
      <w:lang w:eastAsia="en-AU"/>
    </w:rPr>
  </w:style>
  <w:style w:type="paragraph" w:styleId="EndnoteText">
    <w:name w:val="endnote text"/>
    <w:basedOn w:val="Normal"/>
    <w:link w:val="EndnoteTextChar"/>
    <w:locked/>
    <w:rsid w:val="00243370"/>
    <w:rPr>
      <w:sz w:val="20"/>
    </w:rPr>
  </w:style>
  <w:style w:type="character" w:customStyle="1" w:styleId="EndnoteTextChar">
    <w:name w:val="Endnote Text Char"/>
    <w:basedOn w:val="DefaultParagraphFont"/>
    <w:link w:val="EndnoteText"/>
    <w:rsid w:val="00243370"/>
    <w:rPr>
      <w:rFonts w:ascii="Garamond" w:hAnsi="Garamond"/>
      <w:lang w:eastAsia="en-US"/>
    </w:rPr>
  </w:style>
  <w:style w:type="character" w:styleId="EndnoteReference">
    <w:name w:val="endnote reference"/>
    <w:locked/>
    <w:rsid w:val="00243370"/>
    <w:rPr>
      <w:vertAlign w:val="superscript"/>
    </w:rPr>
  </w:style>
  <w:style w:type="paragraph" w:customStyle="1" w:styleId="TableText0">
    <w:name w:val="Table Text"/>
    <w:basedOn w:val="Normal"/>
    <w:rsid w:val="00243370"/>
    <w:pPr>
      <w:spacing w:before="30" w:after="30"/>
    </w:pPr>
    <w:rPr>
      <w:rFonts w:ascii="Calibri" w:hAnsi="Calibri"/>
      <w:color w:val="4D4D4D"/>
      <w:sz w:val="18"/>
      <w:szCs w:val="24"/>
      <w:lang w:eastAsia="en-AU"/>
    </w:rPr>
  </w:style>
  <w:style w:type="paragraph" w:customStyle="1" w:styleId="TableTextHeadingLeft1">
    <w:name w:val="Table Text Heading Left"/>
    <w:basedOn w:val="Tabletextcentred"/>
    <w:rsid w:val="00243370"/>
    <w:pPr>
      <w:spacing w:before="30" w:after="30"/>
      <w:jc w:val="left"/>
    </w:pPr>
    <w:rPr>
      <w:b/>
      <w:color w:val="4D4D4D"/>
      <w:szCs w:val="24"/>
      <w:lang w:eastAsia="en-AU"/>
    </w:rPr>
  </w:style>
  <w:style w:type="paragraph" w:customStyle="1" w:styleId="TableTextHeadingRight">
    <w:name w:val="Table Text Heading Right"/>
    <w:basedOn w:val="TableTextHeadingLeft1"/>
    <w:rsid w:val="00243370"/>
    <w:pPr>
      <w:jc w:val="right"/>
    </w:pPr>
  </w:style>
  <w:style w:type="paragraph" w:customStyle="1" w:styleId="TableTextHeadingCentre">
    <w:name w:val="Table Text Heading Centre"/>
    <w:basedOn w:val="TableTextHeadingLeft1"/>
    <w:rsid w:val="00243370"/>
    <w:pPr>
      <w:jc w:val="center"/>
    </w:pPr>
  </w:style>
  <w:style w:type="paragraph" w:customStyle="1" w:styleId="TableTextCentred0">
    <w:name w:val="Table Text Centred"/>
    <w:basedOn w:val="TableText0"/>
    <w:rsid w:val="00243370"/>
    <w:pPr>
      <w:jc w:val="center"/>
    </w:pPr>
  </w:style>
  <w:style w:type="paragraph" w:customStyle="1" w:styleId="TableTextRight">
    <w:name w:val="Table Text Right"/>
    <w:basedOn w:val="Normal"/>
    <w:rsid w:val="00243370"/>
    <w:pPr>
      <w:spacing w:before="30" w:after="30"/>
      <w:jc w:val="right"/>
    </w:pPr>
    <w:rPr>
      <w:rFonts w:ascii="Calibri" w:hAnsi="Calibri"/>
      <w:color w:val="4D4D4D"/>
      <w:sz w:val="18"/>
      <w:szCs w:val="18"/>
      <w:lang w:eastAsia="en-AU"/>
    </w:rPr>
  </w:style>
  <w:style w:type="character" w:customStyle="1" w:styleId="Heading3Char">
    <w:name w:val="Heading 3 Char"/>
    <w:link w:val="Heading3"/>
    <w:locked/>
    <w:rsid w:val="00243370"/>
    <w:rPr>
      <w:rFonts w:ascii="Calibri" w:hAnsi="Calibri"/>
      <w:b/>
      <w:i/>
      <w:kern w:val="28"/>
      <w:sz w:val="24"/>
      <w:szCs w:val="22"/>
      <w:lang w:eastAsia="en-US"/>
    </w:rPr>
  </w:style>
  <w:style w:type="paragraph" w:styleId="Index3">
    <w:name w:val="index 3"/>
    <w:basedOn w:val="Normal"/>
    <w:next w:val="Normal"/>
    <w:autoRedefine/>
    <w:rsid w:val="00243370"/>
    <w:pPr>
      <w:spacing w:after="0"/>
      <w:ind w:left="660" w:hanging="220"/>
    </w:pPr>
    <w:rPr>
      <w:rFonts w:ascii="Calibri" w:hAnsi="Calibri" w:cs="Calibri"/>
      <w:sz w:val="18"/>
      <w:szCs w:val="18"/>
    </w:rPr>
  </w:style>
  <w:style w:type="paragraph" w:styleId="Index4">
    <w:name w:val="index 4"/>
    <w:basedOn w:val="Normal"/>
    <w:next w:val="Normal"/>
    <w:autoRedefine/>
    <w:rsid w:val="00243370"/>
    <w:pPr>
      <w:spacing w:after="0"/>
      <w:ind w:left="880" w:hanging="220"/>
    </w:pPr>
    <w:rPr>
      <w:rFonts w:ascii="Calibri" w:hAnsi="Calibri" w:cs="Calibri"/>
      <w:sz w:val="18"/>
      <w:szCs w:val="18"/>
    </w:rPr>
  </w:style>
  <w:style w:type="paragraph" w:styleId="Index5">
    <w:name w:val="index 5"/>
    <w:basedOn w:val="Normal"/>
    <w:next w:val="Normal"/>
    <w:autoRedefine/>
    <w:rsid w:val="00243370"/>
    <w:pPr>
      <w:spacing w:after="0"/>
      <w:ind w:left="1100" w:hanging="220"/>
    </w:pPr>
    <w:rPr>
      <w:rFonts w:ascii="Calibri" w:hAnsi="Calibri" w:cs="Calibri"/>
      <w:sz w:val="18"/>
      <w:szCs w:val="18"/>
    </w:rPr>
  </w:style>
  <w:style w:type="paragraph" w:styleId="Index6">
    <w:name w:val="index 6"/>
    <w:basedOn w:val="Normal"/>
    <w:next w:val="Normal"/>
    <w:autoRedefine/>
    <w:locked/>
    <w:rsid w:val="00243370"/>
    <w:pPr>
      <w:spacing w:after="0"/>
      <w:ind w:left="1320" w:hanging="220"/>
    </w:pPr>
    <w:rPr>
      <w:rFonts w:ascii="Calibri" w:hAnsi="Calibri" w:cs="Calibri"/>
      <w:sz w:val="18"/>
      <w:szCs w:val="18"/>
    </w:rPr>
  </w:style>
  <w:style w:type="paragraph" w:styleId="Index7">
    <w:name w:val="index 7"/>
    <w:basedOn w:val="Normal"/>
    <w:next w:val="Normal"/>
    <w:autoRedefine/>
    <w:locked/>
    <w:rsid w:val="00243370"/>
    <w:pPr>
      <w:spacing w:after="0"/>
      <w:ind w:left="1540" w:hanging="220"/>
    </w:pPr>
    <w:rPr>
      <w:rFonts w:ascii="Calibri" w:hAnsi="Calibri" w:cs="Calibri"/>
      <w:sz w:val="18"/>
      <w:szCs w:val="18"/>
    </w:rPr>
  </w:style>
  <w:style w:type="paragraph" w:styleId="Index8">
    <w:name w:val="index 8"/>
    <w:basedOn w:val="Normal"/>
    <w:next w:val="Normal"/>
    <w:autoRedefine/>
    <w:locked/>
    <w:rsid w:val="00243370"/>
    <w:pPr>
      <w:spacing w:after="0"/>
      <w:ind w:left="1760" w:hanging="220"/>
    </w:pPr>
    <w:rPr>
      <w:rFonts w:ascii="Calibri" w:hAnsi="Calibri" w:cs="Calibri"/>
      <w:sz w:val="18"/>
      <w:szCs w:val="18"/>
    </w:rPr>
  </w:style>
  <w:style w:type="paragraph" w:styleId="Index9">
    <w:name w:val="index 9"/>
    <w:basedOn w:val="Normal"/>
    <w:next w:val="Normal"/>
    <w:autoRedefine/>
    <w:locked/>
    <w:rsid w:val="00243370"/>
    <w:pPr>
      <w:spacing w:after="0"/>
      <w:ind w:left="1980" w:hanging="220"/>
    </w:pPr>
    <w:rPr>
      <w:rFonts w:ascii="Calibri" w:hAnsi="Calibri" w:cs="Calibri"/>
      <w:sz w:val="18"/>
      <w:szCs w:val="18"/>
    </w:rPr>
  </w:style>
  <w:style w:type="paragraph" w:styleId="Revision">
    <w:name w:val="Revision"/>
    <w:hidden/>
    <w:uiPriority w:val="99"/>
    <w:semiHidden/>
    <w:rsid w:val="00243370"/>
    <w:rPr>
      <w:rFonts w:ascii="Garamond" w:hAnsi="Garamond"/>
      <w:sz w:val="22"/>
      <w:lang w:eastAsia="en-US"/>
    </w:rPr>
  </w:style>
  <w:style w:type="paragraph" w:customStyle="1" w:styleId="DPCbody">
    <w:name w:val="DPC body"/>
    <w:qFormat/>
    <w:rsid w:val="00243370"/>
    <w:pPr>
      <w:spacing w:after="160" w:line="300" w:lineRule="atLeast"/>
    </w:pPr>
    <w:rPr>
      <w:rFonts w:asciiTheme="minorHAnsi" w:eastAsia="Times" w:hAnsiTheme="minorHAnsi" w:cs="Arial"/>
      <w:color w:val="000000" w:themeColor="text1"/>
      <w:sz w:val="24"/>
      <w:szCs w:val="24"/>
      <w:lang w:eastAsia="en-US"/>
    </w:rPr>
  </w:style>
  <w:style w:type="table" w:styleId="TableColumns4">
    <w:name w:val="Table Columns 4"/>
    <w:basedOn w:val="TableNormal"/>
    <w:unhideWhenUsed/>
    <w:locked/>
    <w:rsid w:val="00243370"/>
    <w:pPr>
      <w:spacing w:after="120"/>
    </w:p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footer" Target="footer13.xml"/><Relationship Id="rId39" Type="http://schemas.openxmlformats.org/officeDocument/2006/relationships/footer" Target="footer23.xml"/><Relationship Id="rId21" Type="http://schemas.openxmlformats.org/officeDocument/2006/relationships/footer" Target="footer8.xml"/><Relationship Id="rId34" Type="http://schemas.openxmlformats.org/officeDocument/2006/relationships/footer" Target="footer18.xml"/><Relationship Id="rId42" Type="http://schemas.openxmlformats.org/officeDocument/2006/relationships/footer" Target="footer26.xml"/><Relationship Id="rId47" Type="http://schemas.openxmlformats.org/officeDocument/2006/relationships/footer" Target="footer31.xml"/><Relationship Id="rId50" Type="http://schemas.openxmlformats.org/officeDocument/2006/relationships/footer" Target="footer34.xml"/><Relationship Id="rId55" Type="http://schemas.openxmlformats.org/officeDocument/2006/relationships/footer" Target="footer38.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12.xml"/><Relationship Id="rId33" Type="http://schemas.openxmlformats.org/officeDocument/2006/relationships/header" Target="header6.xml"/><Relationship Id="rId38" Type="http://schemas.openxmlformats.org/officeDocument/2006/relationships/footer" Target="footer22.xml"/><Relationship Id="rId46"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eader" Target="header4.xml"/><Relationship Id="rId41" Type="http://schemas.openxmlformats.org/officeDocument/2006/relationships/footer" Target="footer25.xml"/><Relationship Id="rId54"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footer" Target="footer24.xml"/><Relationship Id="rId45" Type="http://schemas.openxmlformats.org/officeDocument/2006/relationships/footer" Target="footer29.xml"/><Relationship Id="rId53" Type="http://schemas.openxmlformats.org/officeDocument/2006/relationships/footer" Target="footer3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0.xml"/><Relationship Id="rId49" Type="http://schemas.openxmlformats.org/officeDocument/2006/relationships/footer" Target="footer33.xml"/><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6.xml"/><Relationship Id="rId44" Type="http://schemas.openxmlformats.org/officeDocument/2006/relationships/footer" Target="footer28.xml"/><Relationship Id="rId52" Type="http://schemas.openxmlformats.org/officeDocument/2006/relationships/footer" Target="footer35.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header" Target="header5.xml"/><Relationship Id="rId35"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footer" Target="footer3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dtf.vic.gov.au/Publications/Government-Financial-Management-publications/DTF-glossary-for-budget-and-financial-reports"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Budget_B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35687-9189-467C-9E4A-8BF72FA0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Budget_B5.dotm</Template>
  <TotalTime>0</TotalTime>
  <Pages>6</Pages>
  <Words>118592</Words>
  <Characters>675981</Characters>
  <Application>Microsoft Office Word</Application>
  <DocSecurity>0</DocSecurity>
  <Lines>5633</Lines>
  <Paragraphs>1585</Paragraphs>
  <ScaleCrop>false</ScaleCrop>
  <HeadingPairs>
    <vt:vector size="2" baseType="variant">
      <vt:variant>
        <vt:lpstr>Title</vt:lpstr>
      </vt:variant>
      <vt:variant>
        <vt:i4>1</vt:i4>
      </vt:variant>
    </vt:vector>
  </HeadingPairs>
  <TitlesOfParts>
    <vt:vector size="1" baseType="lpstr">
      <vt:lpstr>Draft No</vt:lpstr>
    </vt:vector>
  </TitlesOfParts>
  <Company>DTF</Company>
  <LinksUpToDate>false</LinksUpToDate>
  <CharactersWithSpaces>792988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No</dc:title>
  <dc:creator>Julianna Grigg</dc:creator>
  <cp:lastModifiedBy>Deidre Steain</cp:lastModifiedBy>
  <cp:revision>2</cp:revision>
  <cp:lastPrinted>2016-04-22T07:30:00Z</cp:lastPrinted>
  <dcterms:created xsi:type="dcterms:W3CDTF">2016-04-26T02:40:00Z</dcterms:created>
  <dcterms:modified xsi:type="dcterms:W3CDTF">2016-04-26T02:40:00Z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554ffa49-c395-4939-b76e-f0fcfede01a1</vt:lpwstr>
  </property>
  <property fmtid="{D5CDD505-2E9C-101B-9397-08002B2CF9AE}" pid="3" name="PSPFClassification">
    <vt:lpwstr>Do Not Mark</vt:lpwstr>
  </property>
</Properties>
</file>