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8A2" w:rsidRPr="0025527C" w:rsidRDefault="008908A2" w:rsidP="008908A2">
      <w:pPr>
        <w:pStyle w:val="Minister"/>
      </w:pPr>
      <w:r w:rsidRPr="0025527C">
        <w:t xml:space="preserve">The Hon </w:t>
      </w:r>
      <w:r>
        <w:t>Adem Somyurek</w:t>
      </w:r>
      <w:r w:rsidRPr="0025527C">
        <w:t xml:space="preserve"> MP</w:t>
      </w:r>
    </w:p>
    <w:p w:rsidR="008908A2" w:rsidRPr="0025527C" w:rsidRDefault="008908A2" w:rsidP="00A11565">
      <w:pPr>
        <w:pStyle w:val="Portfolio"/>
      </w:pPr>
      <w:r>
        <w:t>Minister for Local Government</w:t>
      </w:r>
      <w:r w:rsidR="00A11565">
        <w:br/>
        <w:t xml:space="preserve">Minister for </w:t>
      </w:r>
      <w:r>
        <w:t>Small Business</w:t>
      </w:r>
    </w:p>
    <w:p w:rsidR="008908A2" w:rsidRPr="00FF04D2" w:rsidRDefault="008908A2" w:rsidP="008908A2">
      <w:pPr>
        <w:jc w:val="both"/>
      </w:pPr>
      <w:r>
        <w:t>Monday, 27 May 2019</w:t>
      </w:r>
    </w:p>
    <w:p w:rsidR="008908A2" w:rsidRDefault="008908A2" w:rsidP="008908A2">
      <w:pPr>
        <w:pStyle w:val="MediaReleaseHeading1"/>
        <w:jc w:val="both"/>
      </w:pPr>
      <w:r>
        <w:t>BUDGET BOOST FOR GROWING SUBURBS AND SMALL BUSINESSES</w:t>
      </w:r>
    </w:p>
    <w:p w:rsidR="008908A2" w:rsidRDefault="008908A2" w:rsidP="008908A2">
      <w:pPr>
        <w:jc w:val="both"/>
        <w:rPr>
          <w:rFonts w:cs="Calibri"/>
        </w:rPr>
      </w:pPr>
      <w:r>
        <w:rPr>
          <w:rFonts w:cs="Calibri"/>
        </w:rPr>
        <w:t xml:space="preserve">The Andrews Labor Government is giving small businesses and communities across Victoria the support they need to grow and succeed. </w:t>
      </w:r>
    </w:p>
    <w:p w:rsidR="008908A2" w:rsidRDefault="008908A2" w:rsidP="008908A2">
      <w:pPr>
        <w:jc w:val="both"/>
        <w:rPr>
          <w:szCs w:val="20"/>
        </w:rPr>
      </w:pPr>
      <w:r>
        <w:rPr>
          <w:szCs w:val="20"/>
        </w:rPr>
        <w:t>The</w:t>
      </w:r>
      <w:r w:rsidRPr="00910B14">
        <w:rPr>
          <w:szCs w:val="20"/>
        </w:rPr>
        <w:t xml:space="preserve"> Labor Government </w:t>
      </w:r>
      <w:r>
        <w:rPr>
          <w:szCs w:val="20"/>
        </w:rPr>
        <w:t xml:space="preserve">has made job creation a priority, slashing regional payroll tax for about 3,500 businesses to create new regional jobs. </w:t>
      </w:r>
    </w:p>
    <w:p w:rsidR="008908A2" w:rsidRPr="00020EF6" w:rsidRDefault="008908A2" w:rsidP="008908A2">
      <w:pPr>
        <w:jc w:val="both"/>
        <w:rPr>
          <w:szCs w:val="20"/>
        </w:rPr>
      </w:pPr>
      <w:r>
        <w:rPr>
          <w:rFonts w:asciiTheme="minorHAnsi" w:hAnsiTheme="minorHAnsi"/>
        </w:rPr>
        <w:t xml:space="preserve">In last year’s Budget we cut </w:t>
      </w:r>
      <w:r w:rsidRPr="003856F8">
        <w:rPr>
          <w:rFonts w:asciiTheme="minorHAnsi" w:hAnsiTheme="minorHAnsi"/>
        </w:rPr>
        <w:t>payroll tax for regional business to 2.425 per cent</w:t>
      </w:r>
      <w:r>
        <w:rPr>
          <w:rFonts w:asciiTheme="minorHAnsi" w:hAnsiTheme="minorHAnsi"/>
        </w:rPr>
        <w:t xml:space="preserve">, and </w:t>
      </w:r>
      <w:r>
        <w:rPr>
          <w:szCs w:val="20"/>
        </w:rPr>
        <w:t xml:space="preserve">as part of the </w:t>
      </w:r>
      <w:r w:rsidRPr="00EC20EB">
        <w:rPr>
          <w:i/>
          <w:szCs w:val="20"/>
        </w:rPr>
        <w:t>Victorian Budget</w:t>
      </w:r>
      <w:r>
        <w:rPr>
          <w:i/>
          <w:szCs w:val="20"/>
        </w:rPr>
        <w:t> </w:t>
      </w:r>
      <w:r w:rsidRPr="00EC20EB">
        <w:rPr>
          <w:i/>
          <w:szCs w:val="20"/>
        </w:rPr>
        <w:t>2019/20</w:t>
      </w:r>
      <w:r>
        <w:rPr>
          <w:szCs w:val="20"/>
        </w:rPr>
        <w:t xml:space="preserve">, we are going even further, reducing </w:t>
      </w:r>
      <w:r w:rsidRPr="003856F8">
        <w:rPr>
          <w:rFonts w:asciiTheme="minorHAnsi" w:hAnsiTheme="minorHAnsi"/>
        </w:rPr>
        <w:t xml:space="preserve">regional payroll tax </w:t>
      </w:r>
      <w:r>
        <w:rPr>
          <w:rFonts w:asciiTheme="minorHAnsi" w:hAnsiTheme="minorHAnsi"/>
        </w:rPr>
        <w:t xml:space="preserve">to a quarter of the </w:t>
      </w:r>
      <w:r w:rsidRPr="003856F8">
        <w:rPr>
          <w:rFonts w:asciiTheme="minorHAnsi" w:hAnsiTheme="minorHAnsi"/>
        </w:rPr>
        <w:t>metro rate</w:t>
      </w:r>
      <w:r>
        <w:rPr>
          <w:rFonts w:asciiTheme="minorHAnsi" w:hAnsiTheme="minorHAnsi"/>
        </w:rPr>
        <w:t xml:space="preserve"> – down to </w:t>
      </w:r>
      <w:r w:rsidRPr="00C30F28">
        <w:rPr>
          <w:rFonts w:asciiTheme="minorHAnsi" w:hAnsiTheme="minorHAnsi"/>
        </w:rPr>
        <w:t>1.2125</w:t>
      </w:r>
      <w:r>
        <w:rPr>
          <w:rFonts w:asciiTheme="minorHAnsi" w:hAnsiTheme="minorHAnsi"/>
        </w:rPr>
        <w:t> </w:t>
      </w:r>
      <w:r w:rsidRPr="00C30F28">
        <w:rPr>
          <w:rFonts w:asciiTheme="minorHAnsi" w:hAnsiTheme="minorHAnsi"/>
        </w:rPr>
        <w:t>per cent</w:t>
      </w:r>
      <w:r w:rsidRPr="003856F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by </w:t>
      </w:r>
      <w:r w:rsidRPr="003856F8">
        <w:rPr>
          <w:rFonts w:asciiTheme="minorHAnsi" w:hAnsiTheme="minorHAnsi"/>
        </w:rPr>
        <w:t>2022-23</w:t>
      </w:r>
      <w:r>
        <w:rPr>
          <w:rFonts w:asciiTheme="minorHAnsi" w:hAnsiTheme="minorHAnsi"/>
        </w:rPr>
        <w:t>.</w:t>
      </w:r>
    </w:p>
    <w:p w:rsidR="008908A2" w:rsidRDefault="008908A2" w:rsidP="008908A2">
      <w:pPr>
        <w:jc w:val="both"/>
        <w:rPr>
          <w:szCs w:val="20"/>
        </w:rPr>
      </w:pPr>
      <w:r>
        <w:rPr>
          <w:szCs w:val="20"/>
        </w:rPr>
        <w:t xml:space="preserve">The </w:t>
      </w:r>
      <w:r w:rsidRPr="00FB033A">
        <w:rPr>
          <w:szCs w:val="20"/>
        </w:rPr>
        <w:t>payroll tax</w:t>
      </w:r>
      <w:r>
        <w:rPr>
          <w:szCs w:val="20"/>
        </w:rPr>
        <w:t>-</w:t>
      </w:r>
      <w:r w:rsidRPr="00FB033A">
        <w:rPr>
          <w:szCs w:val="20"/>
        </w:rPr>
        <w:t>free threshold</w:t>
      </w:r>
      <w:r>
        <w:rPr>
          <w:szCs w:val="20"/>
        </w:rPr>
        <w:t xml:space="preserve"> will also be increased over the coming years, from </w:t>
      </w:r>
      <w:r w:rsidRPr="00FB033A">
        <w:rPr>
          <w:szCs w:val="20"/>
        </w:rPr>
        <w:t>$650</w:t>
      </w:r>
      <w:r>
        <w:rPr>
          <w:szCs w:val="20"/>
        </w:rPr>
        <w:t>,</w:t>
      </w:r>
      <w:r w:rsidRPr="00FB033A">
        <w:rPr>
          <w:szCs w:val="20"/>
        </w:rPr>
        <w:t>000 to $700</w:t>
      </w:r>
      <w:r>
        <w:rPr>
          <w:szCs w:val="20"/>
        </w:rPr>
        <w:t>,</w:t>
      </w:r>
      <w:r w:rsidRPr="00FB033A">
        <w:rPr>
          <w:szCs w:val="20"/>
        </w:rPr>
        <w:t xml:space="preserve">000 </w:t>
      </w:r>
      <w:r>
        <w:rPr>
          <w:szCs w:val="20"/>
        </w:rPr>
        <w:t>by</w:t>
      </w:r>
      <w:r w:rsidRPr="00FB033A">
        <w:rPr>
          <w:szCs w:val="20"/>
        </w:rPr>
        <w:t xml:space="preserve"> 2022</w:t>
      </w:r>
      <w:r w:rsidRPr="00FB033A">
        <w:rPr>
          <w:szCs w:val="20"/>
        </w:rPr>
        <w:noBreakHyphen/>
        <w:t>23</w:t>
      </w:r>
      <w:r>
        <w:rPr>
          <w:szCs w:val="20"/>
        </w:rPr>
        <w:t xml:space="preserve">. The </w:t>
      </w:r>
      <w:r w:rsidRPr="00FB033A">
        <w:rPr>
          <w:szCs w:val="20"/>
        </w:rPr>
        <w:t xml:space="preserve">number of businesses paying payroll tax </w:t>
      </w:r>
      <w:r>
        <w:rPr>
          <w:szCs w:val="20"/>
        </w:rPr>
        <w:t xml:space="preserve">will fall by about </w:t>
      </w:r>
      <w:r w:rsidRPr="00FB033A">
        <w:rPr>
          <w:szCs w:val="20"/>
        </w:rPr>
        <w:t xml:space="preserve">700 in 2021-22 and </w:t>
      </w:r>
      <w:r>
        <w:rPr>
          <w:szCs w:val="20"/>
        </w:rPr>
        <w:t xml:space="preserve">then </w:t>
      </w:r>
      <w:r w:rsidRPr="00FB033A">
        <w:rPr>
          <w:szCs w:val="20"/>
        </w:rPr>
        <w:t>a</w:t>
      </w:r>
      <w:r>
        <w:rPr>
          <w:szCs w:val="20"/>
        </w:rPr>
        <w:t xml:space="preserve">nother </w:t>
      </w:r>
      <w:r w:rsidRPr="00FB033A">
        <w:rPr>
          <w:szCs w:val="20"/>
        </w:rPr>
        <w:t>700 in 2022-23.</w:t>
      </w:r>
      <w:r w:rsidRPr="00FB033A" w:rsidDel="007463E6">
        <w:rPr>
          <w:szCs w:val="20"/>
        </w:rPr>
        <w:t xml:space="preserve"> </w:t>
      </w:r>
    </w:p>
    <w:p w:rsidR="008908A2" w:rsidRPr="00FB033A" w:rsidRDefault="008908A2" w:rsidP="008908A2">
      <w:pPr>
        <w:jc w:val="both"/>
        <w:rPr>
          <w:szCs w:val="20"/>
        </w:rPr>
      </w:pPr>
      <w:r w:rsidRPr="00684956">
        <w:rPr>
          <w:szCs w:val="20"/>
        </w:rPr>
        <w:t>Small business services and support</w:t>
      </w:r>
      <w:r>
        <w:rPr>
          <w:szCs w:val="20"/>
        </w:rPr>
        <w:t xml:space="preserve"> worth </w:t>
      </w:r>
      <w:r w:rsidRPr="00684956">
        <w:rPr>
          <w:szCs w:val="20"/>
        </w:rPr>
        <w:t>$2.5 million</w:t>
      </w:r>
      <w:r>
        <w:rPr>
          <w:szCs w:val="20"/>
        </w:rPr>
        <w:t xml:space="preserve"> be made available to s</w:t>
      </w:r>
      <w:r w:rsidRPr="00684956">
        <w:rPr>
          <w:szCs w:val="20"/>
        </w:rPr>
        <w:t>mall and medium</w:t>
      </w:r>
      <w:r>
        <w:rPr>
          <w:szCs w:val="20"/>
        </w:rPr>
        <w:t>-</w:t>
      </w:r>
      <w:r w:rsidRPr="00684956">
        <w:rPr>
          <w:szCs w:val="20"/>
        </w:rPr>
        <w:t>sized Victorian businesses through inclusive mentoring services, workshops, online information, and the Business Victoria Local Events Program that supports local business communities.</w:t>
      </w:r>
    </w:p>
    <w:p w:rsidR="008908A2" w:rsidRPr="006F4225" w:rsidRDefault="008908A2" w:rsidP="008908A2">
      <w:pPr>
        <w:jc w:val="both"/>
        <w:rPr>
          <w:rFonts w:cs="Calibri"/>
        </w:rPr>
      </w:pPr>
      <w:r w:rsidRPr="00FE3660">
        <w:rPr>
          <w:rFonts w:cs="Calibri"/>
        </w:rPr>
        <w:t>The Labor Government is also suppo</w:t>
      </w:r>
      <w:bookmarkStart w:id="0" w:name="_GoBack"/>
      <w:bookmarkEnd w:id="0"/>
      <w:r w:rsidRPr="00FE3660">
        <w:rPr>
          <w:rFonts w:cs="Calibri"/>
        </w:rPr>
        <w:t>rting communities in our outer suburbs, investing a further $50 million to the Growing Suburbs Fund (GSF) to build and upgrade new community facilities. The fund is available to Melbourne’s 10 rapidly-developing interface councils, which include some of the fastest-growing suburbs in the country.</w:t>
      </w:r>
      <w:r>
        <w:rPr>
          <w:rFonts w:cs="Calibri"/>
        </w:rPr>
        <w:t xml:space="preserve"> </w:t>
      </w:r>
    </w:p>
    <w:p w:rsidR="008908A2" w:rsidRDefault="008908A2" w:rsidP="008908A2">
      <w:pPr>
        <w:jc w:val="both"/>
        <w:rPr>
          <w:rFonts w:cs="Calibri"/>
        </w:rPr>
      </w:pPr>
      <w:r w:rsidRPr="006F4225">
        <w:rPr>
          <w:rFonts w:cs="Calibri"/>
        </w:rPr>
        <w:t xml:space="preserve">The additional investment </w:t>
      </w:r>
      <w:r>
        <w:rPr>
          <w:rFonts w:cs="Calibri"/>
        </w:rPr>
        <w:t>means the Labor Government has now invested more than</w:t>
      </w:r>
      <w:r w:rsidRPr="00524CD8">
        <w:rPr>
          <w:rFonts w:cs="Calibri"/>
        </w:rPr>
        <w:t xml:space="preserve"> $250 million</w:t>
      </w:r>
      <w:r>
        <w:rPr>
          <w:rFonts w:cs="Calibri"/>
        </w:rPr>
        <w:t xml:space="preserve"> in the GSF</w:t>
      </w:r>
      <w:r w:rsidRPr="00524CD8">
        <w:rPr>
          <w:rFonts w:cs="Calibri"/>
        </w:rPr>
        <w:t xml:space="preserve">, with more than 116 projects </w:t>
      </w:r>
      <w:r>
        <w:rPr>
          <w:rFonts w:cs="Calibri"/>
        </w:rPr>
        <w:t xml:space="preserve">already </w:t>
      </w:r>
      <w:r w:rsidRPr="00524CD8">
        <w:rPr>
          <w:rFonts w:cs="Calibri"/>
        </w:rPr>
        <w:t xml:space="preserve">funded or </w:t>
      </w:r>
      <w:r>
        <w:rPr>
          <w:rFonts w:cs="Calibri"/>
        </w:rPr>
        <w:t xml:space="preserve">built, including new parks, play equipment, community centres and walking tracks. </w:t>
      </w:r>
    </w:p>
    <w:p w:rsidR="008908A2" w:rsidRPr="006F4225" w:rsidRDefault="008908A2" w:rsidP="008908A2">
      <w:pPr>
        <w:jc w:val="both"/>
        <w:rPr>
          <w:rFonts w:cs="Calibri"/>
        </w:rPr>
      </w:pPr>
      <w:r w:rsidRPr="006F4225">
        <w:rPr>
          <w:rFonts w:cs="Calibri"/>
        </w:rPr>
        <w:t xml:space="preserve">Councils will also receive an additional $2.7 million from the Roadside Weeds and Pests Program across 2019-20, which will </w:t>
      </w:r>
      <w:r>
        <w:rPr>
          <w:rFonts w:cs="Calibri"/>
        </w:rPr>
        <w:t>reduce the impact of</w:t>
      </w:r>
      <w:r w:rsidRPr="006F4225">
        <w:rPr>
          <w:rFonts w:cs="Calibri"/>
        </w:rPr>
        <w:t xml:space="preserve"> invasive species </w:t>
      </w:r>
      <w:r>
        <w:rPr>
          <w:rFonts w:cs="Calibri"/>
        </w:rPr>
        <w:t xml:space="preserve">on </w:t>
      </w:r>
      <w:r w:rsidRPr="006F4225">
        <w:rPr>
          <w:rFonts w:cs="Calibri"/>
        </w:rPr>
        <w:t xml:space="preserve">farming communities </w:t>
      </w:r>
      <w:r>
        <w:rPr>
          <w:rFonts w:cs="Calibri"/>
        </w:rPr>
        <w:t>and</w:t>
      </w:r>
      <w:r w:rsidRPr="006F4225">
        <w:rPr>
          <w:rFonts w:cs="Calibri"/>
        </w:rPr>
        <w:t xml:space="preserve"> the environment.</w:t>
      </w:r>
    </w:p>
    <w:p w:rsidR="008908A2" w:rsidRPr="00B424DB" w:rsidRDefault="008908A2" w:rsidP="008908A2">
      <w:pPr>
        <w:pStyle w:val="Quoteheading"/>
      </w:pPr>
      <w:r w:rsidRPr="76D8C52B">
        <w:t>Quotes attributable to Minister for Local Government</w:t>
      </w:r>
      <w:r w:rsidR="00A11565">
        <w:t xml:space="preserve"> and Minister for Small Business</w:t>
      </w:r>
      <w:r w:rsidRPr="76D8C52B">
        <w:t xml:space="preserve"> Adem Somyurek</w:t>
      </w:r>
    </w:p>
    <w:p w:rsidR="008908A2" w:rsidRDefault="008908A2" w:rsidP="008908A2">
      <w:pPr>
        <w:pStyle w:val="Quote"/>
      </w:pPr>
      <w:r>
        <w:t>“</w:t>
      </w:r>
      <w:r w:rsidRPr="0084601E">
        <w:t xml:space="preserve">Victoria is the best state in Australia to build a </w:t>
      </w:r>
      <w:r>
        <w:t>s</w:t>
      </w:r>
      <w:r w:rsidRPr="0084601E">
        <w:t>mall business and another cut to payroll tax will mean regional businesses can employ more people.”</w:t>
      </w:r>
    </w:p>
    <w:p w:rsidR="008908A2" w:rsidRDefault="008908A2" w:rsidP="008908A2">
      <w:pPr>
        <w:pStyle w:val="Quote"/>
      </w:pPr>
      <w:r>
        <w:t xml:space="preserve"> “We’re investing to meet the needs of our growing state, supporting local councils to deliver the infrastructure and services people need.”</w:t>
      </w:r>
    </w:p>
    <w:p w:rsidR="008908A2" w:rsidRPr="00F74BEA" w:rsidRDefault="008908A2" w:rsidP="008908A2">
      <w:pPr>
        <w:pStyle w:val="Quote"/>
      </w:pPr>
      <w:r>
        <w:t>“The Growing Suburbs Fund is delivering new parks, playgrounds, sports centres and community centres across Victoria – this boost will enable councils to do even more for their communities.”</w:t>
      </w:r>
    </w:p>
    <w:p w:rsidR="00F70DD7" w:rsidRPr="008908A2" w:rsidRDefault="00F70DD7" w:rsidP="008908A2"/>
    <w:sectPr w:rsidR="00F70DD7" w:rsidRPr="008908A2" w:rsidSect="007A7C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438" w:right="851" w:bottom="567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08A2" w:rsidRDefault="008908A2" w:rsidP="00474C53">
      <w:r>
        <w:separator/>
      </w:r>
    </w:p>
  </w:endnote>
  <w:endnote w:type="continuationSeparator" w:id="0">
    <w:p w:rsidR="008908A2" w:rsidRDefault="008908A2" w:rsidP="0047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8908A2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8908A2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46C" w:rsidRPr="0080069C" w:rsidRDefault="001D6AF7" w:rsidP="001D6AF7">
    <w:pPr>
      <w:pStyle w:val="Footer"/>
    </w:pPr>
    <w:r>
      <w:rPr>
        <w:rStyle w:val="PageNumber"/>
        <w:rFonts w:asciiTheme="majorHAnsi" w:hAnsiTheme="majorHAnsi"/>
        <w:b/>
        <w:sz w:val="22"/>
      </w:rPr>
      <w:fldChar w:fldCharType="begin"/>
    </w:r>
    <w:r>
      <w:rPr>
        <w:rStyle w:val="PageNumber"/>
        <w:rFonts w:asciiTheme="majorHAnsi" w:hAnsiTheme="majorHAnsi"/>
        <w:b/>
        <w:sz w:val="22"/>
      </w:rPr>
      <w:instrText xml:space="preserve"> REF  MediaContact </w:instrText>
    </w:r>
    <w:r>
      <w:rPr>
        <w:rStyle w:val="PageNumber"/>
        <w:rFonts w:asciiTheme="majorHAnsi" w:hAnsiTheme="majorHAnsi"/>
        <w:b/>
        <w:sz w:val="22"/>
      </w:rPr>
      <w:fldChar w:fldCharType="separate"/>
    </w:r>
    <w:r w:rsidR="008908A2" w:rsidRPr="00CC4787">
      <w:rPr>
        <w:rStyle w:val="PageNumber"/>
        <w:rFonts w:asciiTheme="majorHAnsi" w:hAnsiTheme="majorHAnsi"/>
        <w:b/>
        <w:sz w:val="22"/>
      </w:rPr>
      <w:t>Media contact:</w:t>
    </w:r>
    <w:r w:rsidR="008908A2">
      <w:rPr>
        <w:rStyle w:val="PageNumber"/>
        <w:rFonts w:asciiTheme="majorHAnsi" w:hAnsiTheme="majorHAnsi"/>
        <w:b/>
        <w:sz w:val="22"/>
      </w:rPr>
      <w:t xml:space="preserve"> </w:t>
    </w:r>
    <w:r w:rsidR="008908A2">
      <w:rPr>
        <w:rStyle w:val="PageNumber"/>
        <w:rFonts w:asciiTheme="majorHAnsi" w:hAnsiTheme="majorHAnsi"/>
        <w:sz w:val="22"/>
      </w:rPr>
      <w:t>Name Surname</w:t>
    </w:r>
    <w:r w:rsidR="008908A2" w:rsidRPr="0080069C">
      <w:rPr>
        <w:rStyle w:val="PageNumber"/>
        <w:rFonts w:asciiTheme="majorHAnsi" w:hAnsiTheme="majorHAnsi"/>
        <w:sz w:val="22"/>
      </w:rPr>
      <w:t xml:space="preserve"> 04</w:t>
    </w:r>
    <w:r w:rsidR="008908A2">
      <w:rPr>
        <w:rStyle w:val="PageNumber"/>
        <w:rFonts w:asciiTheme="majorHAnsi" w:hAnsiTheme="majorHAnsi"/>
        <w:sz w:val="22"/>
      </w:rPr>
      <w:t>xx</w:t>
    </w:r>
    <w:r w:rsidR="008908A2" w:rsidRPr="0080069C">
      <w:rPr>
        <w:rStyle w:val="PageNumber"/>
        <w:rFonts w:asciiTheme="majorHAnsi" w:hAnsiTheme="majorHAnsi"/>
        <w:sz w:val="22"/>
      </w:rPr>
      <w:t xml:space="preserve"> </w:t>
    </w:r>
    <w:r w:rsidR="008908A2">
      <w:rPr>
        <w:rStyle w:val="PageNumber"/>
        <w:rFonts w:asciiTheme="majorHAnsi" w:hAnsiTheme="majorHAnsi"/>
        <w:sz w:val="22"/>
      </w:rPr>
      <w:t>xxx</w:t>
    </w:r>
    <w:r w:rsidR="008908A2" w:rsidRPr="0080069C">
      <w:rPr>
        <w:rStyle w:val="PageNumber"/>
        <w:rFonts w:asciiTheme="majorHAnsi" w:hAnsiTheme="majorHAnsi"/>
        <w:sz w:val="22"/>
      </w:rPr>
      <w:t xml:space="preserve"> </w:t>
    </w:r>
    <w:r w:rsidR="008908A2">
      <w:rPr>
        <w:rStyle w:val="PageNumber"/>
        <w:rFonts w:asciiTheme="majorHAnsi" w:hAnsiTheme="majorHAnsi"/>
        <w:sz w:val="22"/>
      </w:rPr>
      <w:t>xxx</w:t>
    </w:r>
    <w:r w:rsidR="008908A2" w:rsidRPr="0080069C">
      <w:rPr>
        <w:rStyle w:val="PageNumber"/>
        <w:rFonts w:asciiTheme="majorHAnsi" w:hAnsiTheme="majorHAnsi"/>
        <w:sz w:val="22"/>
      </w:rPr>
      <w:t xml:space="preserve"> | </w:t>
    </w:r>
    <w:r w:rsidR="008908A2">
      <w:rPr>
        <w:rStyle w:val="PageNumber"/>
        <w:rFonts w:asciiTheme="majorHAnsi" w:hAnsiTheme="majorHAnsi"/>
        <w:sz w:val="22"/>
      </w:rPr>
      <w:t>name</w:t>
    </w:r>
    <w:r w:rsidR="008908A2" w:rsidRPr="0080069C">
      <w:rPr>
        <w:rStyle w:val="PageNumber"/>
        <w:rFonts w:asciiTheme="majorHAnsi" w:hAnsiTheme="majorHAnsi"/>
        <w:sz w:val="22"/>
      </w:rPr>
      <w:t>.</w:t>
    </w:r>
    <w:r w:rsidR="008908A2">
      <w:rPr>
        <w:rStyle w:val="PageNumber"/>
        <w:rFonts w:asciiTheme="majorHAnsi" w:hAnsiTheme="majorHAnsi"/>
        <w:sz w:val="22"/>
      </w:rPr>
      <w:t>surname</w:t>
    </w:r>
    <w:r w:rsidR="008908A2" w:rsidRPr="0080069C">
      <w:rPr>
        <w:rStyle w:val="PageNumber"/>
        <w:rFonts w:asciiTheme="majorHAnsi" w:hAnsiTheme="majorHAnsi"/>
        <w:sz w:val="22"/>
      </w:rPr>
      <w:t>@minstaff.vic.gov.au</w:t>
    </w:r>
    <w:r>
      <w:rPr>
        <w:rStyle w:val="PageNumber"/>
        <w:rFonts w:asciiTheme="majorHAnsi" w:hAnsiTheme="majorHAns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C05" w:rsidRDefault="007A7C05" w:rsidP="001D6AF7">
    <w:pPr>
      <w:pStyle w:val="Footer"/>
    </w:pPr>
    <w:bookmarkStart w:id="1" w:name="MediaContact"/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r w:rsidR="008908A2">
      <w:t>Shaun Phillips 0407 553 763 | Jobsmedia</w:t>
    </w:r>
    <w:r w:rsidRPr="0080069C">
      <w:rPr>
        <w:rStyle w:val="PageNumber"/>
        <w:rFonts w:asciiTheme="majorHAnsi" w:hAnsiTheme="majorHAnsi"/>
        <w:sz w:val="22"/>
      </w:rPr>
      <w:t>@minstaff.vic.gov.au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08A2" w:rsidRDefault="008908A2" w:rsidP="00474C53">
      <w:r>
        <w:separator/>
      </w:r>
    </w:p>
  </w:footnote>
  <w:footnote w:type="continuationSeparator" w:id="0">
    <w:p w:rsidR="008908A2" w:rsidRDefault="008908A2" w:rsidP="00474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89A" w:rsidRDefault="00B1389A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8C" w:rsidRDefault="00AA3A8C" w:rsidP="00AA3A8C">
    <w:pPr>
      <w:pStyle w:val="Header"/>
    </w:pPr>
    <w:r w:rsidRPr="00DF5FEF">
      <w:rPr>
        <w:noProof/>
      </w:rPr>
      <w:drawing>
        <wp:anchor distT="0" distB="0" distL="114300" distR="114300" simplePos="0" relativeHeight="251659264" behindDoc="1" locked="0" layoutInCell="1" allowOverlap="1" wp14:anchorId="1FE216C1" wp14:editId="3F8F9AD1">
          <wp:simplePos x="0" y="0"/>
          <wp:positionH relativeFrom="page">
            <wp:posOffset>-2880</wp:posOffset>
          </wp:positionH>
          <wp:positionV relativeFrom="page">
            <wp:posOffset>2245</wp:posOffset>
          </wp:positionV>
          <wp:extent cx="7562088" cy="1298448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29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pStyle w:val="Headi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B695180"/>
    <w:multiLevelType w:val="multilevel"/>
    <w:tmpl w:val="5E22C0F8"/>
    <w:numStyleLink w:val="Bullet"/>
  </w:abstractNum>
  <w:abstractNum w:abstractNumId="13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F3731"/>
    <w:multiLevelType w:val="multilevel"/>
    <w:tmpl w:val="7500EB92"/>
    <w:numStyleLink w:val="Number"/>
  </w:abstractNum>
  <w:num w:numId="1">
    <w:abstractNumId w:val="2"/>
  </w:num>
  <w:num w:numId="2">
    <w:abstractNumId w:val="8"/>
  </w:num>
  <w:num w:numId="3">
    <w:abstractNumId w:val="10"/>
  </w:num>
  <w:num w:numId="4">
    <w:abstractNumId w:val="7"/>
  </w:num>
  <w:num w:numId="5">
    <w:abstractNumId w:val="9"/>
  </w:num>
  <w:num w:numId="6">
    <w:abstractNumId w:val="11"/>
  </w:num>
  <w:num w:numId="7">
    <w:abstractNumId w:val="12"/>
  </w:num>
  <w:num w:numId="8">
    <w:abstractNumId w:val="14"/>
  </w:num>
  <w:num w:numId="9">
    <w:abstractNumId w:val="1"/>
  </w:num>
  <w:num w:numId="10">
    <w:abstractNumId w:val="0"/>
  </w:num>
  <w:num w:numId="11">
    <w:abstractNumId w:val="6"/>
  </w:num>
  <w:num w:numId="12">
    <w:abstractNumId w:val="4"/>
  </w:num>
  <w:num w:numId="13">
    <w:abstractNumId w:val="13"/>
  </w:num>
  <w:num w:numId="14">
    <w:abstractNumId w:val="3"/>
  </w:num>
  <w:num w:numId="1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08A2"/>
    <w:rsid w:val="00001A3C"/>
    <w:rsid w:val="000068BC"/>
    <w:rsid w:val="00017EF2"/>
    <w:rsid w:val="000256AE"/>
    <w:rsid w:val="00055A63"/>
    <w:rsid w:val="00056736"/>
    <w:rsid w:val="00057EFB"/>
    <w:rsid w:val="00064F49"/>
    <w:rsid w:val="00073219"/>
    <w:rsid w:val="00073502"/>
    <w:rsid w:val="00073783"/>
    <w:rsid w:val="00073EFA"/>
    <w:rsid w:val="00075343"/>
    <w:rsid w:val="00082872"/>
    <w:rsid w:val="00082D1F"/>
    <w:rsid w:val="0009147C"/>
    <w:rsid w:val="000915C9"/>
    <w:rsid w:val="000A03F9"/>
    <w:rsid w:val="000A07AD"/>
    <w:rsid w:val="000A2CDF"/>
    <w:rsid w:val="000C1B0B"/>
    <w:rsid w:val="000C43CD"/>
    <w:rsid w:val="000C4C53"/>
    <w:rsid w:val="000C68FD"/>
    <w:rsid w:val="000C6A23"/>
    <w:rsid w:val="000D0ECF"/>
    <w:rsid w:val="000D53D5"/>
    <w:rsid w:val="000D5949"/>
    <w:rsid w:val="000E037E"/>
    <w:rsid w:val="000E04E7"/>
    <w:rsid w:val="000E1A6C"/>
    <w:rsid w:val="000E2126"/>
    <w:rsid w:val="000E28B3"/>
    <w:rsid w:val="000F140B"/>
    <w:rsid w:val="000F34B0"/>
    <w:rsid w:val="000F5BCA"/>
    <w:rsid w:val="00103DE5"/>
    <w:rsid w:val="00104F1A"/>
    <w:rsid w:val="00113667"/>
    <w:rsid w:val="00120B97"/>
    <w:rsid w:val="001212DB"/>
    <w:rsid w:val="001213D6"/>
    <w:rsid w:val="00124F13"/>
    <w:rsid w:val="00132069"/>
    <w:rsid w:val="00142B7D"/>
    <w:rsid w:val="00150302"/>
    <w:rsid w:val="001506B1"/>
    <w:rsid w:val="0015510B"/>
    <w:rsid w:val="00155196"/>
    <w:rsid w:val="00157D89"/>
    <w:rsid w:val="00160DB5"/>
    <w:rsid w:val="00166699"/>
    <w:rsid w:val="001808F7"/>
    <w:rsid w:val="001845E1"/>
    <w:rsid w:val="00185B60"/>
    <w:rsid w:val="00195E42"/>
    <w:rsid w:val="001A2C40"/>
    <w:rsid w:val="001A50BE"/>
    <w:rsid w:val="001A7EDE"/>
    <w:rsid w:val="001B04ED"/>
    <w:rsid w:val="001B3B72"/>
    <w:rsid w:val="001D0949"/>
    <w:rsid w:val="001D6AF7"/>
    <w:rsid w:val="001D7A51"/>
    <w:rsid w:val="001E204A"/>
    <w:rsid w:val="001E6E6F"/>
    <w:rsid w:val="001F4F51"/>
    <w:rsid w:val="0020695A"/>
    <w:rsid w:val="00210496"/>
    <w:rsid w:val="00212222"/>
    <w:rsid w:val="00214AB1"/>
    <w:rsid w:val="00220042"/>
    <w:rsid w:val="00220E35"/>
    <w:rsid w:val="00222883"/>
    <w:rsid w:val="00227BA3"/>
    <w:rsid w:val="00231B95"/>
    <w:rsid w:val="00237563"/>
    <w:rsid w:val="00241BC9"/>
    <w:rsid w:val="00247670"/>
    <w:rsid w:val="00247C6B"/>
    <w:rsid w:val="00253619"/>
    <w:rsid w:val="00255A9A"/>
    <w:rsid w:val="0025669F"/>
    <w:rsid w:val="00257E89"/>
    <w:rsid w:val="00260DE7"/>
    <w:rsid w:val="00271E79"/>
    <w:rsid w:val="002905FB"/>
    <w:rsid w:val="00294556"/>
    <w:rsid w:val="00295E0F"/>
    <w:rsid w:val="00296CF7"/>
    <w:rsid w:val="002A0391"/>
    <w:rsid w:val="002A049F"/>
    <w:rsid w:val="002A55DF"/>
    <w:rsid w:val="002A57BB"/>
    <w:rsid w:val="002A641F"/>
    <w:rsid w:val="002B222A"/>
    <w:rsid w:val="002B3B71"/>
    <w:rsid w:val="002B3E8C"/>
    <w:rsid w:val="002B526C"/>
    <w:rsid w:val="002B5595"/>
    <w:rsid w:val="002B7DE4"/>
    <w:rsid w:val="002C1AFC"/>
    <w:rsid w:val="002C3B94"/>
    <w:rsid w:val="002C3F78"/>
    <w:rsid w:val="002C5BE1"/>
    <w:rsid w:val="002C6EA8"/>
    <w:rsid w:val="002D040C"/>
    <w:rsid w:val="002D3452"/>
    <w:rsid w:val="002D47C9"/>
    <w:rsid w:val="002E628D"/>
    <w:rsid w:val="002F7BBC"/>
    <w:rsid w:val="00301106"/>
    <w:rsid w:val="003014BC"/>
    <w:rsid w:val="00306EAE"/>
    <w:rsid w:val="0032260D"/>
    <w:rsid w:val="00336171"/>
    <w:rsid w:val="0033621D"/>
    <w:rsid w:val="003371B4"/>
    <w:rsid w:val="00337317"/>
    <w:rsid w:val="0034185B"/>
    <w:rsid w:val="00343667"/>
    <w:rsid w:val="00347922"/>
    <w:rsid w:val="00357C4E"/>
    <w:rsid w:val="00360393"/>
    <w:rsid w:val="00361A41"/>
    <w:rsid w:val="00363B60"/>
    <w:rsid w:val="003703D1"/>
    <w:rsid w:val="003741F4"/>
    <w:rsid w:val="0037430B"/>
    <w:rsid w:val="00374BEF"/>
    <w:rsid w:val="003805EF"/>
    <w:rsid w:val="0038095A"/>
    <w:rsid w:val="003825F8"/>
    <w:rsid w:val="0038634E"/>
    <w:rsid w:val="00386C3A"/>
    <w:rsid w:val="00390A50"/>
    <w:rsid w:val="0039234B"/>
    <w:rsid w:val="00395FF7"/>
    <w:rsid w:val="00397E96"/>
    <w:rsid w:val="003A0816"/>
    <w:rsid w:val="003A1BBB"/>
    <w:rsid w:val="003A5819"/>
    <w:rsid w:val="003A72BC"/>
    <w:rsid w:val="003B2B0D"/>
    <w:rsid w:val="003C5DBD"/>
    <w:rsid w:val="003C75BF"/>
    <w:rsid w:val="003D279B"/>
    <w:rsid w:val="003D7FD7"/>
    <w:rsid w:val="003E58E4"/>
    <w:rsid w:val="003E68E6"/>
    <w:rsid w:val="003E7CD9"/>
    <w:rsid w:val="003F5CA5"/>
    <w:rsid w:val="00402880"/>
    <w:rsid w:val="00403119"/>
    <w:rsid w:val="00403881"/>
    <w:rsid w:val="0040427A"/>
    <w:rsid w:val="00407B77"/>
    <w:rsid w:val="00407F41"/>
    <w:rsid w:val="0042008E"/>
    <w:rsid w:val="00423170"/>
    <w:rsid w:val="00424349"/>
    <w:rsid w:val="00424473"/>
    <w:rsid w:val="00424959"/>
    <w:rsid w:val="00432BD8"/>
    <w:rsid w:val="004419CD"/>
    <w:rsid w:val="00441FC3"/>
    <w:rsid w:val="00450141"/>
    <w:rsid w:val="00454513"/>
    <w:rsid w:val="00474C53"/>
    <w:rsid w:val="00475D53"/>
    <w:rsid w:val="00476DCA"/>
    <w:rsid w:val="00484D46"/>
    <w:rsid w:val="0048771F"/>
    <w:rsid w:val="00492248"/>
    <w:rsid w:val="00493C2E"/>
    <w:rsid w:val="004964EC"/>
    <w:rsid w:val="00496B0F"/>
    <w:rsid w:val="004A59F9"/>
    <w:rsid w:val="004A6C33"/>
    <w:rsid w:val="004B1258"/>
    <w:rsid w:val="004B1F1F"/>
    <w:rsid w:val="004C1F0B"/>
    <w:rsid w:val="004C59E7"/>
    <w:rsid w:val="004E1984"/>
    <w:rsid w:val="004E5C31"/>
    <w:rsid w:val="004F0D65"/>
    <w:rsid w:val="004F2F5C"/>
    <w:rsid w:val="004F3EFD"/>
    <w:rsid w:val="004F5AD4"/>
    <w:rsid w:val="004F6DBA"/>
    <w:rsid w:val="004F738A"/>
    <w:rsid w:val="00500DAE"/>
    <w:rsid w:val="00513B98"/>
    <w:rsid w:val="0051438E"/>
    <w:rsid w:val="005243EA"/>
    <w:rsid w:val="00524A76"/>
    <w:rsid w:val="005271FE"/>
    <w:rsid w:val="005307AA"/>
    <w:rsid w:val="0053103E"/>
    <w:rsid w:val="00531EF1"/>
    <w:rsid w:val="005327A2"/>
    <w:rsid w:val="00535247"/>
    <w:rsid w:val="00536ACD"/>
    <w:rsid w:val="00541C6D"/>
    <w:rsid w:val="00542B89"/>
    <w:rsid w:val="00545C39"/>
    <w:rsid w:val="005563E9"/>
    <w:rsid w:val="00556B3E"/>
    <w:rsid w:val="00560E01"/>
    <w:rsid w:val="005657B2"/>
    <w:rsid w:val="00566049"/>
    <w:rsid w:val="00566692"/>
    <w:rsid w:val="00573F75"/>
    <w:rsid w:val="00574728"/>
    <w:rsid w:val="00576C73"/>
    <w:rsid w:val="00580399"/>
    <w:rsid w:val="005852CA"/>
    <w:rsid w:val="0058536D"/>
    <w:rsid w:val="005903BA"/>
    <w:rsid w:val="00597E80"/>
    <w:rsid w:val="005A0BEB"/>
    <w:rsid w:val="005A3B07"/>
    <w:rsid w:val="005C0288"/>
    <w:rsid w:val="005C09D4"/>
    <w:rsid w:val="005C44FA"/>
    <w:rsid w:val="005C62C6"/>
    <w:rsid w:val="005D108E"/>
    <w:rsid w:val="005D146C"/>
    <w:rsid w:val="005F13D7"/>
    <w:rsid w:val="005F391C"/>
    <w:rsid w:val="00600C46"/>
    <w:rsid w:val="00605A27"/>
    <w:rsid w:val="00606611"/>
    <w:rsid w:val="00612683"/>
    <w:rsid w:val="006135D1"/>
    <w:rsid w:val="0061407E"/>
    <w:rsid w:val="00615337"/>
    <w:rsid w:val="00617210"/>
    <w:rsid w:val="00617936"/>
    <w:rsid w:val="0062070B"/>
    <w:rsid w:val="006215CF"/>
    <w:rsid w:val="006243FE"/>
    <w:rsid w:val="0062613A"/>
    <w:rsid w:val="00627C2B"/>
    <w:rsid w:val="00635722"/>
    <w:rsid w:val="00644B4A"/>
    <w:rsid w:val="006479D1"/>
    <w:rsid w:val="00651469"/>
    <w:rsid w:val="006517D1"/>
    <w:rsid w:val="00651946"/>
    <w:rsid w:val="0065280D"/>
    <w:rsid w:val="00656A0D"/>
    <w:rsid w:val="00664667"/>
    <w:rsid w:val="0066512E"/>
    <w:rsid w:val="00671B1D"/>
    <w:rsid w:val="00676AAC"/>
    <w:rsid w:val="006773B4"/>
    <w:rsid w:val="00677990"/>
    <w:rsid w:val="0068211A"/>
    <w:rsid w:val="006A1F6F"/>
    <w:rsid w:val="006A35C1"/>
    <w:rsid w:val="006C4B20"/>
    <w:rsid w:val="006C505F"/>
    <w:rsid w:val="006C7A1A"/>
    <w:rsid w:val="006D4F41"/>
    <w:rsid w:val="006E1EEA"/>
    <w:rsid w:val="006E2ADF"/>
    <w:rsid w:val="006E2BC5"/>
    <w:rsid w:val="006E400E"/>
    <w:rsid w:val="006E6F37"/>
    <w:rsid w:val="006F1F28"/>
    <w:rsid w:val="00705B7B"/>
    <w:rsid w:val="00710EA8"/>
    <w:rsid w:val="007116A2"/>
    <w:rsid w:val="00720B4C"/>
    <w:rsid w:val="00722E77"/>
    <w:rsid w:val="00725696"/>
    <w:rsid w:val="00725906"/>
    <w:rsid w:val="00726975"/>
    <w:rsid w:val="00726F1F"/>
    <w:rsid w:val="00727E4F"/>
    <w:rsid w:val="00731598"/>
    <w:rsid w:val="007346C0"/>
    <w:rsid w:val="007349CB"/>
    <w:rsid w:val="007352B3"/>
    <w:rsid w:val="00737FCE"/>
    <w:rsid w:val="00741825"/>
    <w:rsid w:val="00743CE4"/>
    <w:rsid w:val="0074708F"/>
    <w:rsid w:val="00751550"/>
    <w:rsid w:val="00752F2C"/>
    <w:rsid w:val="00753E64"/>
    <w:rsid w:val="007575FF"/>
    <w:rsid w:val="0076376B"/>
    <w:rsid w:val="007676F1"/>
    <w:rsid w:val="00771A05"/>
    <w:rsid w:val="00773F07"/>
    <w:rsid w:val="00787395"/>
    <w:rsid w:val="00790E40"/>
    <w:rsid w:val="00790FB8"/>
    <w:rsid w:val="007919BA"/>
    <w:rsid w:val="007925EF"/>
    <w:rsid w:val="00794C4A"/>
    <w:rsid w:val="0079507A"/>
    <w:rsid w:val="00797CD1"/>
    <w:rsid w:val="007A0D8B"/>
    <w:rsid w:val="007A3CC2"/>
    <w:rsid w:val="007A4803"/>
    <w:rsid w:val="007A4996"/>
    <w:rsid w:val="007A5BD1"/>
    <w:rsid w:val="007A7975"/>
    <w:rsid w:val="007A7C05"/>
    <w:rsid w:val="007B51DD"/>
    <w:rsid w:val="007C1C36"/>
    <w:rsid w:val="007C6735"/>
    <w:rsid w:val="007D014B"/>
    <w:rsid w:val="007D6D1A"/>
    <w:rsid w:val="007E4579"/>
    <w:rsid w:val="007F1AAF"/>
    <w:rsid w:val="008005DA"/>
    <w:rsid w:val="0080069C"/>
    <w:rsid w:val="00801B7F"/>
    <w:rsid w:val="0080479F"/>
    <w:rsid w:val="00813A48"/>
    <w:rsid w:val="00814A7C"/>
    <w:rsid w:val="00820AFD"/>
    <w:rsid w:val="00831AE5"/>
    <w:rsid w:val="0083463B"/>
    <w:rsid w:val="00841C53"/>
    <w:rsid w:val="008420C9"/>
    <w:rsid w:val="0084446D"/>
    <w:rsid w:val="008464A0"/>
    <w:rsid w:val="00846C98"/>
    <w:rsid w:val="008636B0"/>
    <w:rsid w:val="0086442A"/>
    <w:rsid w:val="0086647D"/>
    <w:rsid w:val="00872406"/>
    <w:rsid w:val="00882E41"/>
    <w:rsid w:val="008908A2"/>
    <w:rsid w:val="0089207D"/>
    <w:rsid w:val="00893855"/>
    <w:rsid w:val="008A5A91"/>
    <w:rsid w:val="008A5F0E"/>
    <w:rsid w:val="008B7EF3"/>
    <w:rsid w:val="008C3F1D"/>
    <w:rsid w:val="008C44BD"/>
    <w:rsid w:val="008D128E"/>
    <w:rsid w:val="008D29E5"/>
    <w:rsid w:val="008D3745"/>
    <w:rsid w:val="008D37BD"/>
    <w:rsid w:val="008D5DD6"/>
    <w:rsid w:val="008E1571"/>
    <w:rsid w:val="008E3105"/>
    <w:rsid w:val="008E469A"/>
    <w:rsid w:val="008E554D"/>
    <w:rsid w:val="008E7BA2"/>
    <w:rsid w:val="008F0751"/>
    <w:rsid w:val="008F6C42"/>
    <w:rsid w:val="00900950"/>
    <w:rsid w:val="00900DF0"/>
    <w:rsid w:val="00901A5C"/>
    <w:rsid w:val="00903544"/>
    <w:rsid w:val="009046BD"/>
    <w:rsid w:val="009103EC"/>
    <w:rsid w:val="00916A3B"/>
    <w:rsid w:val="009174A7"/>
    <w:rsid w:val="00924B15"/>
    <w:rsid w:val="00930A4E"/>
    <w:rsid w:val="00934FFB"/>
    <w:rsid w:val="009437BD"/>
    <w:rsid w:val="00943EAD"/>
    <w:rsid w:val="00945784"/>
    <w:rsid w:val="00947417"/>
    <w:rsid w:val="009479BF"/>
    <w:rsid w:val="00950409"/>
    <w:rsid w:val="00950FB1"/>
    <w:rsid w:val="00952665"/>
    <w:rsid w:val="00953503"/>
    <w:rsid w:val="009556A3"/>
    <w:rsid w:val="00972717"/>
    <w:rsid w:val="009740EA"/>
    <w:rsid w:val="009754F2"/>
    <w:rsid w:val="0098338B"/>
    <w:rsid w:val="00983AF0"/>
    <w:rsid w:val="009854B4"/>
    <w:rsid w:val="009862B3"/>
    <w:rsid w:val="009B080A"/>
    <w:rsid w:val="009B185C"/>
    <w:rsid w:val="009B7B27"/>
    <w:rsid w:val="009C7E23"/>
    <w:rsid w:val="009D44E6"/>
    <w:rsid w:val="009E1F58"/>
    <w:rsid w:val="009E302E"/>
    <w:rsid w:val="009E4D30"/>
    <w:rsid w:val="009E6EDF"/>
    <w:rsid w:val="009F07A5"/>
    <w:rsid w:val="009F160B"/>
    <w:rsid w:val="009F6886"/>
    <w:rsid w:val="009F6D73"/>
    <w:rsid w:val="00A015F0"/>
    <w:rsid w:val="00A105F2"/>
    <w:rsid w:val="00A11565"/>
    <w:rsid w:val="00A119C9"/>
    <w:rsid w:val="00A15D39"/>
    <w:rsid w:val="00A17008"/>
    <w:rsid w:val="00A171DC"/>
    <w:rsid w:val="00A20782"/>
    <w:rsid w:val="00A2094F"/>
    <w:rsid w:val="00A20F1E"/>
    <w:rsid w:val="00A21C10"/>
    <w:rsid w:val="00A264FE"/>
    <w:rsid w:val="00A30D6D"/>
    <w:rsid w:val="00A335AD"/>
    <w:rsid w:val="00A40680"/>
    <w:rsid w:val="00A42771"/>
    <w:rsid w:val="00A47629"/>
    <w:rsid w:val="00A50C8B"/>
    <w:rsid w:val="00A545AB"/>
    <w:rsid w:val="00A63051"/>
    <w:rsid w:val="00A637FA"/>
    <w:rsid w:val="00A70F0F"/>
    <w:rsid w:val="00A72634"/>
    <w:rsid w:val="00A75888"/>
    <w:rsid w:val="00A75FEE"/>
    <w:rsid w:val="00A85FA2"/>
    <w:rsid w:val="00A9345E"/>
    <w:rsid w:val="00A94E87"/>
    <w:rsid w:val="00A977EF"/>
    <w:rsid w:val="00AA3A8C"/>
    <w:rsid w:val="00AB0C55"/>
    <w:rsid w:val="00AB5FA5"/>
    <w:rsid w:val="00AB724F"/>
    <w:rsid w:val="00AC1224"/>
    <w:rsid w:val="00AD1F4A"/>
    <w:rsid w:val="00AD771A"/>
    <w:rsid w:val="00AD7F06"/>
    <w:rsid w:val="00AE06C5"/>
    <w:rsid w:val="00AE46CF"/>
    <w:rsid w:val="00AF5018"/>
    <w:rsid w:val="00AF6157"/>
    <w:rsid w:val="00AF7DCE"/>
    <w:rsid w:val="00B01F17"/>
    <w:rsid w:val="00B03773"/>
    <w:rsid w:val="00B04832"/>
    <w:rsid w:val="00B121BD"/>
    <w:rsid w:val="00B1389A"/>
    <w:rsid w:val="00B146AC"/>
    <w:rsid w:val="00B17122"/>
    <w:rsid w:val="00B34A89"/>
    <w:rsid w:val="00B401DC"/>
    <w:rsid w:val="00B410C5"/>
    <w:rsid w:val="00B4755F"/>
    <w:rsid w:val="00B56791"/>
    <w:rsid w:val="00B56B25"/>
    <w:rsid w:val="00B56C73"/>
    <w:rsid w:val="00B70D99"/>
    <w:rsid w:val="00B72498"/>
    <w:rsid w:val="00B77344"/>
    <w:rsid w:val="00B809CD"/>
    <w:rsid w:val="00B83597"/>
    <w:rsid w:val="00B862F0"/>
    <w:rsid w:val="00B91C7F"/>
    <w:rsid w:val="00B936B8"/>
    <w:rsid w:val="00BA26F2"/>
    <w:rsid w:val="00BA6C44"/>
    <w:rsid w:val="00BB2087"/>
    <w:rsid w:val="00BB3D85"/>
    <w:rsid w:val="00BC1376"/>
    <w:rsid w:val="00BC6329"/>
    <w:rsid w:val="00BC6724"/>
    <w:rsid w:val="00BC7C1F"/>
    <w:rsid w:val="00BD0D9B"/>
    <w:rsid w:val="00BD2A8E"/>
    <w:rsid w:val="00BD2AB3"/>
    <w:rsid w:val="00BE12EA"/>
    <w:rsid w:val="00BE2FBB"/>
    <w:rsid w:val="00BF07FE"/>
    <w:rsid w:val="00BF08BC"/>
    <w:rsid w:val="00BF6E17"/>
    <w:rsid w:val="00C00568"/>
    <w:rsid w:val="00C024C2"/>
    <w:rsid w:val="00C0462D"/>
    <w:rsid w:val="00C04F08"/>
    <w:rsid w:val="00C134E2"/>
    <w:rsid w:val="00C2116C"/>
    <w:rsid w:val="00C30956"/>
    <w:rsid w:val="00C32D27"/>
    <w:rsid w:val="00C36FCD"/>
    <w:rsid w:val="00C461A9"/>
    <w:rsid w:val="00C46A68"/>
    <w:rsid w:val="00C4714D"/>
    <w:rsid w:val="00C573F8"/>
    <w:rsid w:val="00C6156B"/>
    <w:rsid w:val="00C65BE3"/>
    <w:rsid w:val="00C661B9"/>
    <w:rsid w:val="00C72D96"/>
    <w:rsid w:val="00C77404"/>
    <w:rsid w:val="00C77D7E"/>
    <w:rsid w:val="00C80D95"/>
    <w:rsid w:val="00C8749B"/>
    <w:rsid w:val="00C90B98"/>
    <w:rsid w:val="00CA41CF"/>
    <w:rsid w:val="00CA4410"/>
    <w:rsid w:val="00CA4F8B"/>
    <w:rsid w:val="00CA6435"/>
    <w:rsid w:val="00CB0FCA"/>
    <w:rsid w:val="00CB43A2"/>
    <w:rsid w:val="00CC3DD5"/>
    <w:rsid w:val="00CC4787"/>
    <w:rsid w:val="00CC7D1E"/>
    <w:rsid w:val="00CD1FEA"/>
    <w:rsid w:val="00CD6B20"/>
    <w:rsid w:val="00CD6F54"/>
    <w:rsid w:val="00CE30BD"/>
    <w:rsid w:val="00CE4B69"/>
    <w:rsid w:val="00CE5CF8"/>
    <w:rsid w:val="00CE6A19"/>
    <w:rsid w:val="00CE763C"/>
    <w:rsid w:val="00CF2B70"/>
    <w:rsid w:val="00CF5E6F"/>
    <w:rsid w:val="00D07E7D"/>
    <w:rsid w:val="00D11A1E"/>
    <w:rsid w:val="00D158CE"/>
    <w:rsid w:val="00D213EB"/>
    <w:rsid w:val="00D27ACC"/>
    <w:rsid w:val="00D341DE"/>
    <w:rsid w:val="00D3519E"/>
    <w:rsid w:val="00D379C4"/>
    <w:rsid w:val="00D429FE"/>
    <w:rsid w:val="00D4344F"/>
    <w:rsid w:val="00D451B9"/>
    <w:rsid w:val="00D63655"/>
    <w:rsid w:val="00D71612"/>
    <w:rsid w:val="00D7231C"/>
    <w:rsid w:val="00D75608"/>
    <w:rsid w:val="00D75A85"/>
    <w:rsid w:val="00D760FE"/>
    <w:rsid w:val="00D827B1"/>
    <w:rsid w:val="00D90086"/>
    <w:rsid w:val="00D90E1B"/>
    <w:rsid w:val="00D95249"/>
    <w:rsid w:val="00D97443"/>
    <w:rsid w:val="00D977CF"/>
    <w:rsid w:val="00DA0819"/>
    <w:rsid w:val="00DA3024"/>
    <w:rsid w:val="00DA769F"/>
    <w:rsid w:val="00DB2A52"/>
    <w:rsid w:val="00DB7BB3"/>
    <w:rsid w:val="00DB7DC5"/>
    <w:rsid w:val="00DC1DB4"/>
    <w:rsid w:val="00DC5FFE"/>
    <w:rsid w:val="00DD1082"/>
    <w:rsid w:val="00DD23C4"/>
    <w:rsid w:val="00DE3014"/>
    <w:rsid w:val="00DE38D7"/>
    <w:rsid w:val="00DE7ED9"/>
    <w:rsid w:val="00DF14C0"/>
    <w:rsid w:val="00DF4B2E"/>
    <w:rsid w:val="00DF6B7B"/>
    <w:rsid w:val="00E108FF"/>
    <w:rsid w:val="00E173B6"/>
    <w:rsid w:val="00E244F1"/>
    <w:rsid w:val="00E32FD9"/>
    <w:rsid w:val="00E34095"/>
    <w:rsid w:val="00E36DAC"/>
    <w:rsid w:val="00E40EDA"/>
    <w:rsid w:val="00E41328"/>
    <w:rsid w:val="00E46DD4"/>
    <w:rsid w:val="00E46E4F"/>
    <w:rsid w:val="00E50170"/>
    <w:rsid w:val="00E52A0F"/>
    <w:rsid w:val="00E64CBF"/>
    <w:rsid w:val="00E65539"/>
    <w:rsid w:val="00E709BA"/>
    <w:rsid w:val="00E7185E"/>
    <w:rsid w:val="00E73BF7"/>
    <w:rsid w:val="00E75212"/>
    <w:rsid w:val="00E815F9"/>
    <w:rsid w:val="00E8244C"/>
    <w:rsid w:val="00E953B4"/>
    <w:rsid w:val="00EA4E6B"/>
    <w:rsid w:val="00EA5C59"/>
    <w:rsid w:val="00EB2DF9"/>
    <w:rsid w:val="00EB4924"/>
    <w:rsid w:val="00EB68A5"/>
    <w:rsid w:val="00EC7040"/>
    <w:rsid w:val="00ED06E6"/>
    <w:rsid w:val="00ED07D6"/>
    <w:rsid w:val="00ED3271"/>
    <w:rsid w:val="00ED5415"/>
    <w:rsid w:val="00ED5DFC"/>
    <w:rsid w:val="00ED7D87"/>
    <w:rsid w:val="00EE02D3"/>
    <w:rsid w:val="00EE0ACF"/>
    <w:rsid w:val="00EE3840"/>
    <w:rsid w:val="00EF0A38"/>
    <w:rsid w:val="00EF3C02"/>
    <w:rsid w:val="00EF5E0D"/>
    <w:rsid w:val="00F0128E"/>
    <w:rsid w:val="00F024B8"/>
    <w:rsid w:val="00F110B5"/>
    <w:rsid w:val="00F12718"/>
    <w:rsid w:val="00F15DE6"/>
    <w:rsid w:val="00F270C7"/>
    <w:rsid w:val="00F36C92"/>
    <w:rsid w:val="00F4185A"/>
    <w:rsid w:val="00F45D47"/>
    <w:rsid w:val="00F476D0"/>
    <w:rsid w:val="00F55D36"/>
    <w:rsid w:val="00F6286D"/>
    <w:rsid w:val="00F65FF9"/>
    <w:rsid w:val="00F70DD7"/>
    <w:rsid w:val="00F74BC1"/>
    <w:rsid w:val="00F858E5"/>
    <w:rsid w:val="00F91FC1"/>
    <w:rsid w:val="00F9559A"/>
    <w:rsid w:val="00FA3262"/>
    <w:rsid w:val="00FA68DF"/>
    <w:rsid w:val="00FB1BDF"/>
    <w:rsid w:val="00FB2A00"/>
    <w:rsid w:val="00FC05D4"/>
    <w:rsid w:val="00FC5E1B"/>
    <w:rsid w:val="00FD279A"/>
    <w:rsid w:val="00FD4336"/>
    <w:rsid w:val="00FE3660"/>
    <w:rsid w:val="00FF2749"/>
    <w:rsid w:val="00FF3B45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8CFB1C5"/>
  <w15:docId w15:val="{EB6A0465-D5D6-4754-ABCB-3BCBE324E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iPriority="85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08A2"/>
    <w:pPr>
      <w:autoSpaceDE w:val="0"/>
      <w:autoSpaceDN w:val="0"/>
      <w:adjustRightInd w:val="0"/>
    </w:pPr>
    <w:rPr>
      <w:rFonts w:ascii="Calibri" w:hAnsi="Calibri" w:cs="Arial"/>
      <w:bCs/>
      <w:color w:val="000000"/>
    </w:rPr>
  </w:style>
  <w:style w:type="paragraph" w:styleId="Heading10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0">
    <w:name w:val="heading 2"/>
    <w:basedOn w:val="Heading10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0">
    <w:name w:val="heading 3"/>
    <w:basedOn w:val="Heading20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0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0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0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0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character" w:customStyle="1" w:styleId="Heading2Char0">
    <w:name w:val="Heading 2 (#) Char"/>
    <w:basedOn w:val="Heading2Char"/>
    <w:link w:val="Heading2"/>
    <w:uiPriority w:val="14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004A7C" w:themeColor="accent1" w:themeShade="BF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00559A" w:themeColor="accent4" w:themeShade="BF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5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00365B" w:themeColor="accent2" w:themeShade="BF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paragraph" w:customStyle="1" w:styleId="Heading1">
    <w:name w:val="Heading 1 (#)"/>
    <w:basedOn w:val="Heading10"/>
    <w:link w:val="Heading1Char0"/>
    <w:uiPriority w:val="14"/>
    <w:semiHidden/>
    <w:qFormat/>
    <w:rsid w:val="003E68E6"/>
    <w:pPr>
      <w:numPr>
        <w:numId w:val="14"/>
      </w:numPr>
    </w:pPr>
  </w:style>
  <w:style w:type="paragraph" w:customStyle="1" w:styleId="Heading2">
    <w:name w:val="Heading 2 (#)"/>
    <w:basedOn w:val="Heading20"/>
    <w:link w:val="Heading2Char0"/>
    <w:uiPriority w:val="14"/>
    <w:semiHidden/>
    <w:qFormat/>
    <w:rsid w:val="00771A05"/>
    <w:pPr>
      <w:numPr>
        <w:numId w:val="14"/>
      </w:numPr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customStyle="1" w:styleId="Heading3">
    <w:name w:val="Heading 3 (#)"/>
    <w:basedOn w:val="Heading30"/>
    <w:next w:val="Normal"/>
    <w:link w:val="Heading3Char0"/>
    <w:uiPriority w:val="14"/>
    <w:semiHidden/>
    <w:rsid w:val="0037430B"/>
    <w:pPr>
      <w:numPr>
        <w:numId w:val="14"/>
      </w:numPr>
      <w:spacing w:after="120"/>
    </w:pPr>
  </w:style>
  <w:style w:type="character" w:customStyle="1" w:styleId="Heading3Char0">
    <w:name w:val="Heading 3 (#) Char"/>
    <w:basedOn w:val="Heading3Char"/>
    <w:link w:val="Heading3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5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0063A6" w:themeColor="accent1" w:shadow="1"/>
        <w:left w:val="single" w:sz="2" w:space="10" w:color="0063A6" w:themeColor="accent1" w:shadow="1"/>
        <w:bottom w:val="single" w:sz="2" w:space="10" w:color="0063A6" w:themeColor="accent1" w:shadow="1"/>
        <w:right w:val="single" w:sz="2" w:space="10" w:color="0063A6" w:themeColor="accent1" w:shadow="1"/>
      </w:pBdr>
      <w:ind w:left="1152" w:right="1152"/>
    </w:pPr>
    <w:rPr>
      <w:rFonts w:eastAsiaTheme="minorEastAsia"/>
      <w:i/>
      <w:iCs/>
      <w:color w:val="0063A6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 w:val="0"/>
      <w:color w:val="0063A6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3FF" w:themeFill="accent1" w:themeFillTint="33"/>
    </w:tcPr>
    <w:tblStylePr w:type="firstRow">
      <w:rPr>
        <w:b/>
        <w:bCs/>
      </w:rPr>
      <w:tblPr/>
      <w:tcPr>
        <w:shd w:val="clear" w:color="auto" w:fill="75C7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C7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FFF" w:themeFill="accent2" w:themeFillTint="33"/>
    </w:tcPr>
    <w:tblStylePr w:type="firstRow">
      <w:rPr>
        <w:b/>
        <w:bCs/>
      </w:rPr>
      <w:tblPr/>
      <w:tcPr>
        <w:shd w:val="clear" w:color="auto" w:fill="63C0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C0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BF4" w:themeFill="accent3" w:themeFillTint="33"/>
    </w:tcPr>
    <w:tblStylePr w:type="firstRow">
      <w:rPr>
        <w:b/>
        <w:bCs/>
      </w:rPr>
      <w:tblPr/>
      <w:tcPr>
        <w:shd w:val="clear" w:color="auto" w:fill="C7D7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7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b/>
        <w:bCs/>
      </w:rPr>
      <w:tblPr/>
      <w:tcPr>
        <w:shd w:val="clear" w:color="auto" w:fill="85C8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C8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5" w:themeFillTint="33"/>
    </w:tcPr>
    <w:tblStylePr w:type="firstRow">
      <w:rPr>
        <w:b/>
        <w:bCs/>
      </w:rPr>
      <w:tblPr/>
      <w:tcPr>
        <w:shd w:val="clear" w:color="auto" w:fill="8BDC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CCC" w:themeFill="accent6" w:themeFillTint="33"/>
    </w:tcPr>
    <w:tblStylePr w:type="firstRow">
      <w:rPr>
        <w:b/>
        <w:bCs/>
      </w:rPr>
      <w:tblPr/>
      <w:tcPr>
        <w:shd w:val="clear" w:color="auto" w:fill="E099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99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shd w:val="clear" w:color="auto" w:fill="BA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8EF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shd w:val="clear" w:color="auto" w:fill="B1DFF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1F5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A4" w:themeFill="accent4" w:themeFillShade="CC"/>
      </w:tcPr>
    </w:tblStylePr>
    <w:tblStylePr w:type="lastRow">
      <w:rPr>
        <w:b/>
        <w:bCs/>
        <w:color w:val="005B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shd w:val="clear" w:color="auto" w:fill="E3EBF4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1F1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7BB6" w:themeFill="accent3" w:themeFillShade="CC"/>
      </w:tcPr>
    </w:tblStylePr>
    <w:tblStylePr w:type="lastRow">
      <w:rPr>
        <w:b/>
        <w:bCs/>
        <w:color w:val="477B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shd w:val="clear" w:color="auto" w:fill="C2E3F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2122" w:themeFill="accent6" w:themeFillShade="CC"/>
      </w:tcPr>
    </w:tblStylePr>
    <w:tblStylePr w:type="lastRow">
      <w:rPr>
        <w:b/>
        <w:bCs/>
        <w:color w:val="6E21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shd w:val="clear" w:color="auto" w:fill="C5ED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7E5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B1" w:themeFill="accent5" w:themeFillShade="CC"/>
      </w:tcPr>
    </w:tblStylePr>
    <w:tblStylePr w:type="lastRow">
      <w:rPr>
        <w:b/>
        <w:bCs/>
        <w:color w:val="007CB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shd w:val="clear" w:color="auto" w:fill="EFCCCC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63A6" w:themeColor="accent1"/>
        <w:bottom w:val="single" w:sz="4" w:space="0" w:color="0063A6" w:themeColor="accent1"/>
        <w:right w:val="single" w:sz="4" w:space="0" w:color="0063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3" w:themeColor="accent1" w:themeShade="99"/>
          <w:insideV w:val="nil"/>
        </w:tcBorders>
        <w:shd w:val="clear" w:color="auto" w:fill="003B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3" w:themeFill="accent1" w:themeFillShade="99"/>
      </w:tcPr>
    </w:tblStylePr>
    <w:tblStylePr w:type="band1Vert">
      <w:tblPr/>
      <w:tcPr>
        <w:shd w:val="clear" w:color="auto" w:fill="75C7FF" w:themeFill="accent1" w:themeFillTint="66"/>
      </w:tcPr>
    </w:tblStylePr>
    <w:tblStylePr w:type="band1Horz">
      <w:tblPr/>
      <w:tcPr>
        <w:shd w:val="clear" w:color="auto" w:fill="53B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497A" w:themeColor="accent2"/>
        <w:bottom w:val="single" w:sz="4" w:space="0" w:color="00497A" w:themeColor="accent2"/>
        <w:right w:val="single" w:sz="4" w:space="0" w:color="0049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F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B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B49" w:themeColor="accent2" w:themeShade="99"/>
          <w:insideV w:val="nil"/>
        </w:tcBorders>
        <w:shd w:val="clear" w:color="auto" w:fill="002B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49" w:themeFill="accent2" w:themeFillShade="99"/>
      </w:tcPr>
    </w:tblStylePr>
    <w:tblStylePr w:type="band1Vert">
      <w:tblPr/>
      <w:tcPr>
        <w:shd w:val="clear" w:color="auto" w:fill="63C0FF" w:themeFill="accent2" w:themeFillTint="66"/>
      </w:tcPr>
    </w:tblStylePr>
    <w:tblStylePr w:type="band1Horz">
      <w:tblPr/>
      <w:tcPr>
        <w:shd w:val="clear" w:color="auto" w:fill="3DB0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72CE" w:themeColor="accent4"/>
        <w:left w:val="single" w:sz="4" w:space="0" w:color="749CC9" w:themeColor="accent3"/>
        <w:bottom w:val="single" w:sz="4" w:space="0" w:color="749CC9" w:themeColor="accent3"/>
        <w:right w:val="single" w:sz="4" w:space="0" w:color="749CC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5C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5C88" w:themeColor="accent3" w:themeShade="99"/>
          <w:insideV w:val="nil"/>
        </w:tcBorders>
        <w:shd w:val="clear" w:color="auto" w:fill="355C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5C88" w:themeFill="accent3" w:themeFillShade="99"/>
      </w:tcPr>
    </w:tblStylePr>
    <w:tblStylePr w:type="band1Vert">
      <w:tblPr/>
      <w:tcPr>
        <w:shd w:val="clear" w:color="auto" w:fill="C7D7E9" w:themeFill="accent3" w:themeFillTint="66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749CC9" w:themeColor="accent3"/>
        <w:left w:val="single" w:sz="4" w:space="0" w:color="0072CE" w:themeColor="accent4"/>
        <w:bottom w:val="single" w:sz="4" w:space="0" w:color="0072CE" w:themeColor="accent4"/>
        <w:right w:val="single" w:sz="4" w:space="0" w:color="0072C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4" w:themeShade="99"/>
          <w:insideV w:val="nil"/>
        </w:tcBorders>
        <w:shd w:val="clear" w:color="auto" w:fill="0044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4" w:themeFillShade="99"/>
      </w:tcPr>
    </w:tblStylePr>
    <w:tblStylePr w:type="band1Vert">
      <w:tblPr/>
      <w:tcPr>
        <w:shd w:val="clear" w:color="auto" w:fill="85C8FF" w:themeFill="accent4" w:themeFillTint="66"/>
      </w:tcPr>
    </w:tblStylePr>
    <w:tblStylePr w:type="band1Horz">
      <w:tblPr/>
      <w:tcPr>
        <w:shd w:val="clear" w:color="auto" w:fill="67B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A2A2B" w:themeColor="accent6"/>
        <w:left w:val="single" w:sz="4" w:space="0" w:color="009CDE" w:themeColor="accent5"/>
        <w:bottom w:val="single" w:sz="4" w:space="0" w:color="009CDE" w:themeColor="accent5"/>
        <w:right w:val="single" w:sz="4" w:space="0" w:color="009C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5" w:themeColor="accent5" w:themeShade="99"/>
          <w:insideV w:val="nil"/>
        </w:tcBorders>
        <w:shd w:val="clear" w:color="auto" w:fill="005D8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5" w:themeFill="accent5" w:themeFillShade="99"/>
      </w:tcPr>
    </w:tblStylePr>
    <w:tblStylePr w:type="band1Vert">
      <w:tblPr/>
      <w:tcPr>
        <w:shd w:val="clear" w:color="auto" w:fill="8BDCFF" w:themeFill="accent5" w:themeFillTint="66"/>
      </w:tcPr>
    </w:tblStylePr>
    <w:tblStylePr w:type="band1Horz">
      <w:tblPr/>
      <w:tcPr>
        <w:shd w:val="clear" w:color="auto" w:fill="6FD4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9CDE" w:themeColor="accent5"/>
        <w:left w:val="single" w:sz="4" w:space="0" w:color="8A2A2B" w:themeColor="accent6"/>
        <w:bottom w:val="single" w:sz="4" w:space="0" w:color="8A2A2B" w:themeColor="accent6"/>
        <w:right w:val="single" w:sz="4" w:space="0" w:color="8A2A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19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1919" w:themeColor="accent6" w:themeShade="99"/>
          <w:insideV w:val="nil"/>
        </w:tcBorders>
        <w:shd w:val="clear" w:color="auto" w:fill="5219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1919" w:themeFill="accent6" w:themeFillShade="99"/>
      </w:tcPr>
    </w:tblStylePr>
    <w:tblStylePr w:type="band1Vert">
      <w:tblPr/>
      <w:tcPr>
        <w:shd w:val="clear" w:color="auto" w:fill="E0999A" w:themeFill="accent6" w:themeFillTint="66"/>
      </w:tcPr>
    </w:tblStylePr>
    <w:tblStylePr w:type="band1Horz">
      <w:tblPr/>
      <w:tcPr>
        <w:shd w:val="clear" w:color="auto" w:fill="D880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63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A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49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4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749CC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C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73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9CD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A2A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5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1F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98"/>
    <w:semiHidden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8A2A2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0063A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0063A6" w:themeColor="accent1"/>
      </w:pBdr>
      <w:spacing w:before="200" w:after="280"/>
      <w:ind w:left="936" w:right="936"/>
    </w:pPr>
    <w:rPr>
      <w:b/>
      <w:bCs w:val="0"/>
      <w:i/>
      <w:iCs/>
      <w:color w:val="0063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0063A6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00497A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1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  <w:shd w:val="clear" w:color="auto" w:fill="AADCFF" w:themeFill="accent1" w:themeFillTint="3F"/>
      </w:tcPr>
    </w:tblStylePr>
    <w:tblStylePr w:type="band2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1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  <w:shd w:val="clear" w:color="auto" w:fill="9FD8FF" w:themeFill="accent2" w:themeFillTint="3F"/>
      </w:tcPr>
    </w:tblStylePr>
    <w:tblStylePr w:type="band2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1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  <w:shd w:val="clear" w:color="auto" w:fill="DCE6F1" w:themeFill="accent3" w:themeFillTint="3F"/>
      </w:tcPr>
    </w:tblStylePr>
    <w:tblStylePr w:type="band2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1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  <w:shd w:val="clear" w:color="auto" w:fill="B3DDFF" w:themeFill="accent4" w:themeFillTint="3F"/>
      </w:tcPr>
    </w:tblStylePr>
    <w:tblStylePr w:type="band2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1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  <w:shd w:val="clear" w:color="auto" w:fill="B7E9FF" w:themeFill="accent5" w:themeFillTint="3F"/>
      </w:tcPr>
    </w:tblStylePr>
    <w:tblStylePr w:type="band2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1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  <w:shd w:val="clear" w:color="auto" w:fill="ECC0C0" w:themeFill="accent6" w:themeFillTint="3F"/>
      </w:tcPr>
    </w:tblStylePr>
    <w:tblStylePr w:type="band2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4273AA" w:themeColor="accent3" w:themeShade="BF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0074A6" w:themeColor="accent5" w:themeShade="BF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671F20" w:themeColor="accent6" w:themeShade="BF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  <w:insideV w:val="single" w:sz="8" w:space="0" w:color="0096FC" w:themeColor="accent1" w:themeTint="BF"/>
      </w:tblBorders>
    </w:tblPr>
    <w:tcPr>
      <w:shd w:val="clear" w:color="auto" w:fill="AAD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6F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  <w:insideV w:val="single" w:sz="8" w:space="0" w:color="0082DB" w:themeColor="accent2" w:themeTint="BF"/>
      </w:tblBorders>
    </w:tblPr>
    <w:tcPr>
      <w:shd w:val="clear" w:color="auto" w:fill="9FD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2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  <w:insideV w:val="single" w:sz="8" w:space="0" w:color="96B4D6" w:themeColor="accent3" w:themeTint="BF"/>
      </w:tblBorders>
    </w:tblPr>
    <w:tcPr>
      <w:shd w:val="clear" w:color="auto" w:fill="DCE6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B4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  <w:insideV w:val="single" w:sz="8" w:space="0" w:color="1B99FF" w:themeColor="accent4" w:themeTint="BF"/>
      </w:tblBorders>
    </w:tblPr>
    <w:tcPr>
      <w:shd w:val="clear" w:color="auto" w:fill="B3D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  <w:insideV w:val="single" w:sz="8" w:space="0" w:color="27BEFF" w:themeColor="accent5" w:themeTint="BF"/>
      </w:tblBorders>
    </w:tblPr>
    <w:tcPr>
      <w:shd w:val="clear" w:color="auto" w:fill="B7E9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7B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  <w:insideV w:val="single" w:sz="8" w:space="0" w:color="C54142" w:themeColor="accent6" w:themeTint="BF"/>
      </w:tblBorders>
    </w:tblPr>
    <w:tcPr>
      <w:shd w:val="clear" w:color="auto" w:fill="EC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41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cPr>
      <w:shd w:val="clear" w:color="auto" w:fill="AAD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3FF" w:themeFill="accent1" w:themeFillTint="33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tcBorders>
          <w:insideH w:val="single" w:sz="6" w:space="0" w:color="0063A6" w:themeColor="accent1"/>
          <w:insideV w:val="single" w:sz="6" w:space="0" w:color="0063A6" w:themeColor="accent1"/>
        </w:tcBorders>
        <w:shd w:val="clear" w:color="auto" w:fill="53B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cPr>
      <w:shd w:val="clear" w:color="auto" w:fill="9FD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8EF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FFF" w:themeFill="accent2" w:themeFillTint="33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tcBorders>
          <w:insideH w:val="single" w:sz="6" w:space="0" w:color="00497A" w:themeColor="accent2"/>
          <w:insideV w:val="single" w:sz="6" w:space="0" w:color="00497A" w:themeColor="accent2"/>
        </w:tcBorders>
        <w:shd w:val="clear" w:color="auto" w:fill="3DB0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cPr>
      <w:shd w:val="clear" w:color="auto" w:fill="DCE6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5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F4" w:themeFill="accent3" w:themeFillTint="33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tcBorders>
          <w:insideH w:val="single" w:sz="6" w:space="0" w:color="749CC9" w:themeColor="accent3"/>
          <w:insideV w:val="single" w:sz="6" w:space="0" w:color="749CC9" w:themeColor="accent3"/>
        </w:tcBorders>
        <w:shd w:val="clear" w:color="auto" w:fill="B9C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cPr>
      <w:shd w:val="clear" w:color="auto" w:fill="B3D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1F1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4" w:themeFillTint="33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tcBorders>
          <w:insideH w:val="single" w:sz="6" w:space="0" w:color="0072CE" w:themeColor="accent4"/>
          <w:insideV w:val="single" w:sz="6" w:space="0" w:color="0072CE" w:themeColor="accent4"/>
        </w:tcBorders>
        <w:shd w:val="clear" w:color="auto" w:fill="67B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cPr>
      <w:shd w:val="clear" w:color="auto" w:fill="B7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5" w:themeFillTint="33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tcBorders>
          <w:insideH w:val="single" w:sz="6" w:space="0" w:color="009CDE" w:themeColor="accent5"/>
          <w:insideV w:val="single" w:sz="6" w:space="0" w:color="009CDE" w:themeColor="accent5"/>
        </w:tcBorders>
        <w:shd w:val="clear" w:color="auto" w:fill="6F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cPr>
      <w:shd w:val="clear" w:color="auto" w:fill="EC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CCC" w:themeFill="accent6" w:themeFillTint="33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tcBorders>
          <w:insideH w:val="single" w:sz="6" w:space="0" w:color="8A2A2B" w:themeColor="accent6"/>
          <w:insideV w:val="single" w:sz="6" w:space="0" w:color="8A2A2B" w:themeColor="accent6"/>
        </w:tcBorders>
        <w:shd w:val="clear" w:color="auto" w:fill="D880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B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B9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B0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B0FF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6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DE4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4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4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80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808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6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shd w:val="clear" w:color="auto" w:fill="AADC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97A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shd w:val="clear" w:color="auto" w:fill="9FD8FF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9CC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shd w:val="clear" w:color="auto" w:fill="DCE6F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shd w:val="clear" w:color="auto" w:fill="B3DDF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E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shd w:val="clear" w:color="auto" w:fill="B7E9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2A2B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shd w:val="clear" w:color="auto" w:fill="ECC0C0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97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9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9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9CC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9CC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9CC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6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2A2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2A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2A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6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semiHidden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00497A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0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0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004A7C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</w:pPr>
    <w:rPr>
      <w:b/>
    </w:rPr>
  </w:style>
  <w:style w:type="paragraph" w:customStyle="1" w:styleId="MediaReleaseHeading1">
    <w:name w:val="Media Release Heading 1"/>
    <w:basedOn w:val="Normal"/>
    <w:qFormat/>
    <w:rsid w:val="008908A2"/>
    <w:rPr>
      <w:b/>
      <w:bCs w:val="0"/>
      <w:sz w:val="36"/>
      <w:szCs w:val="34"/>
    </w:rPr>
  </w:style>
  <w:style w:type="paragraph" w:customStyle="1" w:styleId="Minister">
    <w:name w:val="Minister"/>
    <w:qFormat/>
    <w:rsid w:val="008908A2"/>
    <w:pPr>
      <w:spacing w:after="0"/>
      <w:jc w:val="both"/>
    </w:pPr>
    <w:rPr>
      <w:rFonts w:ascii="Calibri" w:eastAsiaTheme="majorEastAsia" w:hAnsi="Calibri" w:cstheme="majorBidi"/>
      <w:b/>
      <w:bCs/>
      <w:sz w:val="24"/>
      <w:szCs w:val="24"/>
    </w:rPr>
  </w:style>
  <w:style w:type="paragraph" w:customStyle="1" w:styleId="Portfolio">
    <w:name w:val="Portfolio"/>
    <w:qFormat/>
    <w:rsid w:val="008908A2"/>
    <w:pPr>
      <w:autoSpaceDE w:val="0"/>
      <w:autoSpaceDN w:val="0"/>
      <w:adjustRightInd w:val="0"/>
    </w:pPr>
    <w:rPr>
      <w:sz w:val="24"/>
      <w:szCs w:val="24"/>
    </w:rPr>
  </w:style>
  <w:style w:type="paragraph" w:styleId="Revision">
    <w:name w:val="Revision"/>
    <w:hidden/>
    <w:uiPriority w:val="99"/>
    <w:semiHidden/>
    <w:rsid w:val="008908A2"/>
    <w:pPr>
      <w:spacing w:after="0"/>
    </w:pPr>
    <w:rPr>
      <w:rFonts w:ascii="Calibri" w:hAnsi="Calibri" w:cs="Arial"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Comms_Support\2019-20%20Budget\2019-20%20Budget%20media%20release%20template.dotx" TargetMode="External"/></Relationships>
</file>

<file path=word/theme/theme1.xml><?xml version="1.0" encoding="utf-8"?>
<a:theme xmlns:a="http://schemas.openxmlformats.org/drawingml/2006/main" name="DTF standard">
  <a:themeElements>
    <a:clrScheme name="DTF colours">
      <a:dk1>
        <a:sysClr val="windowText" lastClr="000000"/>
      </a:dk1>
      <a:lt1>
        <a:sysClr val="window" lastClr="FFFFFF"/>
      </a:lt1>
      <a:dk2>
        <a:srgbClr val="201547"/>
      </a:dk2>
      <a:lt2>
        <a:srgbClr val="EBEBEB"/>
      </a:lt2>
      <a:accent1>
        <a:srgbClr val="0063A6"/>
      </a:accent1>
      <a:accent2>
        <a:srgbClr val="00497A"/>
      </a:accent2>
      <a:accent3>
        <a:srgbClr val="749CC9"/>
      </a:accent3>
      <a:accent4>
        <a:srgbClr val="0072CE"/>
      </a:accent4>
      <a:accent5>
        <a:srgbClr val="009CDE"/>
      </a:accent5>
      <a:accent6>
        <a:srgbClr val="8A2A2B"/>
      </a:accent6>
      <a:hlink>
        <a:srgbClr val="53565A"/>
      </a:hlink>
      <a:folHlink>
        <a:srgbClr val="8A2A2B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D081C-CE7E-4CC6-8B14-C8F6C6BD5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2019-20 Budget media release template.dotx</Template>
  <TotalTime>6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Deidre E Steain (DTF)</dc:creator>
  <cp:lastModifiedBy>Deidre E Steain (DTF)</cp:lastModifiedBy>
  <cp:revision>4</cp:revision>
  <cp:lastPrinted>2019-05-25T11:46:00Z</cp:lastPrinted>
  <dcterms:created xsi:type="dcterms:W3CDTF">2019-05-26T04:07:00Z</dcterms:created>
  <dcterms:modified xsi:type="dcterms:W3CDTF">2019-05-26T05:20:00Z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5880f7c7-b602-4d04-8122-51a8b62dcb0b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</Properties>
</file>