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7C40" w14:textId="55733833" w:rsidR="001815E6" w:rsidRDefault="001815E6" w:rsidP="008730DA">
      <w:pPr>
        <w:pStyle w:val="ReportDate"/>
      </w:pPr>
    </w:p>
    <w:p w14:paraId="403FD159" w14:textId="77777777" w:rsidR="001815E6" w:rsidRDefault="001815E6" w:rsidP="008730DA">
      <w:pPr>
        <w:pStyle w:val="ReportDate"/>
      </w:pPr>
    </w:p>
    <w:p w14:paraId="529F4B85" w14:textId="3B41026C" w:rsidR="005817DA" w:rsidRDefault="005478BD" w:rsidP="008730DA">
      <w:pPr>
        <w:pStyle w:val="ReportDate"/>
      </w:pPr>
      <w:r>
        <w:t>Ma</w:t>
      </w:r>
      <w:r w:rsidR="009A4037">
        <w:t>rc</w:t>
      </w:r>
      <w:r>
        <w:t>h 2023</w:t>
      </w:r>
    </w:p>
    <w:p w14:paraId="44B73D33" w14:textId="7B79A471" w:rsidR="005817DA" w:rsidRPr="00944E18" w:rsidRDefault="001815E6" w:rsidP="008F0369">
      <w:pPr>
        <w:pStyle w:val="Title"/>
        <w:spacing w:before="2600"/>
        <w:rPr>
          <w:sz w:val="52"/>
          <w:szCs w:val="52"/>
        </w:rPr>
      </w:pPr>
      <w:r w:rsidRPr="00944E18">
        <w:rPr>
          <w:sz w:val="52"/>
          <w:szCs w:val="52"/>
        </w:rPr>
        <w:t>Statement of Expectations Framework for Regulators</w:t>
      </w:r>
    </w:p>
    <w:p w14:paraId="44B3A9EA" w14:textId="5321812F" w:rsidR="00B2671F" w:rsidRPr="007F16BF" w:rsidRDefault="00B2671F" w:rsidP="008730DA">
      <w:pPr>
        <w:pStyle w:val="Subtitle"/>
      </w:pPr>
      <w:bookmarkStart w:id="0" w:name="_Hlk49853564"/>
    </w:p>
    <w:p w14:paraId="3B8A4E6C" w14:textId="77777777" w:rsidR="005817DA" w:rsidRPr="00B2671F" w:rsidRDefault="005817DA" w:rsidP="004F7954">
      <w:pPr>
        <w:pStyle w:val="CoverSpacer"/>
      </w:pPr>
    </w:p>
    <w:bookmarkEnd w:id="0"/>
    <w:p w14:paraId="43EF6BF6" w14:textId="77777777" w:rsidR="005817DA" w:rsidRDefault="005817DA" w:rsidP="004F7954">
      <w:pPr>
        <w:pStyle w:val="CoverSpacer"/>
        <w:sectPr w:rsidR="005817DA" w:rsidSect="00B2671F">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627" w:right="1440" w:bottom="1440" w:left="1440" w:header="706" w:footer="461" w:gutter="0"/>
          <w:pgNumType w:fmt="lowerRoman" w:start="1"/>
          <w:cols w:space="708"/>
          <w:vAlign w:val="bottom"/>
          <w:docGrid w:linePitch="360"/>
        </w:sectPr>
      </w:pPr>
    </w:p>
    <w:p w14:paraId="530D9754" w14:textId="77777777" w:rsidR="00750CBE" w:rsidRDefault="00750CBE" w:rsidP="008D0281">
      <w:pPr>
        <w:pStyle w:val="NormalTight"/>
      </w:pPr>
    </w:p>
    <w:p w14:paraId="4B735EFC" w14:textId="77777777" w:rsidR="00750CBE" w:rsidRPr="00C92338" w:rsidRDefault="00750CBE" w:rsidP="00EF2115">
      <w:pPr>
        <w:pStyle w:val="Insidecoverspacer"/>
        <w:spacing w:before="3000"/>
      </w:pPr>
    </w:p>
    <w:p w14:paraId="240FD1D9" w14:textId="77777777" w:rsidR="00750CBE" w:rsidRPr="00C92338" w:rsidRDefault="00750CBE" w:rsidP="008D0281">
      <w:pPr>
        <w:pStyle w:val="NormalTight"/>
      </w:pPr>
      <w:r w:rsidRPr="00C92338">
        <w:t>The Secretary</w:t>
      </w:r>
    </w:p>
    <w:p w14:paraId="0DF245AE" w14:textId="77777777" w:rsidR="00750CBE" w:rsidRPr="00C92338" w:rsidRDefault="00750CBE" w:rsidP="008D0281">
      <w:pPr>
        <w:pStyle w:val="NormalTight"/>
      </w:pPr>
      <w:r w:rsidRPr="00C92338">
        <w:t>Department of Treasury and Finance</w:t>
      </w:r>
    </w:p>
    <w:p w14:paraId="2267E181" w14:textId="77777777" w:rsidR="00750CBE" w:rsidRPr="00C92338" w:rsidRDefault="00750CBE" w:rsidP="008D0281">
      <w:pPr>
        <w:pStyle w:val="NormalTight"/>
      </w:pPr>
      <w:r w:rsidRPr="00C92338">
        <w:t>1 Treasury Place</w:t>
      </w:r>
    </w:p>
    <w:p w14:paraId="0642DBAC" w14:textId="77777777" w:rsidR="00750CBE" w:rsidRPr="00C92338" w:rsidRDefault="00750CBE" w:rsidP="008D0281">
      <w:pPr>
        <w:pStyle w:val="NormalTight"/>
      </w:pPr>
      <w:r w:rsidRPr="00C92338">
        <w:t>Melbourne Victoria 3002</w:t>
      </w:r>
    </w:p>
    <w:p w14:paraId="4DF205BD" w14:textId="77777777" w:rsidR="00750CBE" w:rsidRPr="00C92338" w:rsidRDefault="00750CBE" w:rsidP="008D0281">
      <w:pPr>
        <w:pStyle w:val="NormalTight"/>
      </w:pPr>
      <w:r w:rsidRPr="00C92338">
        <w:t>Australia</w:t>
      </w:r>
    </w:p>
    <w:p w14:paraId="58D2FC99" w14:textId="77777777" w:rsidR="00750CBE" w:rsidRPr="00C92338" w:rsidRDefault="00750CBE" w:rsidP="008D0281">
      <w:pPr>
        <w:pStyle w:val="NormalTight"/>
      </w:pPr>
      <w:r w:rsidRPr="00C92338">
        <w:t>Telephone: +61 3 9651 5111</w:t>
      </w:r>
    </w:p>
    <w:p w14:paraId="31316ABA" w14:textId="77777777" w:rsidR="00750CBE" w:rsidRPr="00C92338" w:rsidRDefault="00750CBE" w:rsidP="008D0281">
      <w:pPr>
        <w:pStyle w:val="NormalTight"/>
      </w:pPr>
      <w:r w:rsidRPr="00C92338">
        <w:t>dtf.vic.gov.au</w:t>
      </w:r>
    </w:p>
    <w:p w14:paraId="4FD81FAF" w14:textId="77777777" w:rsidR="00750CBE" w:rsidRPr="00C92338" w:rsidRDefault="00750CBE" w:rsidP="008D0281">
      <w:pPr>
        <w:pStyle w:val="NormalTight"/>
      </w:pPr>
    </w:p>
    <w:p w14:paraId="31446CAB" w14:textId="77777777" w:rsidR="00750CBE" w:rsidRPr="00C92338" w:rsidRDefault="00750CBE" w:rsidP="008D0281">
      <w:pPr>
        <w:pStyle w:val="NormalTight"/>
      </w:pPr>
      <w:r w:rsidRPr="00C92338">
        <w:t>Authorised by the Victorian Government</w:t>
      </w:r>
    </w:p>
    <w:p w14:paraId="2909ABC6" w14:textId="77777777" w:rsidR="00750CBE" w:rsidRPr="00C92338" w:rsidRDefault="00750CBE" w:rsidP="008D0281">
      <w:pPr>
        <w:pStyle w:val="NormalTight"/>
      </w:pPr>
      <w:r w:rsidRPr="00C92338">
        <w:t>1 Treasury Place, Melbourne, 3002</w:t>
      </w:r>
    </w:p>
    <w:p w14:paraId="7ABD5DE6" w14:textId="77777777" w:rsidR="00750CBE" w:rsidRPr="00C92338" w:rsidRDefault="00750CBE" w:rsidP="008D0281">
      <w:pPr>
        <w:pStyle w:val="NormalTight"/>
      </w:pPr>
      <w:r w:rsidRPr="00C92338">
        <w:t>Printed on recycled paper.</w:t>
      </w:r>
    </w:p>
    <w:p w14:paraId="4DC84C38" w14:textId="77777777" w:rsidR="00750CBE" w:rsidRPr="00C92338" w:rsidRDefault="00750CBE" w:rsidP="008D0281">
      <w:pPr>
        <w:pStyle w:val="NormalTight"/>
      </w:pPr>
    </w:p>
    <w:p w14:paraId="1820F05D" w14:textId="7C371345" w:rsidR="001F0C6B" w:rsidRDefault="001E48F9" w:rsidP="004F7954">
      <w:r>
        <w:t xml:space="preserve">© State of Victoria </w:t>
      </w:r>
      <w:r w:rsidR="00F52051">
        <w:fldChar w:fldCharType="begin"/>
      </w:r>
      <w:r w:rsidR="00F52051">
        <w:instrText xml:space="preserve"> DATE  \@ "yyyy" </w:instrText>
      </w:r>
      <w:r w:rsidR="00F52051">
        <w:fldChar w:fldCharType="separate"/>
      </w:r>
      <w:r w:rsidR="009A72B1">
        <w:rPr>
          <w:noProof/>
        </w:rPr>
        <w:t>2023</w:t>
      </w:r>
      <w:r w:rsidR="00F52051">
        <w:fldChar w:fldCharType="end"/>
      </w:r>
    </w:p>
    <w:p w14:paraId="42B1E877" w14:textId="77777777" w:rsidR="00750CBE" w:rsidRPr="00C92338" w:rsidRDefault="00750CBE" w:rsidP="004F7954">
      <w:r w:rsidRPr="00C92338">
        <w:rPr>
          <w:noProof/>
        </w:rPr>
        <w:drawing>
          <wp:inline distT="0" distB="0" distL="0" distR="0" wp14:anchorId="7FAB0D4B" wp14:editId="6029FB2B">
            <wp:extent cx="1117460" cy="390972"/>
            <wp:effectExtent l="0" t="0" r="6985" b="9525"/>
            <wp:docPr id="5" name="Creative Commons logo">
              <a:hlinkClick xmlns:a="http://schemas.openxmlformats.org/drawingml/2006/main" r:id="rId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r w:rsidRPr="00C92338">
        <w:t xml:space="preserve"> </w:t>
      </w:r>
    </w:p>
    <w:p w14:paraId="3E2FFE6A" w14:textId="77777777" w:rsidR="00750CBE" w:rsidRPr="00C92338" w:rsidRDefault="00750CBE" w:rsidP="008D0281">
      <w:pPr>
        <w:pStyle w:val="NormalTight"/>
      </w:pPr>
      <w:r w:rsidRPr="00C92338">
        <w:t xml:space="preserve">You are free to re-use this work under a </w:t>
      </w:r>
      <w:hyperlink r:id="rId2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523FF289" w14:textId="77777777" w:rsidR="006F6693" w:rsidRPr="00C92338" w:rsidRDefault="006F6693" w:rsidP="008D0281">
      <w:pPr>
        <w:pStyle w:val="NormalTight"/>
      </w:pPr>
    </w:p>
    <w:p w14:paraId="7A485D4A" w14:textId="77777777" w:rsidR="00750CBE" w:rsidRPr="00C92338" w:rsidRDefault="00750CBE" w:rsidP="008D0281">
      <w:pPr>
        <w:pStyle w:val="NormalTight"/>
      </w:pPr>
      <w:r w:rsidRPr="00C92338">
        <w:t xml:space="preserve">Copyright queries may be directed to </w:t>
      </w:r>
      <w:hyperlink r:id="rId21" w:history="1">
        <w:r w:rsidRPr="00C92338">
          <w:rPr>
            <w:rStyle w:val="Hyperlink"/>
            <w:rFonts w:cstheme="minorHAnsi"/>
          </w:rPr>
          <w:t>IPpolicy@dtf.vic.gov.au</w:t>
        </w:r>
      </w:hyperlink>
    </w:p>
    <w:p w14:paraId="452FD2D3" w14:textId="77777777" w:rsidR="00750CBE" w:rsidRPr="00C92338" w:rsidRDefault="00750CBE" w:rsidP="008D0281">
      <w:pPr>
        <w:pStyle w:val="NormalTight"/>
      </w:pPr>
    </w:p>
    <w:p w14:paraId="609C453D" w14:textId="08BE22A3" w:rsidR="00750CBE" w:rsidRPr="00C92338" w:rsidRDefault="00AC2624" w:rsidP="008D0281">
      <w:pPr>
        <w:pStyle w:val="NormalTight"/>
      </w:pPr>
      <w:r>
        <w:t xml:space="preserve">Published </w:t>
      </w:r>
      <w:r w:rsidR="005478BD">
        <w:t>March 2023</w:t>
      </w:r>
    </w:p>
    <w:p w14:paraId="66192BEB" w14:textId="77777777" w:rsidR="00750CBE" w:rsidRPr="00C92338" w:rsidRDefault="00750CBE" w:rsidP="008D0281">
      <w:pPr>
        <w:pStyle w:val="NormalTight"/>
      </w:pPr>
    </w:p>
    <w:p w14:paraId="6EB6D2C0" w14:textId="040204DE" w:rsidR="00750CBE" w:rsidRPr="00C92338" w:rsidRDefault="00750CBE" w:rsidP="008D0281">
      <w:pPr>
        <w:pStyle w:val="NormalTight"/>
      </w:pPr>
      <w:r w:rsidRPr="00C92338">
        <w:t>If you would like to receive this publication in an accessible format</w:t>
      </w:r>
      <w:r w:rsidR="004B575E">
        <w:t>,</w:t>
      </w:r>
      <w:r w:rsidRPr="00C92338">
        <w:t xml:space="preserve"> please email </w:t>
      </w:r>
      <w:hyperlink r:id="rId22" w:history="1">
        <w:r w:rsidRPr="00C92338">
          <w:t>information@dtf.vic.gov.au</w:t>
        </w:r>
      </w:hyperlink>
      <w:r w:rsidRPr="00C92338">
        <w:t xml:space="preserve"> </w:t>
      </w:r>
    </w:p>
    <w:p w14:paraId="76BFFDAB" w14:textId="77777777" w:rsidR="006F6693" w:rsidRPr="00C92338" w:rsidRDefault="006F6693" w:rsidP="008D0281">
      <w:pPr>
        <w:pStyle w:val="NormalTight"/>
      </w:pPr>
    </w:p>
    <w:p w14:paraId="3E7374F1" w14:textId="77777777" w:rsidR="00750CBE" w:rsidRPr="00C92338" w:rsidRDefault="00750CBE" w:rsidP="00EF2115">
      <w:pPr>
        <w:pStyle w:val="NormalTight"/>
        <w:rPr>
          <w:sz w:val="19"/>
        </w:rPr>
      </w:pPr>
      <w:r w:rsidRPr="00C92338">
        <w:t xml:space="preserve">This document is also available in Word and PDF format at </w:t>
      </w:r>
      <w:hyperlink r:id="rId23" w:history="1">
        <w:r w:rsidRPr="00BE03FB">
          <w:rPr>
            <w:rStyle w:val="Hyperlink"/>
          </w:rPr>
          <w:t>dtf.vic.gov.au</w:t>
        </w:r>
      </w:hyperlink>
    </w:p>
    <w:p w14:paraId="6E5A2A13" w14:textId="77777777" w:rsidR="00750CBE" w:rsidRDefault="00750CBE" w:rsidP="004F7954">
      <w:pPr>
        <w:sectPr w:rsidR="00750CBE" w:rsidSect="00B9395F">
          <w:headerReference w:type="default" r:id="rId24"/>
          <w:footerReference w:type="default" r:id="rId25"/>
          <w:type w:val="evenPage"/>
          <w:pgSz w:w="11906" w:h="16838" w:code="9"/>
          <w:pgMar w:top="3326" w:right="1440" w:bottom="1080" w:left="1440" w:header="706" w:footer="461" w:gutter="0"/>
          <w:pgNumType w:fmt="lowerRoman" w:start="1"/>
          <w:cols w:space="708"/>
          <w:docGrid w:linePitch="360"/>
        </w:sectPr>
      </w:pPr>
    </w:p>
    <w:p w14:paraId="140D03A8" w14:textId="77777777" w:rsidR="00750CBE" w:rsidRDefault="00D44953" w:rsidP="00392484">
      <w:pPr>
        <w:pStyle w:val="TOCHeading"/>
      </w:pPr>
      <w:r w:rsidRPr="00BA0EC0">
        <w:lastRenderedPageBreak/>
        <w:t>Contents</w:t>
      </w:r>
    </w:p>
    <w:p w14:paraId="1ADFCF00" w14:textId="60089919" w:rsidR="00563527" w:rsidRDefault="007F623F" w:rsidP="00122684">
      <w:pPr>
        <w:pStyle w:val="ListParagraph"/>
        <w:numPr>
          <w:ilvl w:val="0"/>
          <w:numId w:val="25"/>
        </w:numPr>
        <w:tabs>
          <w:tab w:val="left" w:leader="dot" w:pos="8618"/>
        </w:tabs>
        <w:ind w:left="357" w:hanging="357"/>
        <w:rPr>
          <w:noProof/>
          <w:lang w:eastAsia="en-US"/>
        </w:rPr>
      </w:pPr>
      <w:r w:rsidRPr="007F623F">
        <w:rPr>
          <w:noProof/>
          <w:lang w:eastAsia="en-US"/>
        </w:rPr>
        <w:t>Context for the Statement of Expectations</w:t>
      </w:r>
      <w:r w:rsidR="00B75803">
        <w:rPr>
          <w:noProof/>
          <w:lang w:eastAsia="en-US"/>
        </w:rPr>
        <w:t xml:space="preserve"> Framework</w:t>
      </w:r>
      <w:r w:rsidR="00122684">
        <w:rPr>
          <w:noProof/>
          <w:lang w:eastAsia="en-US"/>
        </w:rPr>
        <w:t xml:space="preserve"> </w:t>
      </w:r>
      <w:r w:rsidR="00122684">
        <w:rPr>
          <w:noProof/>
          <w:lang w:eastAsia="en-US"/>
        </w:rPr>
        <w:tab/>
      </w:r>
      <w:r w:rsidR="00DB6888">
        <w:rPr>
          <w:noProof/>
          <w:lang w:eastAsia="en-US"/>
        </w:rPr>
        <w:t>1</w:t>
      </w:r>
    </w:p>
    <w:p w14:paraId="6C24C7F9" w14:textId="77777777" w:rsidR="00DB6888" w:rsidRDefault="00DB6888" w:rsidP="00DB6888">
      <w:pPr>
        <w:pStyle w:val="ListParagraph"/>
        <w:ind w:left="360"/>
        <w:rPr>
          <w:noProof/>
          <w:lang w:eastAsia="en-US"/>
        </w:rPr>
      </w:pPr>
    </w:p>
    <w:p w14:paraId="58C99FD5" w14:textId="61867E94" w:rsidR="007F623F" w:rsidRDefault="007F623F" w:rsidP="00122684">
      <w:pPr>
        <w:pStyle w:val="ListParagraph"/>
        <w:numPr>
          <w:ilvl w:val="0"/>
          <w:numId w:val="25"/>
        </w:numPr>
        <w:tabs>
          <w:tab w:val="left" w:leader="dot" w:pos="8618"/>
        </w:tabs>
        <w:ind w:left="357" w:hanging="357"/>
        <w:rPr>
          <w:noProof/>
          <w:lang w:eastAsia="en-US"/>
        </w:rPr>
      </w:pPr>
      <w:r>
        <w:rPr>
          <w:noProof/>
          <w:lang w:eastAsia="en-US"/>
        </w:rPr>
        <w:t>Key changes to the Framework</w:t>
      </w:r>
      <w:r w:rsidR="00DB6888">
        <w:rPr>
          <w:noProof/>
          <w:lang w:eastAsia="en-US"/>
        </w:rPr>
        <w:t xml:space="preserve"> </w:t>
      </w:r>
      <w:r w:rsidR="00122684">
        <w:rPr>
          <w:noProof/>
          <w:lang w:eastAsia="en-US"/>
        </w:rPr>
        <w:tab/>
      </w:r>
      <w:r w:rsidR="00DB6888">
        <w:rPr>
          <w:noProof/>
          <w:lang w:eastAsia="en-US"/>
        </w:rPr>
        <w:t>2</w:t>
      </w:r>
    </w:p>
    <w:p w14:paraId="7F95C4D8" w14:textId="77777777" w:rsidR="00DB6888" w:rsidRDefault="00DB6888" w:rsidP="00DB6888">
      <w:pPr>
        <w:pStyle w:val="ListParagraph"/>
        <w:ind w:left="360"/>
        <w:rPr>
          <w:noProof/>
          <w:lang w:eastAsia="en-US"/>
        </w:rPr>
      </w:pPr>
    </w:p>
    <w:p w14:paraId="0DC981DA" w14:textId="274B0593" w:rsidR="007F623F" w:rsidRDefault="007F623F" w:rsidP="00122684">
      <w:pPr>
        <w:pStyle w:val="ListParagraph"/>
        <w:numPr>
          <w:ilvl w:val="0"/>
          <w:numId w:val="25"/>
        </w:numPr>
        <w:tabs>
          <w:tab w:val="left" w:leader="dot" w:pos="8618"/>
        </w:tabs>
        <w:ind w:left="357" w:hanging="357"/>
        <w:rPr>
          <w:noProof/>
          <w:lang w:eastAsia="en-US"/>
        </w:rPr>
      </w:pPr>
      <w:r>
        <w:rPr>
          <w:noProof/>
          <w:lang w:eastAsia="en-US"/>
        </w:rPr>
        <w:t>Who is covered by the Framework</w:t>
      </w:r>
      <w:r w:rsidR="00122684">
        <w:rPr>
          <w:noProof/>
          <w:lang w:eastAsia="en-US"/>
        </w:rPr>
        <w:t xml:space="preserve"> </w:t>
      </w:r>
      <w:r w:rsidR="00C20571">
        <w:rPr>
          <w:noProof/>
          <w:lang w:eastAsia="en-US"/>
        </w:rPr>
        <w:tab/>
      </w:r>
      <w:r w:rsidR="00FE3ECC">
        <w:rPr>
          <w:noProof/>
          <w:lang w:eastAsia="en-US"/>
        </w:rPr>
        <w:t>3</w:t>
      </w:r>
    </w:p>
    <w:p w14:paraId="4D14AF95" w14:textId="77777777" w:rsidR="00DB6888" w:rsidRDefault="00DB6888" w:rsidP="00DB6888">
      <w:pPr>
        <w:pStyle w:val="ListParagraph"/>
        <w:ind w:left="360"/>
        <w:rPr>
          <w:noProof/>
          <w:lang w:eastAsia="en-US"/>
        </w:rPr>
      </w:pPr>
    </w:p>
    <w:p w14:paraId="6725F6FB" w14:textId="7C99F6D8" w:rsidR="007F623F" w:rsidRDefault="007F623F" w:rsidP="00122684">
      <w:pPr>
        <w:pStyle w:val="ListParagraph"/>
        <w:numPr>
          <w:ilvl w:val="1"/>
          <w:numId w:val="25"/>
        </w:numPr>
        <w:tabs>
          <w:tab w:val="left" w:leader="dot" w:pos="8618"/>
        </w:tabs>
        <w:ind w:left="788" w:hanging="431"/>
        <w:rPr>
          <w:noProof/>
          <w:lang w:eastAsia="en-US"/>
        </w:rPr>
      </w:pPr>
      <w:r>
        <w:rPr>
          <w:noProof/>
          <w:lang w:eastAsia="en-US"/>
        </w:rPr>
        <w:t>Exempting regulators</w:t>
      </w:r>
      <w:r w:rsidR="00DB6888">
        <w:rPr>
          <w:noProof/>
          <w:lang w:eastAsia="en-US"/>
        </w:rPr>
        <w:t xml:space="preserve"> </w:t>
      </w:r>
      <w:r w:rsidR="00C20571">
        <w:rPr>
          <w:noProof/>
          <w:lang w:eastAsia="en-US"/>
        </w:rPr>
        <w:tab/>
      </w:r>
      <w:r w:rsidR="00DB6888">
        <w:rPr>
          <w:noProof/>
          <w:lang w:eastAsia="en-US"/>
        </w:rPr>
        <w:t>3</w:t>
      </w:r>
    </w:p>
    <w:p w14:paraId="47C495A7" w14:textId="77777777" w:rsidR="00DB6888" w:rsidRDefault="00DB6888" w:rsidP="00EE3ABE">
      <w:pPr>
        <w:pStyle w:val="ListParagraph"/>
        <w:ind w:left="357"/>
        <w:rPr>
          <w:noProof/>
          <w:lang w:eastAsia="en-US"/>
        </w:rPr>
      </w:pPr>
    </w:p>
    <w:p w14:paraId="4359A985" w14:textId="4EE848A9" w:rsidR="007F623F" w:rsidRDefault="007F623F" w:rsidP="00122684">
      <w:pPr>
        <w:pStyle w:val="ListParagraph"/>
        <w:numPr>
          <w:ilvl w:val="0"/>
          <w:numId w:val="25"/>
        </w:numPr>
        <w:tabs>
          <w:tab w:val="left" w:leader="dot" w:pos="8618"/>
        </w:tabs>
        <w:ind w:left="357" w:hanging="357"/>
        <w:rPr>
          <w:noProof/>
          <w:lang w:eastAsia="en-US"/>
        </w:rPr>
      </w:pPr>
      <w:r>
        <w:rPr>
          <w:noProof/>
          <w:lang w:eastAsia="en-US"/>
        </w:rPr>
        <w:t>The SOE process</w:t>
      </w:r>
      <w:r w:rsidR="00DB6888">
        <w:rPr>
          <w:noProof/>
          <w:lang w:eastAsia="en-US"/>
        </w:rPr>
        <w:t xml:space="preserve"> </w:t>
      </w:r>
      <w:r w:rsidR="00C20571">
        <w:rPr>
          <w:noProof/>
          <w:lang w:eastAsia="en-US"/>
        </w:rPr>
        <w:tab/>
      </w:r>
      <w:r w:rsidR="00CE4C07">
        <w:rPr>
          <w:noProof/>
          <w:lang w:eastAsia="en-US"/>
        </w:rPr>
        <w:t>4</w:t>
      </w:r>
    </w:p>
    <w:p w14:paraId="1F1E0688" w14:textId="77777777" w:rsidR="00DB6888" w:rsidRDefault="00DB6888" w:rsidP="00DB6888">
      <w:pPr>
        <w:pStyle w:val="ListParagraph"/>
        <w:ind w:left="360"/>
        <w:rPr>
          <w:noProof/>
          <w:lang w:eastAsia="en-US"/>
        </w:rPr>
      </w:pPr>
    </w:p>
    <w:p w14:paraId="2AF253BB" w14:textId="29210FD6" w:rsidR="007F623F" w:rsidRDefault="007F623F" w:rsidP="00122684">
      <w:pPr>
        <w:pStyle w:val="ListParagraph"/>
        <w:numPr>
          <w:ilvl w:val="1"/>
          <w:numId w:val="25"/>
        </w:numPr>
        <w:tabs>
          <w:tab w:val="left" w:leader="dot" w:pos="8618"/>
        </w:tabs>
        <w:spacing w:after="0"/>
        <w:ind w:left="788" w:hanging="431"/>
        <w:rPr>
          <w:noProof/>
          <w:lang w:eastAsia="en-US"/>
        </w:rPr>
      </w:pPr>
      <w:r>
        <w:rPr>
          <w:noProof/>
          <w:lang w:eastAsia="en-US"/>
        </w:rPr>
        <w:t>Roles and responsibilities</w:t>
      </w:r>
      <w:r w:rsidR="00DB6888">
        <w:rPr>
          <w:noProof/>
          <w:lang w:eastAsia="en-US"/>
        </w:rPr>
        <w:t xml:space="preserve"> </w:t>
      </w:r>
      <w:r w:rsidR="00122684">
        <w:rPr>
          <w:noProof/>
          <w:lang w:eastAsia="en-US"/>
        </w:rPr>
        <w:tab/>
      </w:r>
      <w:r w:rsidR="00CE4C07">
        <w:rPr>
          <w:noProof/>
          <w:lang w:eastAsia="en-US"/>
        </w:rPr>
        <w:t>4</w:t>
      </w:r>
    </w:p>
    <w:p w14:paraId="378A0CC1" w14:textId="77777777" w:rsidR="00DB6888" w:rsidRDefault="00DB6888" w:rsidP="00DB6888">
      <w:pPr>
        <w:spacing w:before="0" w:after="0"/>
        <w:ind w:left="357"/>
        <w:rPr>
          <w:noProof/>
          <w:lang w:eastAsia="en-US"/>
        </w:rPr>
      </w:pPr>
    </w:p>
    <w:p w14:paraId="7F4F7DC8" w14:textId="6F1D16B6" w:rsidR="007F623F" w:rsidRDefault="00A62492" w:rsidP="00122684">
      <w:pPr>
        <w:pStyle w:val="ListParagraph"/>
        <w:numPr>
          <w:ilvl w:val="1"/>
          <w:numId w:val="25"/>
        </w:numPr>
        <w:tabs>
          <w:tab w:val="left" w:leader="dot" w:pos="8618"/>
        </w:tabs>
        <w:spacing w:before="0" w:after="240"/>
        <w:ind w:left="788" w:hanging="431"/>
        <w:rPr>
          <w:noProof/>
          <w:lang w:eastAsia="en-US"/>
        </w:rPr>
      </w:pPr>
      <w:r>
        <w:rPr>
          <w:noProof/>
          <w:lang w:eastAsia="en-US"/>
        </w:rPr>
        <w:t>Key components of the Framework</w:t>
      </w:r>
      <w:r w:rsidR="00C20571">
        <w:rPr>
          <w:noProof/>
          <w:lang w:eastAsia="en-US"/>
        </w:rPr>
        <w:t xml:space="preserve"> </w:t>
      </w:r>
      <w:r w:rsidR="00122684">
        <w:rPr>
          <w:noProof/>
          <w:lang w:eastAsia="en-US"/>
        </w:rPr>
        <w:tab/>
      </w:r>
      <w:r w:rsidR="00CE4C07">
        <w:rPr>
          <w:noProof/>
          <w:lang w:eastAsia="en-US"/>
        </w:rPr>
        <w:t>5</w:t>
      </w:r>
    </w:p>
    <w:p w14:paraId="1714FB9C" w14:textId="489331DD" w:rsidR="0085600D" w:rsidRDefault="00A62492" w:rsidP="00122684">
      <w:pPr>
        <w:pStyle w:val="ListParagraph"/>
        <w:numPr>
          <w:ilvl w:val="2"/>
          <w:numId w:val="25"/>
        </w:numPr>
        <w:tabs>
          <w:tab w:val="left" w:leader="dot" w:pos="8618"/>
        </w:tabs>
        <w:ind w:left="1225" w:hanging="505"/>
        <w:rPr>
          <w:lang w:eastAsia="en-US"/>
        </w:rPr>
      </w:pPr>
      <w:r>
        <w:rPr>
          <w:lang w:eastAsia="en-US"/>
        </w:rPr>
        <w:t>Min</w:t>
      </w:r>
      <w:r w:rsidR="00122684">
        <w:rPr>
          <w:lang w:eastAsia="en-US"/>
        </w:rPr>
        <w:t>i</w:t>
      </w:r>
      <w:r>
        <w:rPr>
          <w:lang w:eastAsia="en-US"/>
        </w:rPr>
        <w:t>ster’s letter</w:t>
      </w:r>
      <w:r w:rsidR="00C20571">
        <w:rPr>
          <w:lang w:eastAsia="en-US"/>
        </w:rPr>
        <w:t xml:space="preserve"> </w:t>
      </w:r>
      <w:r w:rsidR="00122684">
        <w:rPr>
          <w:lang w:eastAsia="en-US"/>
        </w:rPr>
        <w:tab/>
      </w:r>
      <w:r w:rsidR="00CE4C07">
        <w:rPr>
          <w:lang w:eastAsia="en-US"/>
        </w:rPr>
        <w:t>5</w:t>
      </w:r>
    </w:p>
    <w:p w14:paraId="6C06C848" w14:textId="0B568A39" w:rsidR="00A62492" w:rsidRDefault="00A62492" w:rsidP="00122684">
      <w:pPr>
        <w:pStyle w:val="ListParagraph"/>
        <w:numPr>
          <w:ilvl w:val="2"/>
          <w:numId w:val="25"/>
        </w:numPr>
        <w:tabs>
          <w:tab w:val="left" w:leader="dot" w:pos="8618"/>
        </w:tabs>
        <w:ind w:left="1225" w:hanging="505"/>
        <w:rPr>
          <w:lang w:eastAsia="en-US"/>
        </w:rPr>
      </w:pPr>
      <w:r>
        <w:rPr>
          <w:lang w:eastAsia="en-US"/>
        </w:rPr>
        <w:t>Business planning</w:t>
      </w:r>
      <w:r w:rsidR="00C20571">
        <w:rPr>
          <w:lang w:eastAsia="en-US"/>
        </w:rPr>
        <w:t xml:space="preserve"> </w:t>
      </w:r>
      <w:r w:rsidR="00122684">
        <w:rPr>
          <w:lang w:eastAsia="en-US"/>
        </w:rPr>
        <w:tab/>
      </w:r>
      <w:r w:rsidR="00CE4C07">
        <w:rPr>
          <w:lang w:eastAsia="en-US"/>
        </w:rPr>
        <w:t>7</w:t>
      </w:r>
    </w:p>
    <w:p w14:paraId="19FDA05A" w14:textId="3E60D66C" w:rsidR="00A62492" w:rsidRDefault="00A62492" w:rsidP="00122684">
      <w:pPr>
        <w:pStyle w:val="ListParagraph"/>
        <w:numPr>
          <w:ilvl w:val="2"/>
          <w:numId w:val="25"/>
        </w:numPr>
        <w:tabs>
          <w:tab w:val="left" w:leader="dot" w:pos="8618"/>
        </w:tabs>
        <w:ind w:left="1225" w:hanging="505"/>
        <w:rPr>
          <w:lang w:eastAsia="en-US"/>
        </w:rPr>
      </w:pPr>
      <w:r>
        <w:rPr>
          <w:lang w:eastAsia="en-US"/>
        </w:rPr>
        <w:t>Reporting</w:t>
      </w:r>
      <w:r w:rsidR="00C20571">
        <w:rPr>
          <w:lang w:eastAsia="en-US"/>
        </w:rPr>
        <w:t xml:space="preserve"> </w:t>
      </w:r>
      <w:r w:rsidR="00C20571">
        <w:rPr>
          <w:lang w:eastAsia="en-US"/>
        </w:rPr>
        <w:tab/>
      </w:r>
      <w:r w:rsidR="00CE4C07">
        <w:rPr>
          <w:lang w:eastAsia="en-US"/>
        </w:rPr>
        <w:t>8</w:t>
      </w:r>
    </w:p>
    <w:p w14:paraId="763FAB51" w14:textId="0DBC255D" w:rsidR="00A62492" w:rsidRDefault="00A62492" w:rsidP="00122684">
      <w:pPr>
        <w:pStyle w:val="ListParagraph"/>
        <w:numPr>
          <w:ilvl w:val="2"/>
          <w:numId w:val="25"/>
        </w:numPr>
        <w:tabs>
          <w:tab w:val="left" w:leader="dot" w:pos="8618"/>
        </w:tabs>
        <w:ind w:left="1225" w:hanging="505"/>
        <w:rPr>
          <w:lang w:eastAsia="en-US"/>
        </w:rPr>
      </w:pPr>
      <w:r>
        <w:rPr>
          <w:lang w:eastAsia="en-US"/>
        </w:rPr>
        <w:t>Accountability</w:t>
      </w:r>
      <w:r w:rsidR="00C20571">
        <w:rPr>
          <w:lang w:eastAsia="en-US"/>
        </w:rPr>
        <w:t xml:space="preserve"> </w:t>
      </w:r>
      <w:r w:rsidR="00122684">
        <w:rPr>
          <w:lang w:eastAsia="en-US"/>
        </w:rPr>
        <w:tab/>
      </w:r>
      <w:r w:rsidR="00CE4C07">
        <w:rPr>
          <w:lang w:eastAsia="en-US"/>
        </w:rPr>
        <w:t>8</w:t>
      </w:r>
    </w:p>
    <w:p w14:paraId="24292523" w14:textId="48768DFF" w:rsidR="00A62492" w:rsidRDefault="00A62492" w:rsidP="00122684">
      <w:pPr>
        <w:pStyle w:val="ListParagraph"/>
        <w:numPr>
          <w:ilvl w:val="2"/>
          <w:numId w:val="25"/>
        </w:numPr>
        <w:tabs>
          <w:tab w:val="left" w:leader="dot" w:pos="8618"/>
        </w:tabs>
        <w:ind w:left="1225" w:hanging="505"/>
        <w:rPr>
          <w:lang w:eastAsia="en-US"/>
        </w:rPr>
      </w:pPr>
      <w:r>
        <w:rPr>
          <w:lang w:eastAsia="en-US"/>
        </w:rPr>
        <w:t>Better Regulation Victoria</w:t>
      </w:r>
      <w:r w:rsidR="00C20571">
        <w:rPr>
          <w:lang w:eastAsia="en-US"/>
        </w:rPr>
        <w:t xml:space="preserve"> </w:t>
      </w:r>
      <w:r w:rsidR="00C20571">
        <w:rPr>
          <w:lang w:eastAsia="en-US"/>
        </w:rPr>
        <w:tab/>
      </w:r>
      <w:r w:rsidR="00CE4C07">
        <w:rPr>
          <w:lang w:eastAsia="en-US"/>
        </w:rPr>
        <w:t>9</w:t>
      </w:r>
    </w:p>
    <w:p w14:paraId="06948E28" w14:textId="77777777" w:rsidR="00C20571" w:rsidRDefault="00C20571" w:rsidP="00EE3ABE">
      <w:pPr>
        <w:pStyle w:val="ListParagraph"/>
        <w:ind w:left="357"/>
        <w:rPr>
          <w:lang w:eastAsia="en-US"/>
        </w:rPr>
      </w:pPr>
    </w:p>
    <w:p w14:paraId="5B119DA4" w14:textId="0C2DD1CB" w:rsidR="00A62492" w:rsidRDefault="00A62492" w:rsidP="00122684">
      <w:pPr>
        <w:pStyle w:val="ListParagraph"/>
        <w:numPr>
          <w:ilvl w:val="0"/>
          <w:numId w:val="25"/>
        </w:numPr>
        <w:tabs>
          <w:tab w:val="left" w:leader="dot" w:pos="8618"/>
        </w:tabs>
        <w:ind w:left="357" w:hanging="357"/>
        <w:rPr>
          <w:lang w:eastAsia="en-US"/>
        </w:rPr>
      </w:pPr>
      <w:r>
        <w:rPr>
          <w:lang w:eastAsia="en-US"/>
        </w:rPr>
        <w:t>Impact on different types of regulators</w:t>
      </w:r>
      <w:r w:rsidR="00C20571">
        <w:rPr>
          <w:lang w:eastAsia="en-US"/>
        </w:rPr>
        <w:t xml:space="preserve"> </w:t>
      </w:r>
      <w:r w:rsidR="00122684">
        <w:rPr>
          <w:lang w:eastAsia="en-US"/>
        </w:rPr>
        <w:tab/>
      </w:r>
      <w:r w:rsidR="00CE4C07">
        <w:rPr>
          <w:lang w:eastAsia="en-US"/>
        </w:rPr>
        <w:t>10</w:t>
      </w:r>
    </w:p>
    <w:p w14:paraId="5D624B6F" w14:textId="77777777" w:rsidR="00CE4C07" w:rsidRDefault="00CE4C07" w:rsidP="00CE4C07">
      <w:pPr>
        <w:pStyle w:val="ListParagraph"/>
        <w:ind w:left="360"/>
        <w:rPr>
          <w:lang w:eastAsia="en-US"/>
        </w:rPr>
      </w:pPr>
    </w:p>
    <w:p w14:paraId="6E0B07CA" w14:textId="2C3E0FFB" w:rsidR="00CE4C07" w:rsidRDefault="00CE4C07" w:rsidP="004B575E">
      <w:pPr>
        <w:pStyle w:val="ListParagraph"/>
        <w:numPr>
          <w:ilvl w:val="0"/>
          <w:numId w:val="25"/>
        </w:numPr>
        <w:tabs>
          <w:tab w:val="left" w:leader="dot" w:pos="8618"/>
        </w:tabs>
        <w:ind w:left="357" w:hanging="357"/>
        <w:rPr>
          <w:lang w:eastAsia="en-US"/>
        </w:rPr>
      </w:pPr>
      <w:r>
        <w:rPr>
          <w:lang w:eastAsia="en-US"/>
        </w:rPr>
        <w:t>Transition to the new Framework</w:t>
      </w:r>
      <w:r w:rsidR="004B575E">
        <w:rPr>
          <w:lang w:eastAsia="en-US"/>
        </w:rPr>
        <w:t xml:space="preserve"> </w:t>
      </w:r>
      <w:r>
        <w:rPr>
          <w:lang w:eastAsia="en-US"/>
        </w:rPr>
        <w:tab/>
        <w:t>11</w:t>
      </w:r>
    </w:p>
    <w:p w14:paraId="478A0D71" w14:textId="77777777" w:rsidR="00CE4C07" w:rsidRDefault="00CE4C07" w:rsidP="00EE3ABE">
      <w:pPr>
        <w:ind w:left="357"/>
        <w:rPr>
          <w:lang w:eastAsia="en-US"/>
        </w:rPr>
      </w:pPr>
    </w:p>
    <w:p w14:paraId="4A3CF759" w14:textId="77777777" w:rsidR="00C20571" w:rsidRDefault="00C20571" w:rsidP="00EE3ABE">
      <w:pPr>
        <w:pStyle w:val="ListParagraph"/>
        <w:ind w:left="357"/>
        <w:rPr>
          <w:lang w:eastAsia="en-US"/>
        </w:rPr>
      </w:pPr>
    </w:p>
    <w:p w14:paraId="5AF0FE90" w14:textId="46F2A5C3" w:rsidR="00A62492" w:rsidRDefault="00A62492" w:rsidP="004B575E">
      <w:pPr>
        <w:tabs>
          <w:tab w:val="left" w:leader="dot" w:pos="8618"/>
        </w:tabs>
        <w:rPr>
          <w:lang w:eastAsia="en-US"/>
        </w:rPr>
      </w:pPr>
      <w:r>
        <w:rPr>
          <w:lang w:eastAsia="en-US"/>
        </w:rPr>
        <w:t>Attachment 1 – List of Victorian business regulators</w:t>
      </w:r>
      <w:r w:rsidR="00C20571">
        <w:rPr>
          <w:lang w:eastAsia="en-US"/>
        </w:rPr>
        <w:t xml:space="preserve"> </w:t>
      </w:r>
      <w:r w:rsidR="004B575E">
        <w:rPr>
          <w:lang w:eastAsia="en-US"/>
        </w:rPr>
        <w:tab/>
      </w:r>
      <w:r w:rsidR="00C20571">
        <w:rPr>
          <w:lang w:eastAsia="en-US"/>
        </w:rPr>
        <w:t>1</w:t>
      </w:r>
      <w:r w:rsidR="00CE4C07">
        <w:rPr>
          <w:lang w:eastAsia="en-US"/>
        </w:rPr>
        <w:t>2</w:t>
      </w:r>
    </w:p>
    <w:p w14:paraId="0F462BDF" w14:textId="77777777" w:rsidR="00C20571" w:rsidRDefault="00C20571" w:rsidP="00B75803">
      <w:pPr>
        <w:pStyle w:val="ListParagraph"/>
        <w:ind w:left="357"/>
        <w:rPr>
          <w:lang w:eastAsia="en-US"/>
        </w:rPr>
      </w:pPr>
    </w:p>
    <w:p w14:paraId="521DB121" w14:textId="6A52E0F2" w:rsidR="00A62492" w:rsidRDefault="00A62492" w:rsidP="004B575E">
      <w:pPr>
        <w:tabs>
          <w:tab w:val="left" w:leader="dot" w:pos="8618"/>
        </w:tabs>
        <w:rPr>
          <w:lang w:eastAsia="en-US"/>
        </w:rPr>
      </w:pPr>
      <w:r>
        <w:rPr>
          <w:lang w:eastAsia="en-US"/>
        </w:rPr>
        <w:t>Attachment 2 – Example of Minister’s letter</w:t>
      </w:r>
      <w:r w:rsidR="00C20571">
        <w:rPr>
          <w:lang w:eastAsia="en-US"/>
        </w:rPr>
        <w:t xml:space="preserve"> </w:t>
      </w:r>
      <w:r w:rsidR="004B575E">
        <w:rPr>
          <w:lang w:eastAsia="en-US"/>
        </w:rPr>
        <w:tab/>
      </w:r>
      <w:r w:rsidR="00C20571">
        <w:rPr>
          <w:lang w:eastAsia="en-US"/>
        </w:rPr>
        <w:t>1</w:t>
      </w:r>
      <w:r w:rsidR="00CE4C07">
        <w:rPr>
          <w:lang w:eastAsia="en-US"/>
        </w:rPr>
        <w:t>5</w:t>
      </w:r>
    </w:p>
    <w:p w14:paraId="1B054386" w14:textId="77777777" w:rsidR="00FF4E99" w:rsidRDefault="00FF4E99" w:rsidP="004F7954"/>
    <w:p w14:paraId="33FC39D5" w14:textId="77777777" w:rsidR="00FF4E99" w:rsidRDefault="00FF4E99" w:rsidP="004F7954">
      <w:pPr>
        <w:sectPr w:rsidR="00FF4E99" w:rsidSect="00D95610">
          <w:headerReference w:type="even" r:id="rId26"/>
          <w:headerReference w:type="default" r:id="rId27"/>
          <w:footerReference w:type="even" r:id="rId28"/>
          <w:footerReference w:type="default" r:id="rId29"/>
          <w:pgSz w:w="11906" w:h="16838" w:code="9"/>
          <w:pgMar w:top="2160" w:right="1440" w:bottom="1440" w:left="1440" w:header="706" w:footer="461" w:gutter="0"/>
          <w:pgNumType w:fmt="lowerRoman" w:start="1"/>
          <w:cols w:space="708"/>
          <w:docGrid w:linePitch="360"/>
        </w:sectPr>
      </w:pPr>
    </w:p>
    <w:p w14:paraId="77DD056B" w14:textId="503DB142" w:rsidR="001815E6" w:rsidRDefault="001815E6" w:rsidP="00392484">
      <w:pPr>
        <w:pStyle w:val="Heading1numbered"/>
      </w:pPr>
      <w:bookmarkStart w:id="1" w:name="_Toc442780675"/>
      <w:r>
        <w:lastRenderedPageBreak/>
        <w:t>Context for the Statement of Expectations Framework</w:t>
      </w:r>
    </w:p>
    <w:p w14:paraId="7167F89B" w14:textId="39ABAC9B" w:rsidR="00B72D27" w:rsidRPr="001C0525" w:rsidRDefault="003D0E5C" w:rsidP="00FB273F">
      <w:pPr>
        <w:pStyle w:val="NormalIndent"/>
        <w:jc w:val="both"/>
      </w:pPr>
      <w:r w:rsidRPr="001C0525">
        <w:t xml:space="preserve">The Statement of Expectations (SOE) </w:t>
      </w:r>
      <w:r w:rsidR="004B1A35" w:rsidRPr="001C0525">
        <w:t>F</w:t>
      </w:r>
      <w:r w:rsidRPr="001C0525">
        <w:t xml:space="preserve">ramework for </w:t>
      </w:r>
      <w:r w:rsidR="004B1A35" w:rsidRPr="001C0525">
        <w:t>R</w:t>
      </w:r>
      <w:r w:rsidRPr="001C0525">
        <w:t xml:space="preserve">egulators was established in 2012 </w:t>
      </w:r>
      <w:r w:rsidR="00C86387" w:rsidRPr="001C0525">
        <w:t xml:space="preserve">to enable </w:t>
      </w:r>
      <w:r w:rsidR="001408B6" w:rsidRPr="001C0525">
        <w:t xml:space="preserve">portfolio </w:t>
      </w:r>
      <w:r w:rsidR="00B72D27" w:rsidRPr="001C0525">
        <w:t xml:space="preserve">Ministers </w:t>
      </w:r>
      <w:r w:rsidR="00C86387" w:rsidRPr="001C0525">
        <w:t xml:space="preserve">to </w:t>
      </w:r>
      <w:r w:rsidR="001408B6" w:rsidRPr="001C0525">
        <w:t>provid</w:t>
      </w:r>
      <w:r w:rsidR="00C86387" w:rsidRPr="001C0525">
        <w:t>e</w:t>
      </w:r>
      <w:r w:rsidR="001408B6" w:rsidRPr="001C0525">
        <w:t xml:space="preserve"> clear guidance </w:t>
      </w:r>
      <w:r w:rsidR="00AE2973" w:rsidRPr="001C0525">
        <w:t xml:space="preserve">to their regulators </w:t>
      </w:r>
      <w:r w:rsidR="001408B6" w:rsidRPr="001C0525">
        <w:t>on the government’s strategic priorities</w:t>
      </w:r>
      <w:r w:rsidR="00B72D27" w:rsidRPr="001C0525">
        <w:t>.</w:t>
      </w:r>
    </w:p>
    <w:p w14:paraId="5157429B" w14:textId="1E5B8BD3" w:rsidR="003D0E5C" w:rsidRPr="001C0525" w:rsidRDefault="003F50F0" w:rsidP="00FB273F">
      <w:pPr>
        <w:pStyle w:val="NormalIndent"/>
        <w:jc w:val="both"/>
      </w:pPr>
      <w:r w:rsidRPr="001C0525">
        <w:t>Following consultations with departments and regulators, t</w:t>
      </w:r>
      <w:r w:rsidR="00B72D27" w:rsidRPr="001C0525">
        <w:t xml:space="preserve">his revised Framework </w:t>
      </w:r>
      <w:r w:rsidR="00AC2559" w:rsidRPr="001C0525">
        <w:t>has been</w:t>
      </w:r>
      <w:r w:rsidR="001408B6" w:rsidRPr="001C0525">
        <w:t xml:space="preserve"> developed </w:t>
      </w:r>
      <w:r w:rsidR="00AC2559" w:rsidRPr="001C0525">
        <w:t>to</w:t>
      </w:r>
      <w:r w:rsidR="001408B6" w:rsidRPr="001C0525">
        <w:t xml:space="preserve"> </w:t>
      </w:r>
      <w:r w:rsidR="00AE2973" w:rsidRPr="001C0525">
        <w:t>incorporate Ministerial guidance into regulators</w:t>
      </w:r>
      <w:r w:rsidR="00265962">
        <w:t>’</w:t>
      </w:r>
      <w:r w:rsidR="00AE2973" w:rsidRPr="001C0525">
        <w:t xml:space="preserve"> existing business planning processes</w:t>
      </w:r>
      <w:r w:rsidR="00AC2559" w:rsidRPr="001C0525">
        <w:t>.</w:t>
      </w:r>
    </w:p>
    <w:p w14:paraId="515D22F0" w14:textId="46EEC438" w:rsidR="00B351CB" w:rsidRPr="00670195" w:rsidRDefault="00D325D6" w:rsidP="00670195">
      <w:pPr>
        <w:pStyle w:val="NormalIndent"/>
        <w:jc w:val="both"/>
      </w:pPr>
      <w:r w:rsidRPr="001C0525">
        <w:t>T</w:t>
      </w:r>
      <w:r w:rsidR="00B72D27" w:rsidRPr="001C0525">
        <w:t xml:space="preserve">he </w:t>
      </w:r>
      <w:r w:rsidR="003707E3" w:rsidRPr="001C0525">
        <w:t xml:space="preserve">primary purpose of this </w:t>
      </w:r>
      <w:r w:rsidRPr="001C0525">
        <w:t xml:space="preserve">revised </w:t>
      </w:r>
      <w:r w:rsidR="00B72D27" w:rsidRPr="001C0525">
        <w:t xml:space="preserve">Framework and </w:t>
      </w:r>
      <w:r w:rsidR="00AE2973" w:rsidRPr="001C0525">
        <w:t xml:space="preserve">its </w:t>
      </w:r>
      <w:r w:rsidR="00B72D27" w:rsidRPr="001C0525">
        <w:t xml:space="preserve">related reporting </w:t>
      </w:r>
      <w:r w:rsidR="00C150B5" w:rsidRPr="001C0525">
        <w:t xml:space="preserve">requirements </w:t>
      </w:r>
      <w:r w:rsidRPr="001C0525">
        <w:t xml:space="preserve">is to </w:t>
      </w:r>
      <w:r w:rsidR="00670195">
        <w:t>f</w:t>
      </w:r>
      <w:r w:rsidR="00670195" w:rsidRPr="001C0525">
        <w:t xml:space="preserve">acilitate a dialogue </w:t>
      </w:r>
      <w:r w:rsidR="00670195">
        <w:t xml:space="preserve">between </w:t>
      </w:r>
      <w:r w:rsidR="00C86387" w:rsidRPr="001C0525">
        <w:t>Ministers</w:t>
      </w:r>
      <w:r w:rsidR="00670195">
        <w:t>, departments</w:t>
      </w:r>
      <w:r w:rsidR="00C86387" w:rsidRPr="001C0525">
        <w:t xml:space="preserve"> and regulators </w:t>
      </w:r>
      <w:r w:rsidR="00670195" w:rsidRPr="001C0525">
        <w:t>to identify the government’s priorities and emerging risks</w:t>
      </w:r>
      <w:r w:rsidR="00670195">
        <w:t xml:space="preserve"> and </w:t>
      </w:r>
      <w:r w:rsidR="00AD0BF0">
        <w:t>to establish a process for addressing these priorities though regulators’ business planning processes</w:t>
      </w:r>
      <w:r w:rsidR="00B72D27" w:rsidRPr="00DD39CF">
        <w:t>.</w:t>
      </w:r>
    </w:p>
    <w:p w14:paraId="5E64378D" w14:textId="60ED8ADE" w:rsidR="00F31220" w:rsidRPr="001C0525" w:rsidRDefault="00F31220" w:rsidP="00F31220">
      <w:pPr>
        <w:pStyle w:val="NormalIndent"/>
        <w:jc w:val="both"/>
      </w:pPr>
      <w:r w:rsidRPr="001C0525">
        <w:t xml:space="preserve">The changes are </w:t>
      </w:r>
      <w:r w:rsidR="00606F43" w:rsidRPr="001C0525">
        <w:t>intended</w:t>
      </w:r>
      <w:r w:rsidRPr="001C0525">
        <w:t xml:space="preserve"> to improve the administration and enforcement of regulation in Victoria</w:t>
      </w:r>
      <w:r w:rsidR="00D325D6" w:rsidRPr="001C0525">
        <w:t>,</w:t>
      </w:r>
      <w:r w:rsidR="00606F43" w:rsidRPr="001C0525">
        <w:t xml:space="preserve"> </w:t>
      </w:r>
      <w:r w:rsidR="0046309D" w:rsidRPr="001C0525">
        <w:t>which will</w:t>
      </w:r>
      <w:r w:rsidR="00606F43" w:rsidRPr="001C0525">
        <w:t xml:space="preserve"> allow regulators to manage harms confronting the Victorian community more effectively</w:t>
      </w:r>
      <w:r w:rsidRPr="001C0525">
        <w:t>.</w:t>
      </w:r>
    </w:p>
    <w:p w14:paraId="29E71A04" w14:textId="5C7A83DB" w:rsidR="00357A60" w:rsidRPr="001C0525" w:rsidRDefault="00357A60" w:rsidP="000B2197">
      <w:pPr>
        <w:pStyle w:val="NormalIndent"/>
        <w:jc w:val="both"/>
      </w:pPr>
      <w:r w:rsidRPr="001C0525">
        <w:t xml:space="preserve">Under </w:t>
      </w:r>
      <w:r w:rsidR="00D325D6" w:rsidRPr="001C0525">
        <w:t xml:space="preserve">the revised </w:t>
      </w:r>
      <w:r w:rsidRPr="001C0525">
        <w:t xml:space="preserve">Framework, </w:t>
      </w:r>
      <w:r w:rsidR="0070408D" w:rsidRPr="001C0525">
        <w:t xml:space="preserve">portfolio Ministers will </w:t>
      </w:r>
      <w:r w:rsidR="0072464A">
        <w:t xml:space="preserve">continue to </w:t>
      </w:r>
      <w:r w:rsidR="0070408D" w:rsidRPr="001C0525">
        <w:t>provide a letter to their regulators outlining the government’s priorit</w:t>
      </w:r>
      <w:r w:rsidR="0072464A">
        <w:t>ies</w:t>
      </w:r>
      <w:r w:rsidR="0070408D" w:rsidRPr="001C0525">
        <w:t xml:space="preserve"> and emerging risks</w:t>
      </w:r>
      <w:r w:rsidR="00AD0BF0">
        <w:t xml:space="preserve">, but </w:t>
      </w:r>
      <w:r w:rsidR="00AD0BF0" w:rsidRPr="0047121F">
        <w:t xml:space="preserve">Ministers </w:t>
      </w:r>
      <w:r w:rsidR="00AD0BF0">
        <w:t xml:space="preserve">will have </w:t>
      </w:r>
      <w:r w:rsidR="00AD0BF0" w:rsidRPr="0047121F">
        <w:t xml:space="preserve">greater </w:t>
      </w:r>
      <w:r w:rsidR="00AD0BF0">
        <w:t>flexibility</w:t>
      </w:r>
      <w:r w:rsidR="00AD0BF0" w:rsidRPr="0047121F">
        <w:t xml:space="preserve"> </w:t>
      </w:r>
      <w:r w:rsidR="00AD0BF0">
        <w:t>over the content of their letter</w:t>
      </w:r>
      <w:r w:rsidR="0070408D" w:rsidRPr="001C0525">
        <w:t>.</w:t>
      </w:r>
      <w:r w:rsidR="00FC1582">
        <w:t xml:space="preserve"> </w:t>
      </w:r>
      <w:r w:rsidR="0070408D" w:rsidRPr="001C0525">
        <w:t>R</w:t>
      </w:r>
      <w:r w:rsidRPr="001C0525">
        <w:t xml:space="preserve">egulators’ business plans </w:t>
      </w:r>
      <w:r w:rsidR="00DF3EFD" w:rsidRPr="001C0525">
        <w:t xml:space="preserve">will </w:t>
      </w:r>
      <w:r w:rsidR="0072464A">
        <w:t xml:space="preserve">then </w:t>
      </w:r>
      <w:r w:rsidR="00DF3EFD" w:rsidRPr="001C0525">
        <w:t>need to</w:t>
      </w:r>
      <w:r w:rsidRPr="001C0525">
        <w:t xml:space="preserve"> clearly demonstrate how they </w:t>
      </w:r>
      <w:r w:rsidR="00DF3EFD" w:rsidRPr="001C0525">
        <w:t>propose</w:t>
      </w:r>
      <w:r w:rsidRPr="001C0525">
        <w:t xml:space="preserve"> to meet the Minister’s expectations and when the Minister’s letter </w:t>
      </w:r>
      <w:r w:rsidR="0072464A">
        <w:t xml:space="preserve">will next require </w:t>
      </w:r>
      <w:r w:rsidRPr="001C0525">
        <w:t xml:space="preserve">to be </w:t>
      </w:r>
      <w:r w:rsidR="0072464A" w:rsidRPr="001C0525">
        <w:t>updat</w:t>
      </w:r>
      <w:r w:rsidR="00A20013">
        <w:t>ed</w:t>
      </w:r>
      <w:r w:rsidR="0072464A" w:rsidRPr="001C0525">
        <w:t xml:space="preserve"> </w:t>
      </w:r>
      <w:r w:rsidRPr="001C0525">
        <w:t xml:space="preserve">or </w:t>
      </w:r>
      <w:r w:rsidR="0072464A" w:rsidRPr="001C0525">
        <w:t>renew</w:t>
      </w:r>
      <w:r w:rsidR="00A20013">
        <w:t>ed</w:t>
      </w:r>
      <w:r w:rsidRPr="001C0525">
        <w:t>.</w:t>
      </w:r>
      <w:r w:rsidR="00AD0BF0">
        <w:t xml:space="preserve"> Regulators will be required to report on their progress in meeting their Minister’s expectations th</w:t>
      </w:r>
      <w:r w:rsidR="00B277FE">
        <w:t>r</w:t>
      </w:r>
      <w:r w:rsidR="00AD0BF0">
        <w:t>ough the annual reporting process.</w:t>
      </w:r>
    </w:p>
    <w:p w14:paraId="518457CC" w14:textId="6296F661" w:rsidR="000B2197" w:rsidRPr="001C0525" w:rsidRDefault="00AC2559" w:rsidP="000B2197">
      <w:pPr>
        <w:pStyle w:val="NormalIndent"/>
        <w:jc w:val="both"/>
      </w:pPr>
      <w:r w:rsidRPr="001C0525">
        <w:t xml:space="preserve">Regulators’ business planning processes </w:t>
      </w:r>
      <w:r w:rsidR="00A72763" w:rsidRPr="001C0525">
        <w:t xml:space="preserve">remain </w:t>
      </w:r>
      <w:r w:rsidRPr="001C0525">
        <w:t xml:space="preserve">subject to existing accountability measures under the </w:t>
      </w:r>
      <w:r w:rsidRPr="001C0525">
        <w:rPr>
          <w:i/>
          <w:iCs/>
        </w:rPr>
        <w:t xml:space="preserve">Financial Management Act 1994, Public Administration Act 2004 </w:t>
      </w:r>
      <w:r w:rsidRPr="001C0525">
        <w:t xml:space="preserve">and </w:t>
      </w:r>
      <w:r w:rsidR="003A4A54" w:rsidRPr="001C0525">
        <w:t>regulators</w:t>
      </w:r>
      <w:r w:rsidR="00BD5D87">
        <w:t>’</w:t>
      </w:r>
      <w:r w:rsidRPr="001C0525">
        <w:t xml:space="preserve"> own legislation.</w:t>
      </w:r>
    </w:p>
    <w:p w14:paraId="5C1E3E75" w14:textId="43BE4A69" w:rsidR="003707E3" w:rsidRDefault="003707E3" w:rsidP="000B2197">
      <w:pPr>
        <w:pStyle w:val="NormalIndent"/>
        <w:jc w:val="both"/>
        <w:rPr>
          <w:highlight w:val="yellow"/>
        </w:rPr>
      </w:pPr>
    </w:p>
    <w:p w14:paraId="7639762F" w14:textId="354A501A" w:rsidR="003707E3" w:rsidRDefault="003707E3" w:rsidP="000B2197">
      <w:pPr>
        <w:pStyle w:val="NormalIndent"/>
        <w:jc w:val="both"/>
        <w:rPr>
          <w:highlight w:val="yellow"/>
        </w:rPr>
      </w:pPr>
    </w:p>
    <w:p w14:paraId="7EEFCA8F" w14:textId="20337320" w:rsidR="003707E3" w:rsidRDefault="003707E3" w:rsidP="000B2197">
      <w:pPr>
        <w:pStyle w:val="NormalIndent"/>
        <w:jc w:val="both"/>
        <w:rPr>
          <w:highlight w:val="yellow"/>
        </w:rPr>
      </w:pPr>
    </w:p>
    <w:p w14:paraId="70D45216" w14:textId="5B96309C" w:rsidR="003707E3" w:rsidRDefault="003707E3" w:rsidP="000B2197">
      <w:pPr>
        <w:pStyle w:val="NormalIndent"/>
        <w:jc w:val="both"/>
        <w:rPr>
          <w:highlight w:val="yellow"/>
        </w:rPr>
      </w:pPr>
    </w:p>
    <w:p w14:paraId="2BD3A87D" w14:textId="43D29A32" w:rsidR="003707E3" w:rsidRDefault="003707E3" w:rsidP="000B2197">
      <w:pPr>
        <w:pStyle w:val="NormalIndent"/>
        <w:jc w:val="both"/>
        <w:rPr>
          <w:highlight w:val="yellow"/>
        </w:rPr>
      </w:pPr>
    </w:p>
    <w:p w14:paraId="017238F6" w14:textId="12C2CE20" w:rsidR="003707E3" w:rsidRDefault="003707E3" w:rsidP="000B2197">
      <w:pPr>
        <w:pStyle w:val="NormalIndent"/>
        <w:jc w:val="both"/>
        <w:rPr>
          <w:highlight w:val="yellow"/>
        </w:rPr>
      </w:pPr>
    </w:p>
    <w:p w14:paraId="566A6955" w14:textId="316E57EA" w:rsidR="003707E3" w:rsidRDefault="003707E3" w:rsidP="000B2197">
      <w:pPr>
        <w:pStyle w:val="NormalIndent"/>
        <w:jc w:val="both"/>
        <w:rPr>
          <w:highlight w:val="yellow"/>
        </w:rPr>
      </w:pPr>
    </w:p>
    <w:p w14:paraId="712F8372" w14:textId="28C45CD4" w:rsidR="003707E3" w:rsidRDefault="003707E3" w:rsidP="000B2197">
      <w:pPr>
        <w:pStyle w:val="NormalIndent"/>
        <w:jc w:val="both"/>
        <w:rPr>
          <w:highlight w:val="yellow"/>
        </w:rPr>
      </w:pPr>
    </w:p>
    <w:p w14:paraId="1029F341" w14:textId="5D532710" w:rsidR="003707E3" w:rsidRDefault="003707E3" w:rsidP="000B2197">
      <w:pPr>
        <w:pStyle w:val="NormalIndent"/>
        <w:jc w:val="both"/>
        <w:rPr>
          <w:highlight w:val="yellow"/>
        </w:rPr>
      </w:pPr>
    </w:p>
    <w:p w14:paraId="5A0E7451" w14:textId="308541DA" w:rsidR="003707E3" w:rsidRDefault="003707E3" w:rsidP="000B2197">
      <w:pPr>
        <w:pStyle w:val="NormalIndent"/>
        <w:jc w:val="both"/>
        <w:rPr>
          <w:highlight w:val="yellow"/>
        </w:rPr>
      </w:pPr>
    </w:p>
    <w:p w14:paraId="033C16B9" w14:textId="77777777" w:rsidR="003707E3" w:rsidRPr="008C7DC0" w:rsidRDefault="003707E3" w:rsidP="000B2197">
      <w:pPr>
        <w:pStyle w:val="NormalIndent"/>
        <w:jc w:val="both"/>
        <w:rPr>
          <w:highlight w:val="yellow"/>
        </w:rPr>
      </w:pPr>
    </w:p>
    <w:p w14:paraId="7F84ED7F" w14:textId="4B9EA390" w:rsidR="001815E6" w:rsidRDefault="001F5E8F" w:rsidP="00392484">
      <w:pPr>
        <w:pStyle w:val="Heading1numbered"/>
      </w:pPr>
      <w:r>
        <w:lastRenderedPageBreak/>
        <w:t>Key changes to the Framework</w:t>
      </w:r>
    </w:p>
    <w:tbl>
      <w:tblPr>
        <w:tblStyle w:val="DTFtexttable"/>
        <w:tblpPr w:leftFromText="180" w:rightFromText="180" w:vertAnchor="text" w:horzAnchor="margin" w:tblpXSpec="right" w:tblpY="545"/>
        <w:tblW w:w="0" w:type="auto"/>
        <w:tblLook w:val="04A0" w:firstRow="1" w:lastRow="0" w:firstColumn="1" w:lastColumn="0" w:noHBand="0" w:noVBand="1"/>
      </w:tblPr>
      <w:tblGrid>
        <w:gridCol w:w="4113"/>
        <w:gridCol w:w="4121"/>
      </w:tblGrid>
      <w:tr w:rsidR="00B21FD0" w14:paraId="08BA4CB3" w14:textId="77777777" w:rsidTr="00B21F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13" w:type="dxa"/>
            <w:shd w:val="clear" w:color="auto" w:fill="D2CFE7" w:themeFill="text2" w:themeFillTint="33"/>
          </w:tcPr>
          <w:p w14:paraId="0A054BB1" w14:textId="77777777" w:rsidR="00B21FD0" w:rsidRDefault="00B21FD0" w:rsidP="00B21FD0">
            <w:pPr>
              <w:pStyle w:val="NormalIndent"/>
              <w:ind w:left="0"/>
              <w:jc w:val="both"/>
            </w:pPr>
            <w:r>
              <w:t>Previous Framework</w:t>
            </w:r>
          </w:p>
        </w:tc>
        <w:tc>
          <w:tcPr>
            <w:tcW w:w="4121" w:type="dxa"/>
            <w:shd w:val="clear" w:color="auto" w:fill="D2CFE7" w:themeFill="text2" w:themeFillTint="33"/>
          </w:tcPr>
          <w:p w14:paraId="0835884B" w14:textId="77777777" w:rsidR="00B21FD0" w:rsidRDefault="00B21FD0" w:rsidP="00B21FD0">
            <w:pPr>
              <w:pStyle w:val="NormalIndent"/>
              <w:ind w:left="0"/>
              <w:jc w:val="both"/>
              <w:cnfStyle w:val="100000000000" w:firstRow="1" w:lastRow="0" w:firstColumn="0" w:lastColumn="0" w:oddVBand="0" w:evenVBand="0" w:oddHBand="0" w:evenHBand="0" w:firstRowFirstColumn="0" w:firstRowLastColumn="0" w:lastRowFirstColumn="0" w:lastRowLastColumn="0"/>
            </w:pPr>
            <w:r>
              <w:t>Revised Framework</w:t>
            </w:r>
          </w:p>
        </w:tc>
      </w:tr>
      <w:tr w:rsidR="00B21FD0" w14:paraId="124436C9" w14:textId="77777777" w:rsidTr="00B21FD0">
        <w:tc>
          <w:tcPr>
            <w:cnfStyle w:val="001000000000" w:firstRow="0" w:lastRow="0" w:firstColumn="1" w:lastColumn="0" w:oddVBand="0" w:evenVBand="0" w:oddHBand="0" w:evenHBand="0" w:firstRowFirstColumn="0" w:firstRowLastColumn="0" w:lastRowFirstColumn="0" w:lastRowLastColumn="0"/>
            <w:tcW w:w="4113" w:type="dxa"/>
            <w:shd w:val="clear" w:color="auto" w:fill="99DDF6" w:themeFill="background2" w:themeFillShade="E6"/>
          </w:tcPr>
          <w:p w14:paraId="6E1D27A2" w14:textId="70E04FB3" w:rsidR="00B21FD0" w:rsidRPr="006C1756" w:rsidRDefault="00296FC3" w:rsidP="00B21FD0">
            <w:pPr>
              <w:pStyle w:val="NormalIndent"/>
              <w:ind w:left="0"/>
              <w:rPr>
                <w:sz w:val="20"/>
                <w:szCs w:val="20"/>
              </w:rPr>
            </w:pPr>
            <w:r>
              <w:rPr>
                <w:sz w:val="20"/>
                <w:szCs w:val="20"/>
              </w:rPr>
              <w:t xml:space="preserve">Portfolio </w:t>
            </w:r>
            <w:r w:rsidR="00B21FD0" w:rsidRPr="0047121F">
              <w:rPr>
                <w:sz w:val="20"/>
                <w:szCs w:val="20"/>
              </w:rPr>
              <w:t>Minister issue</w:t>
            </w:r>
            <w:r w:rsidR="00B21FD0">
              <w:rPr>
                <w:sz w:val="20"/>
                <w:szCs w:val="20"/>
              </w:rPr>
              <w:t>d</w:t>
            </w:r>
            <w:r w:rsidR="00B21FD0" w:rsidRPr="0047121F">
              <w:rPr>
                <w:sz w:val="20"/>
                <w:szCs w:val="20"/>
              </w:rPr>
              <w:t xml:space="preserve"> a </w:t>
            </w:r>
            <w:r w:rsidR="00B21FD0" w:rsidRPr="0047121F">
              <w:rPr>
                <w:b/>
                <w:bCs/>
                <w:sz w:val="20"/>
                <w:szCs w:val="20"/>
              </w:rPr>
              <w:t xml:space="preserve">SOE letter </w:t>
            </w:r>
            <w:r w:rsidR="00B21FD0" w:rsidRPr="0047121F">
              <w:rPr>
                <w:sz w:val="20"/>
                <w:szCs w:val="20"/>
              </w:rPr>
              <w:t xml:space="preserve">that </w:t>
            </w:r>
            <w:r w:rsidR="00B21FD0">
              <w:rPr>
                <w:sz w:val="20"/>
                <w:szCs w:val="20"/>
              </w:rPr>
              <w:t xml:space="preserve">was required to </w:t>
            </w:r>
            <w:r w:rsidR="00B21FD0" w:rsidRPr="0047121F">
              <w:rPr>
                <w:sz w:val="20"/>
                <w:szCs w:val="20"/>
              </w:rPr>
              <w:t>cover specif</w:t>
            </w:r>
            <w:r w:rsidR="00B21FD0">
              <w:rPr>
                <w:sz w:val="20"/>
                <w:szCs w:val="20"/>
              </w:rPr>
              <w:t>ic</w:t>
            </w:r>
            <w:r w:rsidR="00B21FD0" w:rsidRPr="0047121F">
              <w:rPr>
                <w:sz w:val="20"/>
                <w:szCs w:val="20"/>
              </w:rPr>
              <w:t xml:space="preserve"> elements of good regulatory practice. </w:t>
            </w:r>
          </w:p>
        </w:tc>
        <w:tc>
          <w:tcPr>
            <w:tcW w:w="4121" w:type="dxa"/>
            <w:shd w:val="clear" w:color="auto" w:fill="E4E8EE" w:themeFill="text1" w:themeFillTint="1A"/>
          </w:tcPr>
          <w:p w14:paraId="6F8667AC" w14:textId="44C498C2" w:rsidR="00B21FD0" w:rsidRPr="0047121F" w:rsidRDefault="00296FC3" w:rsidP="00B21FD0">
            <w:pPr>
              <w:pStyle w:val="NormalIndent"/>
              <w:ind w:left="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Portfolio </w:t>
            </w:r>
            <w:r w:rsidR="00B21FD0" w:rsidRPr="0047121F">
              <w:rPr>
                <w:sz w:val="20"/>
                <w:szCs w:val="20"/>
              </w:rPr>
              <w:t xml:space="preserve">Ministers </w:t>
            </w:r>
            <w:r w:rsidR="00B21FD0">
              <w:rPr>
                <w:sz w:val="20"/>
                <w:szCs w:val="20"/>
              </w:rPr>
              <w:t xml:space="preserve">are to issue a SOE </w:t>
            </w:r>
            <w:r w:rsidR="000D1A78" w:rsidRPr="0047121F">
              <w:rPr>
                <w:sz w:val="20"/>
                <w:szCs w:val="20"/>
              </w:rPr>
              <w:t>letter</w:t>
            </w:r>
            <w:r w:rsidR="000D1A78">
              <w:rPr>
                <w:sz w:val="20"/>
                <w:szCs w:val="20"/>
              </w:rPr>
              <w:t xml:space="preserve"> but</w:t>
            </w:r>
            <w:r w:rsidR="00B21FD0" w:rsidRPr="0047121F">
              <w:rPr>
                <w:sz w:val="20"/>
                <w:szCs w:val="20"/>
              </w:rPr>
              <w:t xml:space="preserve"> </w:t>
            </w:r>
            <w:r w:rsidR="00B21FD0">
              <w:rPr>
                <w:sz w:val="20"/>
                <w:szCs w:val="20"/>
              </w:rPr>
              <w:t>aren’t</w:t>
            </w:r>
            <w:r w:rsidR="00B21FD0" w:rsidRPr="0047121F">
              <w:rPr>
                <w:sz w:val="20"/>
                <w:szCs w:val="20"/>
              </w:rPr>
              <w:t xml:space="preserve"> required to cover </w:t>
            </w:r>
            <w:r w:rsidR="00B21FD0">
              <w:rPr>
                <w:sz w:val="20"/>
                <w:szCs w:val="20"/>
              </w:rPr>
              <w:t>the</w:t>
            </w:r>
            <w:r w:rsidR="00B21FD0" w:rsidRPr="0047121F">
              <w:rPr>
                <w:sz w:val="20"/>
                <w:szCs w:val="20"/>
              </w:rPr>
              <w:t xml:space="preserve"> </w:t>
            </w:r>
            <w:r w:rsidR="000D1A78">
              <w:rPr>
                <w:sz w:val="20"/>
                <w:szCs w:val="20"/>
              </w:rPr>
              <w:t>specified</w:t>
            </w:r>
            <w:r w:rsidR="000D1A78" w:rsidRPr="0047121F">
              <w:rPr>
                <w:sz w:val="20"/>
                <w:szCs w:val="20"/>
              </w:rPr>
              <w:t xml:space="preserve"> </w:t>
            </w:r>
            <w:r w:rsidR="00B21FD0" w:rsidRPr="0047121F">
              <w:rPr>
                <w:sz w:val="20"/>
                <w:szCs w:val="20"/>
              </w:rPr>
              <w:t>elements of good regulatory practice</w:t>
            </w:r>
            <w:r w:rsidR="00B21FD0">
              <w:rPr>
                <w:sz w:val="20"/>
                <w:szCs w:val="20"/>
              </w:rPr>
              <w:t>.</w:t>
            </w:r>
            <w:r w:rsidR="00B21FD0" w:rsidRPr="0047121F">
              <w:rPr>
                <w:sz w:val="20"/>
                <w:szCs w:val="20"/>
              </w:rPr>
              <w:t xml:space="preserve"> Ministers </w:t>
            </w:r>
            <w:r w:rsidR="00B21FD0">
              <w:rPr>
                <w:sz w:val="20"/>
                <w:szCs w:val="20"/>
              </w:rPr>
              <w:t xml:space="preserve">have </w:t>
            </w:r>
            <w:r w:rsidR="00B21FD0" w:rsidRPr="0047121F">
              <w:rPr>
                <w:sz w:val="20"/>
                <w:szCs w:val="20"/>
              </w:rPr>
              <w:t xml:space="preserve">greater </w:t>
            </w:r>
            <w:r w:rsidR="00B21FD0">
              <w:rPr>
                <w:sz w:val="20"/>
                <w:szCs w:val="20"/>
              </w:rPr>
              <w:t>flexibility</w:t>
            </w:r>
            <w:r w:rsidR="00B21FD0" w:rsidRPr="0047121F">
              <w:rPr>
                <w:sz w:val="20"/>
                <w:szCs w:val="20"/>
              </w:rPr>
              <w:t xml:space="preserve"> </w:t>
            </w:r>
            <w:r w:rsidR="00B21FD0">
              <w:rPr>
                <w:sz w:val="20"/>
                <w:szCs w:val="20"/>
              </w:rPr>
              <w:t>over the content of their letter.</w:t>
            </w:r>
          </w:p>
        </w:tc>
      </w:tr>
      <w:tr w:rsidR="00B21FD0" w14:paraId="7AEF6BB7" w14:textId="77777777" w:rsidTr="00B21F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dxa"/>
            <w:shd w:val="clear" w:color="auto" w:fill="99DDF6" w:themeFill="background2" w:themeFillShade="E6"/>
          </w:tcPr>
          <w:p w14:paraId="5DF675E3" w14:textId="38B92542" w:rsidR="00B21FD0" w:rsidRPr="0047121F" w:rsidRDefault="00B21FD0" w:rsidP="00B21FD0">
            <w:pPr>
              <w:pStyle w:val="NormalIndent"/>
              <w:ind w:left="0"/>
            </w:pPr>
            <w:r w:rsidRPr="0047121F">
              <w:rPr>
                <w:sz w:val="20"/>
                <w:szCs w:val="20"/>
              </w:rPr>
              <w:t>Regulators provide</w:t>
            </w:r>
            <w:r>
              <w:rPr>
                <w:sz w:val="20"/>
                <w:szCs w:val="20"/>
              </w:rPr>
              <w:t>d</w:t>
            </w:r>
            <w:r w:rsidRPr="0047121F">
              <w:rPr>
                <w:sz w:val="20"/>
                <w:szCs w:val="20"/>
              </w:rPr>
              <w:t xml:space="preserve"> a </w:t>
            </w:r>
            <w:r w:rsidRPr="0047121F">
              <w:rPr>
                <w:b/>
                <w:bCs/>
                <w:sz w:val="20"/>
                <w:szCs w:val="20"/>
              </w:rPr>
              <w:t>response</w:t>
            </w:r>
            <w:r w:rsidRPr="0047121F">
              <w:rPr>
                <w:sz w:val="20"/>
                <w:szCs w:val="20"/>
              </w:rPr>
              <w:t xml:space="preserve"> to the</w:t>
            </w:r>
            <w:r w:rsidR="0070408D">
              <w:rPr>
                <w:sz w:val="20"/>
                <w:szCs w:val="20"/>
              </w:rPr>
              <w:t>ir</w:t>
            </w:r>
            <w:r w:rsidRPr="0047121F">
              <w:rPr>
                <w:sz w:val="20"/>
                <w:szCs w:val="20"/>
              </w:rPr>
              <w:t xml:space="preserve"> Minister’s letter</w:t>
            </w:r>
            <w:r>
              <w:rPr>
                <w:sz w:val="20"/>
                <w:szCs w:val="20"/>
              </w:rPr>
              <w:t>.</w:t>
            </w:r>
          </w:p>
        </w:tc>
        <w:tc>
          <w:tcPr>
            <w:tcW w:w="4121" w:type="dxa"/>
            <w:shd w:val="clear" w:color="auto" w:fill="E4E8EE" w:themeFill="text1" w:themeFillTint="1A"/>
          </w:tcPr>
          <w:p w14:paraId="5315807F" w14:textId="41983396" w:rsidR="00B21FD0" w:rsidRPr="006C1756" w:rsidRDefault="00B21FD0" w:rsidP="00B21FD0">
            <w:pPr>
              <w:pStyle w:val="NormalIndent"/>
              <w:ind w:left="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w:t>
            </w:r>
            <w:r w:rsidRPr="0047121F">
              <w:rPr>
                <w:sz w:val="20"/>
                <w:szCs w:val="20"/>
              </w:rPr>
              <w:t xml:space="preserve">egulators </w:t>
            </w:r>
            <w:r>
              <w:rPr>
                <w:sz w:val="20"/>
                <w:szCs w:val="20"/>
              </w:rPr>
              <w:t xml:space="preserve">aren’t required to provide a </w:t>
            </w:r>
            <w:r w:rsidRPr="0047121F">
              <w:rPr>
                <w:sz w:val="20"/>
                <w:szCs w:val="20"/>
              </w:rPr>
              <w:t>response to the</w:t>
            </w:r>
            <w:r w:rsidR="00296FC3">
              <w:rPr>
                <w:sz w:val="20"/>
                <w:szCs w:val="20"/>
              </w:rPr>
              <w:t>ir</w:t>
            </w:r>
            <w:r w:rsidRPr="0047121F">
              <w:rPr>
                <w:sz w:val="20"/>
                <w:szCs w:val="20"/>
              </w:rPr>
              <w:t xml:space="preserve"> Minister’s letter</w:t>
            </w:r>
            <w:r>
              <w:rPr>
                <w:sz w:val="20"/>
                <w:szCs w:val="20"/>
              </w:rPr>
              <w:t xml:space="preserve">, but their </w:t>
            </w:r>
            <w:r w:rsidRPr="0047121F">
              <w:rPr>
                <w:sz w:val="20"/>
                <w:szCs w:val="20"/>
              </w:rPr>
              <w:t xml:space="preserve">business plans </w:t>
            </w:r>
            <w:r>
              <w:rPr>
                <w:sz w:val="20"/>
                <w:szCs w:val="20"/>
              </w:rPr>
              <w:t xml:space="preserve">must </w:t>
            </w:r>
            <w:r w:rsidRPr="0047121F">
              <w:rPr>
                <w:sz w:val="20"/>
                <w:szCs w:val="20"/>
              </w:rPr>
              <w:t>clearly demonstrate how the</w:t>
            </w:r>
            <w:r>
              <w:rPr>
                <w:sz w:val="20"/>
                <w:szCs w:val="20"/>
              </w:rPr>
              <w:t xml:space="preserve">y </w:t>
            </w:r>
            <w:r w:rsidRPr="0047121F">
              <w:rPr>
                <w:sz w:val="20"/>
                <w:szCs w:val="20"/>
              </w:rPr>
              <w:t>will meet the</w:t>
            </w:r>
            <w:r w:rsidR="00296FC3">
              <w:rPr>
                <w:sz w:val="20"/>
                <w:szCs w:val="20"/>
              </w:rPr>
              <w:t>ir</w:t>
            </w:r>
            <w:r w:rsidRPr="0047121F">
              <w:rPr>
                <w:sz w:val="20"/>
                <w:szCs w:val="20"/>
              </w:rPr>
              <w:t xml:space="preserve"> Minister’s expectations</w:t>
            </w:r>
            <w:r>
              <w:rPr>
                <w:sz w:val="20"/>
                <w:szCs w:val="20"/>
              </w:rPr>
              <w:t>.</w:t>
            </w:r>
          </w:p>
        </w:tc>
      </w:tr>
      <w:tr w:rsidR="00B21FD0" w14:paraId="581C3FC5" w14:textId="77777777" w:rsidTr="00B21FD0">
        <w:tc>
          <w:tcPr>
            <w:cnfStyle w:val="001000000000" w:firstRow="0" w:lastRow="0" w:firstColumn="1" w:lastColumn="0" w:oddVBand="0" w:evenVBand="0" w:oddHBand="0" w:evenHBand="0" w:firstRowFirstColumn="0" w:firstRowLastColumn="0" w:lastRowFirstColumn="0" w:lastRowLastColumn="0"/>
            <w:tcW w:w="4113" w:type="dxa"/>
            <w:shd w:val="clear" w:color="auto" w:fill="99DDF6" w:themeFill="background2" w:themeFillShade="E6"/>
          </w:tcPr>
          <w:p w14:paraId="4E0434AE" w14:textId="698E8082" w:rsidR="00B21FD0" w:rsidRPr="0047121F" w:rsidRDefault="00B21FD0" w:rsidP="00B21FD0">
            <w:pPr>
              <w:pStyle w:val="NormalIndent"/>
              <w:ind w:left="0"/>
              <w:rPr>
                <w:sz w:val="20"/>
                <w:szCs w:val="20"/>
              </w:rPr>
            </w:pPr>
            <w:r>
              <w:rPr>
                <w:sz w:val="20"/>
                <w:szCs w:val="20"/>
              </w:rPr>
              <w:t>R</w:t>
            </w:r>
            <w:r w:rsidRPr="0047121F">
              <w:rPr>
                <w:sz w:val="20"/>
                <w:szCs w:val="20"/>
              </w:rPr>
              <w:t>egulator’s progress in meeting the</w:t>
            </w:r>
            <w:r w:rsidR="00296FC3">
              <w:rPr>
                <w:sz w:val="20"/>
                <w:szCs w:val="20"/>
              </w:rPr>
              <w:t>ir</w:t>
            </w:r>
            <w:r w:rsidRPr="0047121F">
              <w:rPr>
                <w:sz w:val="20"/>
                <w:szCs w:val="20"/>
              </w:rPr>
              <w:t xml:space="preserve"> Minister’s expectations </w:t>
            </w:r>
            <w:r>
              <w:rPr>
                <w:sz w:val="20"/>
                <w:szCs w:val="20"/>
              </w:rPr>
              <w:t>were</w:t>
            </w:r>
            <w:r w:rsidRPr="0047121F">
              <w:rPr>
                <w:sz w:val="20"/>
                <w:szCs w:val="20"/>
              </w:rPr>
              <w:t xml:space="preserve"> </w:t>
            </w:r>
            <w:r w:rsidRPr="0047121F">
              <w:rPr>
                <w:b/>
                <w:bCs/>
                <w:sz w:val="20"/>
                <w:szCs w:val="20"/>
              </w:rPr>
              <w:t>evaluated</w:t>
            </w:r>
            <w:r w:rsidRPr="0047121F">
              <w:rPr>
                <w:sz w:val="20"/>
                <w:szCs w:val="20"/>
              </w:rPr>
              <w:t xml:space="preserve"> </w:t>
            </w:r>
            <w:r>
              <w:rPr>
                <w:sz w:val="20"/>
                <w:szCs w:val="20"/>
              </w:rPr>
              <w:t xml:space="preserve">by their department </w:t>
            </w:r>
            <w:r w:rsidRPr="0047121F">
              <w:rPr>
                <w:sz w:val="20"/>
                <w:szCs w:val="20"/>
              </w:rPr>
              <w:t xml:space="preserve">every two years </w:t>
            </w:r>
            <w:r>
              <w:rPr>
                <w:sz w:val="20"/>
                <w:szCs w:val="20"/>
              </w:rPr>
              <w:t>prior to</w:t>
            </w:r>
            <w:r w:rsidRPr="0047121F">
              <w:rPr>
                <w:sz w:val="20"/>
                <w:szCs w:val="20"/>
              </w:rPr>
              <w:t xml:space="preserve"> a new letter </w:t>
            </w:r>
            <w:r>
              <w:rPr>
                <w:sz w:val="20"/>
                <w:szCs w:val="20"/>
              </w:rPr>
              <w:t xml:space="preserve">being </w:t>
            </w:r>
            <w:r w:rsidRPr="000D1A78">
              <w:rPr>
                <w:sz w:val="20"/>
                <w:szCs w:val="20"/>
              </w:rPr>
              <w:t>developed</w:t>
            </w:r>
            <w:r>
              <w:rPr>
                <w:sz w:val="20"/>
                <w:szCs w:val="20"/>
              </w:rPr>
              <w:t>.</w:t>
            </w:r>
          </w:p>
          <w:p w14:paraId="1265D1F4" w14:textId="77777777" w:rsidR="00B21FD0" w:rsidRPr="0047121F" w:rsidRDefault="00B21FD0" w:rsidP="00B21FD0">
            <w:pPr>
              <w:pStyle w:val="NormalIndent"/>
              <w:ind w:left="0"/>
            </w:pPr>
          </w:p>
        </w:tc>
        <w:tc>
          <w:tcPr>
            <w:tcW w:w="4121" w:type="dxa"/>
            <w:shd w:val="clear" w:color="auto" w:fill="E4E8EE" w:themeFill="text1" w:themeFillTint="1A"/>
          </w:tcPr>
          <w:p w14:paraId="408DFA0C" w14:textId="79FD71B0" w:rsidR="00AD0BF0" w:rsidRDefault="000D1A78" w:rsidP="00B21FD0">
            <w:pPr>
              <w:pStyle w:val="NormalIndent"/>
              <w:ind w:left="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w:t>
            </w:r>
            <w:r w:rsidR="00D325D6" w:rsidRPr="0047121F">
              <w:rPr>
                <w:sz w:val="20"/>
                <w:szCs w:val="20"/>
              </w:rPr>
              <w:t xml:space="preserve"> </w:t>
            </w:r>
            <w:r w:rsidR="00B21FD0" w:rsidRPr="0047121F">
              <w:rPr>
                <w:sz w:val="20"/>
                <w:szCs w:val="20"/>
              </w:rPr>
              <w:t xml:space="preserve">biennial evaluation cycle </w:t>
            </w:r>
            <w:r w:rsidR="00B21FD0">
              <w:rPr>
                <w:sz w:val="20"/>
                <w:szCs w:val="20"/>
              </w:rPr>
              <w:t>has been</w:t>
            </w:r>
            <w:r w:rsidR="00B21FD0" w:rsidRPr="0047121F">
              <w:rPr>
                <w:sz w:val="20"/>
                <w:szCs w:val="20"/>
              </w:rPr>
              <w:t xml:space="preserve"> replaced by regular milestones in the regulator</w:t>
            </w:r>
            <w:r w:rsidR="00B75803">
              <w:rPr>
                <w:sz w:val="20"/>
                <w:szCs w:val="20"/>
              </w:rPr>
              <w:t>’</w:t>
            </w:r>
            <w:r w:rsidR="00B21FD0" w:rsidRPr="0047121F">
              <w:rPr>
                <w:sz w:val="20"/>
                <w:szCs w:val="20"/>
              </w:rPr>
              <w:t xml:space="preserve">s </w:t>
            </w:r>
            <w:r w:rsidR="00B21FD0" w:rsidRPr="004C289E">
              <w:rPr>
                <w:sz w:val="20"/>
                <w:szCs w:val="20"/>
              </w:rPr>
              <w:t>existing</w:t>
            </w:r>
            <w:r w:rsidR="00B21FD0" w:rsidRPr="0047121F">
              <w:rPr>
                <w:sz w:val="20"/>
                <w:szCs w:val="20"/>
              </w:rPr>
              <w:t xml:space="preserve"> planning processes to demonstrate the regulator’s progress in meeting the</w:t>
            </w:r>
            <w:r w:rsidR="00296FC3">
              <w:rPr>
                <w:sz w:val="20"/>
                <w:szCs w:val="20"/>
              </w:rPr>
              <w:t>ir</w:t>
            </w:r>
            <w:r w:rsidR="00B21FD0" w:rsidRPr="0047121F">
              <w:rPr>
                <w:sz w:val="20"/>
                <w:szCs w:val="20"/>
              </w:rPr>
              <w:t xml:space="preserve"> Minister’s expectations</w:t>
            </w:r>
            <w:r w:rsidR="00AD0BF0">
              <w:rPr>
                <w:sz w:val="20"/>
                <w:szCs w:val="20"/>
              </w:rPr>
              <w:t>.</w:t>
            </w:r>
          </w:p>
          <w:p w14:paraId="67342FD7" w14:textId="3009A73A" w:rsidR="00B21FD0" w:rsidRPr="0047121F" w:rsidRDefault="00AD0BF0" w:rsidP="00B21FD0">
            <w:pPr>
              <w:pStyle w:val="NormalIndent"/>
              <w:ind w:left="0"/>
              <w:jc w:val="both"/>
              <w:cnfStyle w:val="000000000000" w:firstRow="0" w:lastRow="0" w:firstColumn="0" w:lastColumn="0" w:oddVBand="0" w:evenVBand="0" w:oddHBand="0" w:evenHBand="0" w:firstRowFirstColumn="0" w:firstRowLastColumn="0" w:lastRowFirstColumn="0" w:lastRowLastColumn="0"/>
            </w:pPr>
            <w:r>
              <w:rPr>
                <w:sz w:val="20"/>
                <w:szCs w:val="20"/>
              </w:rPr>
              <w:t xml:space="preserve">Regulators’ business plans are to </w:t>
            </w:r>
            <w:r w:rsidR="00A20013">
              <w:rPr>
                <w:sz w:val="20"/>
                <w:szCs w:val="20"/>
              </w:rPr>
              <w:t xml:space="preserve">also </w:t>
            </w:r>
            <w:r>
              <w:rPr>
                <w:sz w:val="20"/>
                <w:szCs w:val="20"/>
              </w:rPr>
              <w:t xml:space="preserve">include milestones </w:t>
            </w:r>
            <w:r w:rsidR="00B21FD0" w:rsidRPr="0047121F">
              <w:rPr>
                <w:sz w:val="20"/>
                <w:szCs w:val="20"/>
              </w:rPr>
              <w:t>to determine wh</w:t>
            </w:r>
            <w:r w:rsidR="00B21FD0">
              <w:rPr>
                <w:sz w:val="20"/>
                <w:szCs w:val="20"/>
              </w:rPr>
              <w:t>en</w:t>
            </w:r>
            <w:r w:rsidR="00B21FD0" w:rsidRPr="0047121F">
              <w:rPr>
                <w:sz w:val="20"/>
                <w:szCs w:val="20"/>
              </w:rPr>
              <w:t xml:space="preserve"> the</w:t>
            </w:r>
            <w:r w:rsidR="00296FC3">
              <w:rPr>
                <w:sz w:val="20"/>
                <w:szCs w:val="20"/>
              </w:rPr>
              <w:t>ir</w:t>
            </w:r>
            <w:r w:rsidR="00B21FD0" w:rsidRPr="0047121F">
              <w:rPr>
                <w:sz w:val="20"/>
                <w:szCs w:val="20"/>
              </w:rPr>
              <w:t xml:space="preserve"> Minister’s letter needs to be updated or renewed</w:t>
            </w:r>
            <w:r w:rsidR="00D325D6">
              <w:rPr>
                <w:sz w:val="20"/>
                <w:szCs w:val="20"/>
              </w:rPr>
              <w:t>.</w:t>
            </w:r>
          </w:p>
        </w:tc>
      </w:tr>
      <w:tr w:rsidR="00B21FD0" w14:paraId="73C52CEA" w14:textId="77777777" w:rsidTr="00B21F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dxa"/>
            <w:shd w:val="clear" w:color="auto" w:fill="99DDF6" w:themeFill="background2" w:themeFillShade="E6"/>
          </w:tcPr>
          <w:p w14:paraId="4EC73B49" w14:textId="77777777" w:rsidR="00B21FD0" w:rsidRPr="0047121F" w:rsidRDefault="00B21FD0" w:rsidP="00B21FD0">
            <w:pPr>
              <w:pStyle w:val="NormalIndent"/>
              <w:ind w:left="0"/>
            </w:pPr>
            <w:r>
              <w:rPr>
                <w:sz w:val="20"/>
                <w:szCs w:val="20"/>
              </w:rPr>
              <w:t xml:space="preserve">The </w:t>
            </w:r>
            <w:r w:rsidRPr="0047121F">
              <w:rPr>
                <w:sz w:val="20"/>
                <w:szCs w:val="20"/>
              </w:rPr>
              <w:t xml:space="preserve">Minister’s letter, regulator’s response and evaluation report </w:t>
            </w:r>
            <w:r>
              <w:rPr>
                <w:sz w:val="20"/>
                <w:szCs w:val="20"/>
              </w:rPr>
              <w:t>were</w:t>
            </w:r>
            <w:r w:rsidRPr="0047121F">
              <w:rPr>
                <w:sz w:val="20"/>
                <w:szCs w:val="20"/>
              </w:rPr>
              <w:t xml:space="preserve"> made </w:t>
            </w:r>
            <w:r w:rsidRPr="0047121F">
              <w:rPr>
                <w:b/>
                <w:bCs/>
                <w:sz w:val="20"/>
                <w:szCs w:val="20"/>
              </w:rPr>
              <w:t>publicly available</w:t>
            </w:r>
            <w:r>
              <w:rPr>
                <w:b/>
                <w:bCs/>
                <w:sz w:val="20"/>
                <w:szCs w:val="20"/>
              </w:rPr>
              <w:t>.</w:t>
            </w:r>
          </w:p>
        </w:tc>
        <w:tc>
          <w:tcPr>
            <w:tcW w:w="4121" w:type="dxa"/>
            <w:shd w:val="clear" w:color="auto" w:fill="E4E8EE" w:themeFill="text1" w:themeFillTint="1A"/>
          </w:tcPr>
          <w:p w14:paraId="4C3A4DBD" w14:textId="3AB8735C" w:rsidR="00B21FD0" w:rsidRPr="006C1756" w:rsidRDefault="00B21FD0" w:rsidP="00B21FD0">
            <w:pPr>
              <w:pStyle w:val="NormalIndent"/>
              <w:ind w:left="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The </w:t>
            </w:r>
            <w:r w:rsidRPr="006C1756">
              <w:rPr>
                <w:sz w:val="20"/>
                <w:szCs w:val="20"/>
              </w:rPr>
              <w:t>Minister’s letter</w:t>
            </w:r>
            <w:r w:rsidR="000D1A78">
              <w:rPr>
                <w:sz w:val="20"/>
                <w:szCs w:val="20"/>
              </w:rPr>
              <w:t xml:space="preserve"> </w:t>
            </w:r>
            <w:r w:rsidR="0046309D" w:rsidRPr="001C0525">
              <w:rPr>
                <w:sz w:val="20"/>
                <w:szCs w:val="20"/>
              </w:rPr>
              <w:t xml:space="preserve">and progress reports </w:t>
            </w:r>
            <w:r w:rsidRPr="001C0525">
              <w:rPr>
                <w:sz w:val="20"/>
                <w:szCs w:val="20"/>
              </w:rPr>
              <w:t>are to be made publicly available</w:t>
            </w:r>
            <w:r>
              <w:rPr>
                <w:sz w:val="20"/>
                <w:szCs w:val="20"/>
              </w:rPr>
              <w:t>.</w:t>
            </w:r>
            <w:r w:rsidR="00A36BCD">
              <w:rPr>
                <w:sz w:val="20"/>
                <w:szCs w:val="20"/>
              </w:rPr>
              <w:t xml:space="preserve"> Minister</w:t>
            </w:r>
            <w:r w:rsidR="00BD5D87">
              <w:rPr>
                <w:sz w:val="20"/>
                <w:szCs w:val="20"/>
              </w:rPr>
              <w:t>s</w:t>
            </w:r>
            <w:r w:rsidR="00A36BCD">
              <w:rPr>
                <w:sz w:val="20"/>
                <w:szCs w:val="20"/>
              </w:rPr>
              <w:t xml:space="preserve"> can approve </w:t>
            </w:r>
            <w:r w:rsidR="00AD0BF0">
              <w:rPr>
                <w:sz w:val="20"/>
                <w:szCs w:val="20"/>
              </w:rPr>
              <w:t xml:space="preserve">not publishing </w:t>
            </w:r>
            <w:r w:rsidR="00A36BCD">
              <w:rPr>
                <w:sz w:val="20"/>
                <w:szCs w:val="20"/>
              </w:rPr>
              <w:t>any sensitive information in the letter.</w:t>
            </w:r>
          </w:p>
        </w:tc>
      </w:tr>
    </w:tbl>
    <w:p w14:paraId="1FF5B7D0" w14:textId="1D7836FF" w:rsidR="00B21FD0" w:rsidRDefault="00B21FD0" w:rsidP="00B21FD0">
      <w:pPr>
        <w:pStyle w:val="NormalIndent"/>
      </w:pPr>
      <w:r>
        <w:t>The key changes from the previous Framework are set out in the table below.</w:t>
      </w:r>
    </w:p>
    <w:p w14:paraId="27E29CF2" w14:textId="347FA1B9" w:rsidR="00204F54" w:rsidRDefault="00204F54" w:rsidP="00B21FD0">
      <w:pPr>
        <w:pStyle w:val="NormalIndent"/>
      </w:pPr>
    </w:p>
    <w:p w14:paraId="1F6C0961" w14:textId="382956DD" w:rsidR="00FE3ECC" w:rsidRDefault="00FE3ECC" w:rsidP="00B21FD0">
      <w:pPr>
        <w:pStyle w:val="NormalIndent"/>
      </w:pPr>
    </w:p>
    <w:p w14:paraId="24F639DF" w14:textId="7ACE8D1D" w:rsidR="00FE3ECC" w:rsidRDefault="00FE3ECC" w:rsidP="00B21FD0">
      <w:pPr>
        <w:pStyle w:val="NormalIndent"/>
      </w:pPr>
    </w:p>
    <w:p w14:paraId="61088320" w14:textId="768751DD" w:rsidR="00FE3ECC" w:rsidRDefault="00FE3ECC" w:rsidP="00B21FD0">
      <w:pPr>
        <w:pStyle w:val="NormalIndent"/>
      </w:pPr>
    </w:p>
    <w:p w14:paraId="405C8C9D" w14:textId="471C8BB1" w:rsidR="00FE3ECC" w:rsidRDefault="00FE3ECC" w:rsidP="00B21FD0">
      <w:pPr>
        <w:pStyle w:val="NormalIndent"/>
      </w:pPr>
    </w:p>
    <w:p w14:paraId="2D27E0CA" w14:textId="55AD0926" w:rsidR="00FE3ECC" w:rsidRDefault="00FE3ECC" w:rsidP="00B21FD0">
      <w:pPr>
        <w:pStyle w:val="NormalIndent"/>
      </w:pPr>
    </w:p>
    <w:p w14:paraId="6A44E1E0" w14:textId="77777777" w:rsidR="00FE3ECC" w:rsidRDefault="00FE3ECC" w:rsidP="00B21FD0">
      <w:pPr>
        <w:pStyle w:val="NormalIndent"/>
      </w:pPr>
    </w:p>
    <w:p w14:paraId="2335CF0A" w14:textId="29C3D786" w:rsidR="00D11EAB" w:rsidRDefault="007F623F" w:rsidP="00392484">
      <w:pPr>
        <w:pStyle w:val="Heading1numbered"/>
      </w:pPr>
      <w:r>
        <w:lastRenderedPageBreak/>
        <w:t>Who is covered by the Framework</w:t>
      </w:r>
    </w:p>
    <w:p w14:paraId="3BE39E34" w14:textId="5F40A4C0" w:rsidR="00D11EAB" w:rsidRPr="00C31888" w:rsidRDefault="00D11EAB" w:rsidP="00212720">
      <w:pPr>
        <w:pStyle w:val="NormalIndent"/>
        <w:jc w:val="both"/>
      </w:pPr>
      <w:r w:rsidRPr="00C31888">
        <w:t xml:space="preserve">The </w:t>
      </w:r>
      <w:r>
        <w:t>Framework</w:t>
      </w:r>
      <w:r w:rsidRPr="00C31888">
        <w:t xml:space="preserve"> appl</w:t>
      </w:r>
      <w:r>
        <w:t>ies</w:t>
      </w:r>
      <w:r w:rsidRPr="00C31888">
        <w:t xml:space="preserve"> to all Victorian business regulators, as listed in Attachment 1</w:t>
      </w:r>
      <w:r w:rsidRPr="00C31888">
        <w:rPr>
          <w:rStyle w:val="FootnoteReference"/>
        </w:rPr>
        <w:footnoteReference w:id="2"/>
      </w:r>
      <w:r w:rsidRPr="00C31888">
        <w:t>. A business regulator is a State Government entity (either independent or within a department) that derives from primary or subordinate legislation one or more of the following powers in relation to business and occupation</w:t>
      </w:r>
      <w:r w:rsidR="004C289E">
        <w:t>al</w:t>
      </w:r>
      <w:r w:rsidR="00212720">
        <w:t xml:space="preserve"> </w:t>
      </w:r>
      <w:r w:rsidRPr="00C31888">
        <w:t>inspection</w:t>
      </w:r>
      <w:r w:rsidR="004C289E">
        <w:t>s</w:t>
      </w:r>
      <w:r w:rsidR="00B32B63">
        <w:t>:</w:t>
      </w:r>
    </w:p>
    <w:p w14:paraId="2638F933" w14:textId="77777777" w:rsidR="00D11EAB" w:rsidRPr="00C31888" w:rsidRDefault="00D11EAB" w:rsidP="00FB273F">
      <w:pPr>
        <w:pStyle w:val="Bulletindent"/>
        <w:numPr>
          <w:ilvl w:val="2"/>
          <w:numId w:val="1"/>
        </w:numPr>
        <w:spacing w:line="240" w:lineRule="auto"/>
        <w:jc w:val="both"/>
      </w:pPr>
      <w:r w:rsidRPr="00C31888">
        <w:t xml:space="preserve">regulatory advice to a third party; </w:t>
      </w:r>
    </w:p>
    <w:p w14:paraId="72BCD7DD" w14:textId="77777777" w:rsidR="00D11EAB" w:rsidRPr="00C31888" w:rsidRDefault="00D11EAB" w:rsidP="00FB273F">
      <w:pPr>
        <w:pStyle w:val="Bulletindent"/>
        <w:numPr>
          <w:ilvl w:val="2"/>
          <w:numId w:val="1"/>
        </w:numPr>
        <w:spacing w:line="240" w:lineRule="auto"/>
        <w:jc w:val="both"/>
      </w:pPr>
      <w:r w:rsidRPr="00C31888">
        <w:t xml:space="preserve">licensing; </w:t>
      </w:r>
    </w:p>
    <w:p w14:paraId="51B23E48" w14:textId="307AA5B9" w:rsidR="00D11EAB" w:rsidRPr="00C31888" w:rsidRDefault="00D11EAB" w:rsidP="00FB273F">
      <w:pPr>
        <w:pStyle w:val="Bulletindent"/>
        <w:numPr>
          <w:ilvl w:val="2"/>
          <w:numId w:val="1"/>
        </w:numPr>
        <w:spacing w:line="240" w:lineRule="auto"/>
        <w:jc w:val="both"/>
      </w:pPr>
      <w:r w:rsidRPr="00C31888">
        <w:t>accreditation; and</w:t>
      </w:r>
    </w:p>
    <w:p w14:paraId="3E0C39E1" w14:textId="55BE796F" w:rsidR="00D11EAB" w:rsidRPr="00C31888" w:rsidRDefault="00D11EAB" w:rsidP="00FB273F">
      <w:pPr>
        <w:pStyle w:val="Bulletindent"/>
        <w:numPr>
          <w:ilvl w:val="2"/>
          <w:numId w:val="1"/>
        </w:numPr>
        <w:spacing w:line="240" w:lineRule="auto"/>
        <w:jc w:val="both"/>
      </w:pPr>
      <w:r w:rsidRPr="00C31888">
        <w:t>standards monitoring and enforcement.</w:t>
      </w:r>
      <w:r w:rsidRPr="00C31888">
        <w:rPr>
          <w:rStyle w:val="FootnoteReference"/>
        </w:rPr>
        <w:footnoteReference w:id="3"/>
      </w:r>
    </w:p>
    <w:p w14:paraId="761551E3" w14:textId="17FB9B44" w:rsidR="00D11EAB" w:rsidRPr="00C31888" w:rsidRDefault="00C9776E" w:rsidP="00FB273F">
      <w:pPr>
        <w:pStyle w:val="NormalIndent"/>
        <w:jc w:val="both"/>
      </w:pPr>
      <w:r>
        <w:t>The Framework is</w:t>
      </w:r>
      <w:r w:rsidR="00D11EAB" w:rsidRPr="00C31888">
        <w:t xml:space="preserve"> </w:t>
      </w:r>
      <w:r w:rsidR="00AD0BF0">
        <w:t xml:space="preserve">only </w:t>
      </w:r>
      <w:r w:rsidR="00D11EAB" w:rsidRPr="00C31888">
        <w:t xml:space="preserve">intended to cover </w:t>
      </w:r>
      <w:r w:rsidR="00A36BCD">
        <w:t xml:space="preserve">business activities and </w:t>
      </w:r>
      <w:r w:rsidR="00815337">
        <w:t>is not intended to cover</w:t>
      </w:r>
      <w:r w:rsidR="00A36BCD">
        <w:t xml:space="preserve"> </w:t>
      </w:r>
      <w:r w:rsidR="00D11EAB" w:rsidRPr="00C31888">
        <w:t>non</w:t>
      </w:r>
      <w:r w:rsidR="00D11EAB" w:rsidRPr="00C31888">
        <w:noBreakHyphen/>
        <w:t>business activities.</w:t>
      </w:r>
    </w:p>
    <w:p w14:paraId="2AF379E9" w14:textId="0E8943AA" w:rsidR="00D11EAB" w:rsidRPr="00C31888" w:rsidRDefault="00C9776E" w:rsidP="00FB273F">
      <w:pPr>
        <w:pStyle w:val="NormalIndent"/>
        <w:jc w:val="both"/>
      </w:pPr>
      <w:r>
        <w:t xml:space="preserve">Some </w:t>
      </w:r>
      <w:r w:rsidR="00A36BCD">
        <w:t>agencies</w:t>
      </w:r>
      <w:r>
        <w:t xml:space="preserve"> have </w:t>
      </w:r>
      <w:r w:rsidR="00D11EAB" w:rsidRPr="00C31888">
        <w:t>regulatory activities that fit this definition of a business regulator</w:t>
      </w:r>
      <w:r>
        <w:t>, but these activities</w:t>
      </w:r>
      <w:r w:rsidR="00D11EAB" w:rsidRPr="00C31888">
        <w:t xml:space="preserve"> are not their sole or primary activities. In these cases, the </w:t>
      </w:r>
      <w:r w:rsidR="00683F78">
        <w:t>application</w:t>
      </w:r>
      <w:r w:rsidR="00683F78" w:rsidRPr="00C31888">
        <w:t xml:space="preserve"> </w:t>
      </w:r>
      <w:r w:rsidR="00D11EAB" w:rsidRPr="00C31888">
        <w:t xml:space="preserve">of </w:t>
      </w:r>
      <w:r w:rsidR="00683F78">
        <w:t xml:space="preserve">the </w:t>
      </w:r>
      <w:r>
        <w:t>Framework</w:t>
      </w:r>
      <w:r w:rsidR="00D11EAB" w:rsidRPr="00C31888">
        <w:t xml:space="preserve"> should be limited to </w:t>
      </w:r>
      <w:r>
        <w:t xml:space="preserve">their </w:t>
      </w:r>
      <w:r w:rsidR="00D11EAB" w:rsidRPr="00C31888">
        <w:t xml:space="preserve">regulatory </w:t>
      </w:r>
      <w:r>
        <w:t>activities</w:t>
      </w:r>
      <w:r w:rsidR="00D11EAB" w:rsidRPr="00C31888">
        <w:t>.</w:t>
      </w:r>
    </w:p>
    <w:p w14:paraId="118CB1CF" w14:textId="7C71BE61" w:rsidR="00D11EAB" w:rsidRPr="00C31888" w:rsidRDefault="00D11EAB" w:rsidP="00FB273F">
      <w:pPr>
        <w:pStyle w:val="NormalIndent"/>
        <w:keepLines/>
        <w:jc w:val="both"/>
      </w:pPr>
      <w:r w:rsidRPr="00C31888">
        <w:t xml:space="preserve">Some regulators perform functions to administer national regulations, sometimes on behalf of other jurisdictions. In these cases, </w:t>
      </w:r>
      <w:r w:rsidR="00C9776E">
        <w:t xml:space="preserve">the Framework </w:t>
      </w:r>
      <w:r w:rsidRPr="00C31888">
        <w:t>should be limited to issues or standards over which the Minister has direction or the regulator has control or flexibility in meeting outcomes.</w:t>
      </w:r>
    </w:p>
    <w:p w14:paraId="5D8E0034" w14:textId="22C1C534" w:rsidR="00D11EAB" w:rsidRPr="00C31888" w:rsidRDefault="00C9776E" w:rsidP="00FB273F">
      <w:pPr>
        <w:pStyle w:val="NormalIndent"/>
        <w:jc w:val="both"/>
      </w:pPr>
      <w:r>
        <w:t>Ministerial letters</w:t>
      </w:r>
      <w:r w:rsidR="00D11EAB" w:rsidRPr="00C31888">
        <w:t xml:space="preserve"> are </w:t>
      </w:r>
      <w:r>
        <w:t xml:space="preserve">to be </w:t>
      </w:r>
      <w:r w:rsidR="00D11EAB" w:rsidRPr="00C31888">
        <w:t xml:space="preserve">developed within the context of the existing statutory framework whereby the </w:t>
      </w:r>
      <w:r w:rsidR="00683F78">
        <w:t>g</w:t>
      </w:r>
      <w:r w:rsidR="00683F78" w:rsidRPr="00C31888">
        <w:t xml:space="preserve">overnment </w:t>
      </w:r>
      <w:r w:rsidR="00D11EAB" w:rsidRPr="00C31888">
        <w:t>has passed legislation and the regulator has been charged with administering the legislation.</w:t>
      </w:r>
    </w:p>
    <w:p w14:paraId="2BAAB8F6" w14:textId="617F90B7" w:rsidR="00D11EAB" w:rsidRDefault="00C9776E" w:rsidP="00FB273F">
      <w:pPr>
        <w:pStyle w:val="NormalIndent"/>
        <w:jc w:val="both"/>
      </w:pPr>
      <w:r>
        <w:t>Ministerial letters</w:t>
      </w:r>
      <w:r w:rsidR="00D11EAB" w:rsidRPr="00C31888">
        <w:t xml:space="preserve"> </w:t>
      </w:r>
      <w:r w:rsidR="00683F78">
        <w:t>can’t</w:t>
      </w:r>
      <w:r w:rsidR="00D11EAB" w:rsidRPr="00C31888">
        <w:t xml:space="preserve"> override legislative requirements. If the process of developing a </w:t>
      </w:r>
      <w:r>
        <w:t>letter</w:t>
      </w:r>
      <w:r w:rsidR="00D11EAB" w:rsidRPr="00C31888">
        <w:t xml:space="preserve"> identifies legislative barriers to performance improvement, the relevant </w:t>
      </w:r>
      <w:r>
        <w:t xml:space="preserve">Minister and </w:t>
      </w:r>
      <w:r w:rsidR="00D11EAB" w:rsidRPr="00C31888">
        <w:t xml:space="preserve">department should consider </w:t>
      </w:r>
      <w:r>
        <w:t>whether legislative changes are required</w:t>
      </w:r>
      <w:r w:rsidR="00D11EAB" w:rsidRPr="00C31888">
        <w:t>.</w:t>
      </w:r>
    </w:p>
    <w:p w14:paraId="5461EF71" w14:textId="77777777" w:rsidR="00D11EAB" w:rsidRDefault="00D11EAB" w:rsidP="00D11EAB">
      <w:pPr>
        <w:pStyle w:val="Heading2numbered"/>
      </w:pPr>
      <w:bookmarkStart w:id="2" w:name="_Toc481760522"/>
      <w:bookmarkStart w:id="3" w:name="_Toc483905975"/>
      <w:r>
        <w:t>Exempting regulators</w:t>
      </w:r>
      <w:bookmarkEnd w:id="2"/>
      <w:bookmarkEnd w:id="3"/>
    </w:p>
    <w:p w14:paraId="4C2BB72A" w14:textId="13D3D5B5" w:rsidR="00D11EAB" w:rsidRDefault="00507C25" w:rsidP="00FB273F">
      <w:pPr>
        <w:pStyle w:val="NormalIndent"/>
        <w:jc w:val="both"/>
        <w:rPr>
          <w:lang w:eastAsia="en-US"/>
        </w:rPr>
      </w:pPr>
      <w:r>
        <w:rPr>
          <w:lang w:eastAsia="en-US"/>
        </w:rPr>
        <w:t xml:space="preserve">This Framework applies to the regulators listed in Attachment 1. </w:t>
      </w:r>
      <w:r w:rsidR="00D11EAB">
        <w:rPr>
          <w:lang w:eastAsia="en-US"/>
        </w:rPr>
        <w:t xml:space="preserve">In some rare circumstances the </w:t>
      </w:r>
      <w:r w:rsidR="00C9776E">
        <w:rPr>
          <w:lang w:eastAsia="en-US"/>
        </w:rPr>
        <w:t>Minister for Regulatory Reform</w:t>
      </w:r>
      <w:r w:rsidR="00D11EAB">
        <w:rPr>
          <w:lang w:eastAsia="en-US"/>
        </w:rPr>
        <w:t xml:space="preserve"> may choose to remove a business regulator from the Framework at the request of the responsible Minister.</w:t>
      </w:r>
    </w:p>
    <w:p w14:paraId="4BA46C6C" w14:textId="0B055165" w:rsidR="00CE4C07" w:rsidRDefault="00CE4C07" w:rsidP="00FB273F">
      <w:pPr>
        <w:pStyle w:val="NormalIndent"/>
        <w:jc w:val="both"/>
        <w:rPr>
          <w:lang w:eastAsia="en-US"/>
        </w:rPr>
      </w:pPr>
    </w:p>
    <w:p w14:paraId="66103C0C" w14:textId="44193460" w:rsidR="00CE4C07" w:rsidRDefault="00CE4C07" w:rsidP="00FB273F">
      <w:pPr>
        <w:pStyle w:val="NormalIndent"/>
        <w:jc w:val="both"/>
        <w:rPr>
          <w:lang w:eastAsia="en-US"/>
        </w:rPr>
      </w:pPr>
    </w:p>
    <w:p w14:paraId="15FB109B" w14:textId="68962986" w:rsidR="00CE4C07" w:rsidRDefault="00CE4C07" w:rsidP="00FB273F">
      <w:pPr>
        <w:pStyle w:val="NormalIndent"/>
        <w:jc w:val="both"/>
        <w:rPr>
          <w:lang w:eastAsia="en-US"/>
        </w:rPr>
      </w:pPr>
    </w:p>
    <w:p w14:paraId="63C3F9A8" w14:textId="6F5380FA" w:rsidR="00CE4C07" w:rsidRDefault="00CE4C07" w:rsidP="00FB273F">
      <w:pPr>
        <w:pStyle w:val="NormalIndent"/>
        <w:jc w:val="both"/>
        <w:rPr>
          <w:lang w:eastAsia="en-US"/>
        </w:rPr>
      </w:pPr>
    </w:p>
    <w:p w14:paraId="7187F765" w14:textId="37A7D3B4" w:rsidR="00CE4C07" w:rsidRDefault="00CE4C07" w:rsidP="00FB273F">
      <w:pPr>
        <w:pStyle w:val="NormalIndent"/>
        <w:jc w:val="both"/>
        <w:rPr>
          <w:lang w:eastAsia="en-US"/>
        </w:rPr>
      </w:pPr>
    </w:p>
    <w:p w14:paraId="3C716A1F" w14:textId="67C4D05D" w:rsidR="00CE4C07" w:rsidRDefault="00CE4C07" w:rsidP="00FB273F">
      <w:pPr>
        <w:pStyle w:val="NormalIndent"/>
        <w:jc w:val="both"/>
        <w:rPr>
          <w:lang w:eastAsia="en-US"/>
        </w:rPr>
      </w:pPr>
    </w:p>
    <w:p w14:paraId="0092F613" w14:textId="77777777" w:rsidR="00CE4C07" w:rsidRDefault="00CE4C07" w:rsidP="00FE3ECC">
      <w:pPr>
        <w:pStyle w:val="NormalIndent"/>
        <w:ind w:left="0"/>
        <w:jc w:val="both"/>
        <w:rPr>
          <w:lang w:eastAsia="en-US"/>
        </w:rPr>
      </w:pPr>
    </w:p>
    <w:p w14:paraId="33D08298" w14:textId="77777777" w:rsidR="007F623F" w:rsidRDefault="00D11EAB" w:rsidP="007F623F">
      <w:pPr>
        <w:pStyle w:val="Heading1numbered"/>
      </w:pPr>
      <w:bookmarkStart w:id="4" w:name="_Toc481760523"/>
      <w:bookmarkStart w:id="5" w:name="_Toc483905976"/>
      <w:r w:rsidRPr="00C31888">
        <w:lastRenderedPageBreak/>
        <w:t>The SOE process</w:t>
      </w:r>
      <w:bookmarkEnd w:id="4"/>
      <w:bookmarkEnd w:id="5"/>
    </w:p>
    <w:p w14:paraId="3640B72E" w14:textId="612ED117" w:rsidR="00911461" w:rsidRDefault="00660635" w:rsidP="008E47BF">
      <w:pPr>
        <w:pStyle w:val="Heading2numbered"/>
      </w:pPr>
      <w:r>
        <w:t>Roles and responsibilities</w:t>
      </w:r>
    </w:p>
    <w:p w14:paraId="32359A6C" w14:textId="3A4C0F92" w:rsidR="00911461" w:rsidRDefault="00911461" w:rsidP="00911461">
      <w:pPr>
        <w:pStyle w:val="NormalIndent"/>
        <w:ind w:left="720"/>
      </w:pPr>
      <w:r>
        <w:t>The r</w:t>
      </w:r>
      <w:r w:rsidRPr="00911461">
        <w:t>oles and responsibilities of Ministers, regulators and departments under the Framework</w:t>
      </w:r>
      <w:r>
        <w:t xml:space="preserve"> are set out in the table below.</w:t>
      </w:r>
    </w:p>
    <w:p w14:paraId="12FE1CCC" w14:textId="3D5D977D" w:rsidR="008E47BF" w:rsidRDefault="008E47BF" w:rsidP="00F02EE5">
      <w:pPr>
        <w:pStyle w:val="NormalIndent"/>
        <w:ind w:left="720"/>
        <w:jc w:val="both"/>
      </w:pPr>
      <w:r w:rsidRPr="001C0525">
        <w:t>These roles and responsibilities operate within the context o</w:t>
      </w:r>
      <w:r w:rsidR="0046309D" w:rsidRPr="001C0525">
        <w:t>f</w:t>
      </w:r>
      <w:r w:rsidRPr="001C0525">
        <w:t xml:space="preserve"> legislative requirements such as those in the </w:t>
      </w:r>
      <w:r w:rsidRPr="001C0525">
        <w:rPr>
          <w:i/>
          <w:iCs/>
        </w:rPr>
        <w:t>Public Administration Act 2004</w:t>
      </w:r>
      <w:r w:rsidR="000D1A78">
        <w:rPr>
          <w:i/>
          <w:iCs/>
        </w:rPr>
        <w:t>,</w:t>
      </w:r>
      <w:r w:rsidRPr="001C0525">
        <w:rPr>
          <w:i/>
          <w:iCs/>
        </w:rPr>
        <w:t xml:space="preserve"> </w:t>
      </w:r>
      <w:r w:rsidRPr="001C0525">
        <w:t xml:space="preserve">the </w:t>
      </w:r>
      <w:r w:rsidRPr="001C0525">
        <w:rPr>
          <w:i/>
          <w:iCs/>
        </w:rPr>
        <w:t>Financial Management Act 1994</w:t>
      </w:r>
      <w:r w:rsidR="000D1A78">
        <w:t xml:space="preserve"> or regulators’ own legislation.</w:t>
      </w:r>
    </w:p>
    <w:tbl>
      <w:tblPr>
        <w:tblStyle w:val="TableGridLight"/>
        <w:tblW w:w="0" w:type="auto"/>
        <w:tblInd w:w="704" w:type="dxa"/>
        <w:tblLook w:val="04A0" w:firstRow="1" w:lastRow="0" w:firstColumn="1" w:lastColumn="0" w:noHBand="0" w:noVBand="1"/>
      </w:tblPr>
      <w:tblGrid>
        <w:gridCol w:w="2126"/>
        <w:gridCol w:w="6186"/>
      </w:tblGrid>
      <w:tr w:rsidR="00911461" w14:paraId="2EFCEB04" w14:textId="77777777" w:rsidTr="00396EC9">
        <w:tc>
          <w:tcPr>
            <w:tcW w:w="2126" w:type="dxa"/>
            <w:shd w:val="clear" w:color="auto" w:fill="99DDF6" w:themeFill="background2" w:themeFillShade="E6"/>
            <w:vAlign w:val="center"/>
          </w:tcPr>
          <w:p w14:paraId="2EDB51E8" w14:textId="373773C1" w:rsidR="00911461" w:rsidRPr="00911461" w:rsidRDefault="00911461" w:rsidP="00FB273F">
            <w:pPr>
              <w:pStyle w:val="NormalIndent"/>
              <w:ind w:left="0"/>
              <w:rPr>
                <w:b/>
                <w:bCs/>
              </w:rPr>
            </w:pPr>
            <w:r w:rsidRPr="00911461">
              <w:rPr>
                <w:b/>
                <w:bCs/>
              </w:rPr>
              <w:t>Ministers</w:t>
            </w:r>
          </w:p>
        </w:tc>
        <w:tc>
          <w:tcPr>
            <w:tcW w:w="6186" w:type="dxa"/>
            <w:shd w:val="clear" w:color="auto" w:fill="E4E8EE" w:themeFill="text1" w:themeFillTint="1A"/>
          </w:tcPr>
          <w:p w14:paraId="4C2C3E65" w14:textId="728D154A" w:rsidR="00911461" w:rsidRPr="00911461" w:rsidRDefault="00911461" w:rsidP="00911461">
            <w:pPr>
              <w:pStyle w:val="NormalIndent"/>
              <w:ind w:left="0"/>
            </w:pPr>
            <w:r w:rsidRPr="00911461">
              <w:t xml:space="preserve">Portfolio </w:t>
            </w:r>
            <w:r w:rsidR="00AA296C">
              <w:t>M</w:t>
            </w:r>
            <w:r w:rsidRPr="00911461">
              <w:t>inister</w:t>
            </w:r>
            <w:r w:rsidR="004C289E">
              <w:t>s</w:t>
            </w:r>
            <w:r w:rsidRPr="00911461">
              <w:t xml:space="preserve"> </w:t>
            </w:r>
            <w:r w:rsidR="004C289E">
              <w:t>are</w:t>
            </w:r>
            <w:r w:rsidRPr="00911461">
              <w:t xml:space="preserve"> responsible for engaging with the</w:t>
            </w:r>
            <w:r w:rsidR="00F120B3">
              <w:t>ir</w:t>
            </w:r>
            <w:r w:rsidRPr="00911461">
              <w:t xml:space="preserve"> regulator</w:t>
            </w:r>
            <w:r w:rsidR="00F120B3">
              <w:t>s</w:t>
            </w:r>
            <w:r w:rsidRPr="00911461">
              <w:t xml:space="preserve"> and department to develop a Ministerial letter and to issue that letter.</w:t>
            </w:r>
          </w:p>
          <w:p w14:paraId="2EE1FEE9" w14:textId="5D230A35" w:rsidR="00911461" w:rsidRDefault="00911461" w:rsidP="00FB273F">
            <w:pPr>
              <w:pStyle w:val="NormalIndent"/>
              <w:ind w:left="0"/>
            </w:pPr>
            <w:bookmarkStart w:id="6" w:name="_Hlk79766161"/>
            <w:r w:rsidRPr="00911461">
              <w:t>Where there are multiple Ministers with a policy interest in a regulator, the portfolio Minister who is primarily responsible for the regulator should liaise with the other Ministers to develop an agreed position on the Ministerial letter</w:t>
            </w:r>
            <w:bookmarkEnd w:id="6"/>
            <w:r w:rsidRPr="00911461">
              <w:t>.</w:t>
            </w:r>
          </w:p>
        </w:tc>
      </w:tr>
      <w:tr w:rsidR="00911461" w14:paraId="7C4FBADB" w14:textId="77777777" w:rsidTr="00396EC9">
        <w:tc>
          <w:tcPr>
            <w:tcW w:w="2126" w:type="dxa"/>
            <w:shd w:val="clear" w:color="auto" w:fill="99DDF6" w:themeFill="background2" w:themeFillShade="E6"/>
            <w:vAlign w:val="center"/>
          </w:tcPr>
          <w:p w14:paraId="37D0BF09" w14:textId="567CD2C2" w:rsidR="00911461" w:rsidRPr="00911461" w:rsidRDefault="00911461" w:rsidP="00FB273F">
            <w:pPr>
              <w:pStyle w:val="NormalIndent"/>
              <w:ind w:left="0"/>
              <w:rPr>
                <w:b/>
                <w:bCs/>
              </w:rPr>
            </w:pPr>
            <w:r w:rsidRPr="00911461">
              <w:rPr>
                <w:b/>
                <w:bCs/>
              </w:rPr>
              <w:t>Regulators</w:t>
            </w:r>
          </w:p>
        </w:tc>
        <w:tc>
          <w:tcPr>
            <w:tcW w:w="6186" w:type="dxa"/>
            <w:shd w:val="clear" w:color="auto" w:fill="E4E8EE" w:themeFill="text1" w:themeFillTint="1A"/>
          </w:tcPr>
          <w:p w14:paraId="7630E276" w14:textId="77777777" w:rsidR="00911461" w:rsidRPr="00911461" w:rsidRDefault="00911461" w:rsidP="00911461">
            <w:pPr>
              <w:pStyle w:val="NormalIndent"/>
              <w:ind w:left="0"/>
            </w:pPr>
            <w:r w:rsidRPr="00911461">
              <w:t>Regulators, who are the recipient of the Minister’s letter, are to advise the Minister on emerging risks, strategic priorities and any other matters they believe the Minister should consider in developing their expectations for the regulator.</w:t>
            </w:r>
          </w:p>
          <w:p w14:paraId="5E3D9A27" w14:textId="686199F4" w:rsidR="00911461" w:rsidRDefault="00911461" w:rsidP="00911461">
            <w:pPr>
              <w:pStyle w:val="NormalIndent"/>
              <w:ind w:left="0"/>
            </w:pPr>
            <w:r w:rsidRPr="00911461">
              <w:t>Regulators are responsible for developing business plans that demonstrate how they will achieve the Minister’s expectations, implementing those plans and report</w:t>
            </w:r>
            <w:r w:rsidR="00296FC3">
              <w:t>ing</w:t>
            </w:r>
            <w:r w:rsidRPr="00911461">
              <w:t xml:space="preserve"> on their progress in meeting those expectations</w:t>
            </w:r>
            <w:r w:rsidR="004C289E">
              <w:t>.</w:t>
            </w:r>
          </w:p>
        </w:tc>
      </w:tr>
      <w:tr w:rsidR="00911461" w14:paraId="2F716D5B" w14:textId="77777777" w:rsidTr="00396EC9">
        <w:tc>
          <w:tcPr>
            <w:tcW w:w="2126" w:type="dxa"/>
            <w:shd w:val="clear" w:color="auto" w:fill="99DDF6" w:themeFill="background2" w:themeFillShade="E6"/>
            <w:vAlign w:val="center"/>
          </w:tcPr>
          <w:p w14:paraId="19C06AF5" w14:textId="6328DB55" w:rsidR="00911461" w:rsidRPr="00911461" w:rsidRDefault="00911461" w:rsidP="00FB273F">
            <w:pPr>
              <w:pStyle w:val="NormalIndent"/>
              <w:ind w:left="0"/>
              <w:rPr>
                <w:b/>
                <w:bCs/>
              </w:rPr>
            </w:pPr>
            <w:r w:rsidRPr="00911461">
              <w:rPr>
                <w:b/>
                <w:bCs/>
              </w:rPr>
              <w:t>Departments</w:t>
            </w:r>
          </w:p>
        </w:tc>
        <w:tc>
          <w:tcPr>
            <w:tcW w:w="6186" w:type="dxa"/>
            <w:shd w:val="clear" w:color="auto" w:fill="E4E8EE" w:themeFill="text1" w:themeFillTint="1A"/>
          </w:tcPr>
          <w:p w14:paraId="05D3F52D" w14:textId="246B38DB" w:rsidR="00911461" w:rsidRDefault="00911461" w:rsidP="00FB273F">
            <w:pPr>
              <w:pStyle w:val="NormalIndent"/>
              <w:ind w:left="0"/>
            </w:pPr>
            <w:r w:rsidRPr="00911461">
              <w:t xml:space="preserve">Departments are responsible for providing advice and support to the Minister on the policy context, legislative obligations and </w:t>
            </w:r>
            <w:r w:rsidR="004C289E" w:rsidRPr="00911461">
              <w:t xml:space="preserve">regulator </w:t>
            </w:r>
            <w:r w:rsidRPr="00911461">
              <w:t>performance</w:t>
            </w:r>
            <w:r w:rsidR="004C289E">
              <w:t>.</w:t>
            </w:r>
          </w:p>
        </w:tc>
      </w:tr>
      <w:tr w:rsidR="00431924" w:rsidRPr="001C0525" w14:paraId="50FFC974" w14:textId="77777777" w:rsidTr="00396EC9">
        <w:tc>
          <w:tcPr>
            <w:tcW w:w="2126" w:type="dxa"/>
            <w:shd w:val="clear" w:color="auto" w:fill="99DDF6" w:themeFill="background2" w:themeFillShade="E6"/>
            <w:vAlign w:val="center"/>
          </w:tcPr>
          <w:p w14:paraId="60087501" w14:textId="5DF2D5CB" w:rsidR="00431924" w:rsidRPr="001C0525" w:rsidRDefault="00431924" w:rsidP="00FB273F">
            <w:pPr>
              <w:pStyle w:val="NormalIndent"/>
              <w:ind w:left="0"/>
              <w:rPr>
                <w:b/>
                <w:bCs/>
              </w:rPr>
            </w:pPr>
            <w:r w:rsidRPr="001C0525">
              <w:rPr>
                <w:b/>
                <w:bCs/>
              </w:rPr>
              <w:t>Department of Treasury and Finance</w:t>
            </w:r>
            <w:r w:rsidR="00507C25">
              <w:rPr>
                <w:b/>
                <w:bCs/>
              </w:rPr>
              <w:t xml:space="preserve"> (DTF)</w:t>
            </w:r>
            <w:r w:rsidRPr="001C0525">
              <w:rPr>
                <w:b/>
                <w:bCs/>
              </w:rPr>
              <w:t xml:space="preserve"> </w:t>
            </w:r>
          </w:p>
        </w:tc>
        <w:tc>
          <w:tcPr>
            <w:tcW w:w="6186" w:type="dxa"/>
            <w:shd w:val="clear" w:color="auto" w:fill="E4E8EE" w:themeFill="text1" w:themeFillTint="1A"/>
          </w:tcPr>
          <w:p w14:paraId="3F7D9D13" w14:textId="2430BFAE" w:rsidR="00431924" w:rsidRPr="001C0525" w:rsidRDefault="003A4A54" w:rsidP="00FB273F">
            <w:pPr>
              <w:pStyle w:val="NormalIndent"/>
              <w:ind w:left="0"/>
            </w:pPr>
            <w:r w:rsidRPr="001C0525">
              <w:t>DTF is r</w:t>
            </w:r>
            <w:r w:rsidR="00431924" w:rsidRPr="001C0525">
              <w:t>esponsible for administering the Framework</w:t>
            </w:r>
            <w:r w:rsidRPr="001C0525">
              <w:t xml:space="preserve"> which includes providing advice to departments and regulators on the operation of the Framework </w:t>
            </w:r>
            <w:r w:rsidR="00431924" w:rsidRPr="001C0525">
              <w:t>and recommending changes to the Minister for Regulatory Reform.</w:t>
            </w:r>
          </w:p>
        </w:tc>
      </w:tr>
      <w:tr w:rsidR="00431924" w14:paraId="097762BF" w14:textId="77777777" w:rsidTr="00396EC9">
        <w:tc>
          <w:tcPr>
            <w:tcW w:w="2126" w:type="dxa"/>
            <w:shd w:val="clear" w:color="auto" w:fill="99DDF6" w:themeFill="background2" w:themeFillShade="E6"/>
            <w:vAlign w:val="center"/>
          </w:tcPr>
          <w:p w14:paraId="07D5EB24" w14:textId="1978D0C2" w:rsidR="00431924" w:rsidRPr="001C0525" w:rsidRDefault="00431924" w:rsidP="00FB273F">
            <w:pPr>
              <w:pStyle w:val="NormalIndent"/>
              <w:ind w:left="0"/>
              <w:rPr>
                <w:b/>
                <w:bCs/>
              </w:rPr>
            </w:pPr>
            <w:r w:rsidRPr="001C0525">
              <w:rPr>
                <w:b/>
                <w:bCs/>
              </w:rPr>
              <w:t>Better Regulation Victoria</w:t>
            </w:r>
            <w:r w:rsidR="00507C25">
              <w:rPr>
                <w:b/>
                <w:bCs/>
              </w:rPr>
              <w:t xml:space="preserve"> (BRV)</w:t>
            </w:r>
          </w:p>
        </w:tc>
        <w:tc>
          <w:tcPr>
            <w:tcW w:w="6186" w:type="dxa"/>
            <w:shd w:val="clear" w:color="auto" w:fill="E4E8EE" w:themeFill="text1" w:themeFillTint="1A"/>
          </w:tcPr>
          <w:p w14:paraId="34AA6F2A" w14:textId="3AB5D323" w:rsidR="00F125C8" w:rsidRPr="001C0525" w:rsidRDefault="003A4A54" w:rsidP="00FB273F">
            <w:pPr>
              <w:pStyle w:val="NormalIndent"/>
              <w:ind w:left="0"/>
            </w:pPr>
            <w:r w:rsidRPr="001C0525">
              <w:t>BRV is responsible for d</w:t>
            </w:r>
            <w:r w:rsidR="00BA5952" w:rsidRPr="001C0525">
              <w:t>evelop</w:t>
            </w:r>
            <w:r w:rsidRPr="001C0525">
              <w:t>ing</w:t>
            </w:r>
            <w:r w:rsidR="00BA5952" w:rsidRPr="001C0525">
              <w:t xml:space="preserve"> guidance material on the Frame</w:t>
            </w:r>
            <w:r w:rsidR="00F125C8" w:rsidRPr="001C0525">
              <w:t>work and support</w:t>
            </w:r>
            <w:r w:rsidRPr="001C0525">
              <w:t>ing</w:t>
            </w:r>
            <w:r w:rsidR="00F125C8" w:rsidRPr="001C0525">
              <w:t xml:space="preserve"> regulators in meeting their Minister’s expectations.</w:t>
            </w:r>
          </w:p>
        </w:tc>
      </w:tr>
    </w:tbl>
    <w:p w14:paraId="4180A1B7" w14:textId="77777777" w:rsidR="003A4A54" w:rsidRDefault="003A4A54" w:rsidP="00F31220">
      <w:pPr>
        <w:pStyle w:val="NormalIndent"/>
      </w:pPr>
    </w:p>
    <w:p w14:paraId="27FE815F" w14:textId="77777777" w:rsidR="003A4A54" w:rsidRDefault="003A4A54" w:rsidP="00F31220">
      <w:pPr>
        <w:pStyle w:val="NormalIndent"/>
      </w:pPr>
    </w:p>
    <w:p w14:paraId="64C549D2" w14:textId="77777777" w:rsidR="003A4A54" w:rsidRDefault="003A4A54" w:rsidP="00F31220">
      <w:pPr>
        <w:pStyle w:val="NormalIndent"/>
      </w:pPr>
    </w:p>
    <w:p w14:paraId="79C36580" w14:textId="77777777" w:rsidR="003A4A54" w:rsidRDefault="003A4A54" w:rsidP="00F31220">
      <w:pPr>
        <w:pStyle w:val="NormalIndent"/>
      </w:pPr>
    </w:p>
    <w:p w14:paraId="2E8DF6A1" w14:textId="7C8028AA" w:rsidR="007F623F" w:rsidRDefault="00911461" w:rsidP="007F623F">
      <w:pPr>
        <w:pStyle w:val="Heading2numbered"/>
      </w:pPr>
      <w:r>
        <w:lastRenderedPageBreak/>
        <w:t>Key components of the Framework</w:t>
      </w:r>
    </w:p>
    <w:p w14:paraId="5BA50AA7" w14:textId="7CFD75BD" w:rsidR="00A62492" w:rsidRDefault="00A62492" w:rsidP="00A62492">
      <w:pPr>
        <w:pStyle w:val="NormalIndent"/>
      </w:pPr>
      <w:r>
        <w:t>The key components of the Framework are set out in the table below and outlined in the following sections.</w:t>
      </w:r>
    </w:p>
    <w:tbl>
      <w:tblPr>
        <w:tblStyle w:val="TableGridLight"/>
        <w:tblpPr w:leftFromText="180" w:rightFromText="180" w:vertAnchor="text" w:horzAnchor="margin" w:tblpXSpec="right" w:tblpY="-18"/>
        <w:tblW w:w="0" w:type="auto"/>
        <w:tblLook w:val="04A0" w:firstRow="1" w:lastRow="0" w:firstColumn="1" w:lastColumn="0" w:noHBand="0" w:noVBand="1"/>
      </w:tblPr>
      <w:tblGrid>
        <w:gridCol w:w="2268"/>
        <w:gridCol w:w="6044"/>
      </w:tblGrid>
      <w:tr w:rsidR="00A62492" w14:paraId="0455CBEA" w14:textId="77777777" w:rsidTr="00A62492">
        <w:tc>
          <w:tcPr>
            <w:tcW w:w="2268" w:type="dxa"/>
            <w:shd w:val="clear" w:color="auto" w:fill="99DDF6" w:themeFill="background2" w:themeFillShade="E6"/>
            <w:vAlign w:val="center"/>
          </w:tcPr>
          <w:p w14:paraId="320E5A47" w14:textId="77777777" w:rsidR="00A62492" w:rsidRPr="00EC2F04" w:rsidRDefault="00A62492" w:rsidP="00A62492">
            <w:pPr>
              <w:pStyle w:val="NormalIndent"/>
              <w:ind w:left="0"/>
              <w:rPr>
                <w:b/>
                <w:bCs/>
              </w:rPr>
            </w:pPr>
            <w:r w:rsidRPr="00EC2F04">
              <w:rPr>
                <w:b/>
                <w:bCs/>
              </w:rPr>
              <w:t>Ministerial guidance</w:t>
            </w:r>
          </w:p>
        </w:tc>
        <w:tc>
          <w:tcPr>
            <w:tcW w:w="6044" w:type="dxa"/>
            <w:shd w:val="clear" w:color="auto" w:fill="E4E8EE" w:themeFill="text1" w:themeFillTint="1A"/>
          </w:tcPr>
          <w:p w14:paraId="6BAA2DAE" w14:textId="668F5144" w:rsidR="00A62492" w:rsidRPr="00B669BC" w:rsidRDefault="00A62492" w:rsidP="00A62492">
            <w:pPr>
              <w:pStyle w:val="NormalIndent"/>
              <w:ind w:left="0"/>
            </w:pPr>
            <w:r w:rsidRPr="00B669BC">
              <w:t>Portfolio Minister</w:t>
            </w:r>
            <w:r w:rsidR="004A0E8D">
              <w:t>s</w:t>
            </w:r>
            <w:r w:rsidRPr="00B669BC">
              <w:t xml:space="preserve"> </w:t>
            </w:r>
            <w:r w:rsidR="004A0E8D">
              <w:t xml:space="preserve">are </w:t>
            </w:r>
            <w:r w:rsidRPr="00B669BC">
              <w:t>to issue a letter outlining their expectations.</w:t>
            </w:r>
          </w:p>
          <w:p w14:paraId="7AA76EE2" w14:textId="77777777" w:rsidR="00A62492" w:rsidRDefault="00A62492" w:rsidP="00A62492">
            <w:pPr>
              <w:pStyle w:val="NormalIndent"/>
              <w:ind w:left="0"/>
            </w:pPr>
            <w:r w:rsidRPr="00B669BC">
              <w:t>These expectations will usually be based on a three-way discussion with the portfolio Minister, regulator and department on the government’s priorities and emerging risks.</w:t>
            </w:r>
          </w:p>
        </w:tc>
      </w:tr>
      <w:tr w:rsidR="00A62492" w14:paraId="5DA25B10" w14:textId="77777777" w:rsidTr="00A62492">
        <w:tc>
          <w:tcPr>
            <w:tcW w:w="2268" w:type="dxa"/>
            <w:shd w:val="clear" w:color="auto" w:fill="99DDF6" w:themeFill="background2" w:themeFillShade="E6"/>
            <w:vAlign w:val="center"/>
          </w:tcPr>
          <w:p w14:paraId="6A7C9491" w14:textId="77777777" w:rsidR="00A62492" w:rsidRPr="00EC2F04" w:rsidRDefault="00A62492" w:rsidP="00A62492">
            <w:pPr>
              <w:pStyle w:val="NormalIndent"/>
              <w:ind w:left="0"/>
              <w:rPr>
                <w:b/>
                <w:bCs/>
              </w:rPr>
            </w:pPr>
            <w:r w:rsidRPr="00EC2F04">
              <w:rPr>
                <w:b/>
                <w:bCs/>
              </w:rPr>
              <w:t>Business planning</w:t>
            </w:r>
          </w:p>
        </w:tc>
        <w:tc>
          <w:tcPr>
            <w:tcW w:w="6044" w:type="dxa"/>
            <w:shd w:val="clear" w:color="auto" w:fill="E4E8EE" w:themeFill="text1" w:themeFillTint="1A"/>
          </w:tcPr>
          <w:p w14:paraId="485C603B" w14:textId="77777777" w:rsidR="00A62492" w:rsidRPr="00B669BC" w:rsidRDefault="00A62492" w:rsidP="00A62492">
            <w:pPr>
              <w:pStyle w:val="NormalIndent"/>
              <w:ind w:left="0"/>
            </w:pPr>
            <w:r w:rsidRPr="00B669BC">
              <w:t>Ministerial expectations are to be incorporated into the regulator’s existing business planning processes.</w:t>
            </w:r>
          </w:p>
          <w:p w14:paraId="1AE4A44F" w14:textId="19936444" w:rsidR="00A62492" w:rsidRDefault="00A62492" w:rsidP="00A62492">
            <w:pPr>
              <w:pStyle w:val="NormalIndent"/>
              <w:ind w:left="0"/>
            </w:pPr>
            <w:r w:rsidRPr="00B669BC">
              <w:t xml:space="preserve">Regulator’s </w:t>
            </w:r>
            <w:r w:rsidR="00FC1582">
              <w:t>business</w:t>
            </w:r>
            <w:r w:rsidR="00FC1582" w:rsidRPr="00B669BC">
              <w:t xml:space="preserve"> </w:t>
            </w:r>
            <w:r w:rsidRPr="00B669BC">
              <w:t xml:space="preserve">plans </w:t>
            </w:r>
            <w:r>
              <w:t xml:space="preserve">are </w:t>
            </w:r>
            <w:r w:rsidRPr="00B669BC">
              <w:t>to clearly show how they will meet the Minister’s expectations</w:t>
            </w:r>
            <w:r>
              <w:t xml:space="preserve"> and when Ministerial letters are to be updated or renewed</w:t>
            </w:r>
            <w:r w:rsidRPr="00B669BC">
              <w:t>.</w:t>
            </w:r>
          </w:p>
          <w:p w14:paraId="50801B41" w14:textId="77777777" w:rsidR="00A62492" w:rsidRDefault="00A62492" w:rsidP="00A62492">
            <w:pPr>
              <w:pStyle w:val="NormalIndent"/>
              <w:ind w:left="0"/>
            </w:pPr>
            <w:r w:rsidRPr="00EC2F04">
              <w:t>Annual light touch reviews to fine tune Minister’s letter</w:t>
            </w:r>
            <w:r>
              <w:t xml:space="preserve"> </w:t>
            </w:r>
            <w:r w:rsidRPr="001C0525">
              <w:t>and milestones, if required.</w:t>
            </w:r>
          </w:p>
        </w:tc>
      </w:tr>
      <w:tr w:rsidR="00A62492" w14:paraId="6A1244B0" w14:textId="77777777" w:rsidTr="00A62492">
        <w:tc>
          <w:tcPr>
            <w:tcW w:w="2268" w:type="dxa"/>
            <w:shd w:val="clear" w:color="auto" w:fill="99DDF6" w:themeFill="background2" w:themeFillShade="E6"/>
            <w:vAlign w:val="center"/>
          </w:tcPr>
          <w:p w14:paraId="388C5579" w14:textId="77777777" w:rsidR="00A62492" w:rsidRPr="00EC2F04" w:rsidRDefault="00A62492" w:rsidP="00A62492">
            <w:pPr>
              <w:pStyle w:val="NormalIndent"/>
              <w:ind w:left="0"/>
              <w:rPr>
                <w:b/>
                <w:bCs/>
              </w:rPr>
            </w:pPr>
            <w:r w:rsidRPr="00EC2F04">
              <w:rPr>
                <w:b/>
                <w:bCs/>
              </w:rPr>
              <w:t>Reporting</w:t>
            </w:r>
          </w:p>
        </w:tc>
        <w:tc>
          <w:tcPr>
            <w:tcW w:w="6044" w:type="dxa"/>
            <w:shd w:val="clear" w:color="auto" w:fill="E4E8EE" w:themeFill="text1" w:themeFillTint="1A"/>
          </w:tcPr>
          <w:p w14:paraId="7AB7C291" w14:textId="467A35DB" w:rsidR="00A62492" w:rsidRPr="00EC2F04" w:rsidRDefault="00A62492" w:rsidP="00A62492">
            <w:pPr>
              <w:pStyle w:val="NormalIndent"/>
              <w:ind w:left="0"/>
            </w:pPr>
            <w:r w:rsidRPr="00EC2F04">
              <w:t xml:space="preserve">Business plans to include milestones to report on </w:t>
            </w:r>
            <w:r w:rsidR="00D9663C">
              <w:t>regulators’</w:t>
            </w:r>
            <w:r>
              <w:t xml:space="preserve"> </w:t>
            </w:r>
            <w:r w:rsidRPr="00EC2F04">
              <w:t xml:space="preserve">progress </w:t>
            </w:r>
            <w:r>
              <w:t xml:space="preserve">in meeting their Minister’s expectations </w:t>
            </w:r>
            <w:r w:rsidRPr="00EC2F04">
              <w:t>and</w:t>
            </w:r>
            <w:r w:rsidR="00FC1582">
              <w:t xml:space="preserve"> when</w:t>
            </w:r>
            <w:r w:rsidRPr="00EC2F04">
              <w:t xml:space="preserve"> to </w:t>
            </w:r>
            <w:r w:rsidR="00FC1582">
              <w:t xml:space="preserve">propose </w:t>
            </w:r>
            <w:r w:rsidRPr="00EC2F04">
              <w:t>update</w:t>
            </w:r>
            <w:r w:rsidR="00FC1582">
              <w:t>s</w:t>
            </w:r>
            <w:r w:rsidRPr="00EC2F04">
              <w:t xml:space="preserve"> </w:t>
            </w:r>
            <w:r w:rsidR="00FC1582">
              <w:t>to their</w:t>
            </w:r>
            <w:r w:rsidRPr="00EC2F04">
              <w:t xml:space="preserve"> Ministerial letters.</w:t>
            </w:r>
          </w:p>
          <w:p w14:paraId="6222BF50" w14:textId="3220FD3F" w:rsidR="00A62492" w:rsidRDefault="00A62492" w:rsidP="00A62492">
            <w:pPr>
              <w:pStyle w:val="NormalIndent"/>
              <w:ind w:left="0"/>
            </w:pPr>
            <w:r w:rsidRPr="00EC2F04">
              <w:t>Portfolio Minister</w:t>
            </w:r>
            <w:r>
              <w:t>s can</w:t>
            </w:r>
            <w:r w:rsidRPr="00EC2F04">
              <w:t xml:space="preserve"> request reports or issue a new letter at any time.</w:t>
            </w:r>
          </w:p>
        </w:tc>
      </w:tr>
      <w:tr w:rsidR="00A62492" w14:paraId="0E16F250" w14:textId="77777777" w:rsidTr="00A62492">
        <w:tc>
          <w:tcPr>
            <w:tcW w:w="2268" w:type="dxa"/>
            <w:shd w:val="clear" w:color="auto" w:fill="99DDF6" w:themeFill="background2" w:themeFillShade="E6"/>
            <w:vAlign w:val="center"/>
          </w:tcPr>
          <w:p w14:paraId="59E211F7" w14:textId="77777777" w:rsidR="00A62492" w:rsidRPr="00EC2F04" w:rsidRDefault="00A62492" w:rsidP="00A62492">
            <w:pPr>
              <w:pStyle w:val="NormalIndent"/>
              <w:ind w:left="0"/>
              <w:rPr>
                <w:b/>
                <w:bCs/>
              </w:rPr>
            </w:pPr>
            <w:r w:rsidRPr="00EC2F04">
              <w:rPr>
                <w:b/>
                <w:bCs/>
              </w:rPr>
              <w:t>Accountability</w:t>
            </w:r>
          </w:p>
        </w:tc>
        <w:tc>
          <w:tcPr>
            <w:tcW w:w="6044" w:type="dxa"/>
            <w:shd w:val="clear" w:color="auto" w:fill="E4E8EE" w:themeFill="text1" w:themeFillTint="1A"/>
          </w:tcPr>
          <w:p w14:paraId="50D81E80" w14:textId="0BD574EE" w:rsidR="00A62492" w:rsidRDefault="00A62492" w:rsidP="00A62492">
            <w:pPr>
              <w:pStyle w:val="NormalIndent"/>
              <w:ind w:left="0"/>
            </w:pPr>
            <w:r w:rsidRPr="00EC2F04">
              <w:t xml:space="preserve">Regulators are required to comply with existing </w:t>
            </w:r>
            <w:bookmarkStart w:id="7" w:name="_Hlk78292301"/>
            <w:r w:rsidRPr="00EC2F04">
              <w:t xml:space="preserve">accountability frameworks such as those established under the </w:t>
            </w:r>
            <w:r w:rsidR="000D1A78" w:rsidRPr="001C0525">
              <w:rPr>
                <w:i/>
                <w:iCs/>
              </w:rPr>
              <w:t>Public Administration Act 2004</w:t>
            </w:r>
            <w:r w:rsidR="000D1A78">
              <w:rPr>
                <w:i/>
                <w:iCs/>
              </w:rPr>
              <w:t xml:space="preserve">, </w:t>
            </w:r>
            <w:r w:rsidRPr="00EC2F04">
              <w:rPr>
                <w:i/>
                <w:iCs/>
              </w:rPr>
              <w:t xml:space="preserve">Financial Management Act </w:t>
            </w:r>
            <w:r w:rsidRPr="00EC2F04">
              <w:t>and in their own legislation</w:t>
            </w:r>
            <w:bookmarkEnd w:id="7"/>
            <w:r w:rsidRPr="00EC2F04">
              <w:t>.</w:t>
            </w:r>
          </w:p>
        </w:tc>
      </w:tr>
      <w:tr w:rsidR="00A62492" w14:paraId="3B55760C" w14:textId="77777777" w:rsidTr="00A62492">
        <w:tc>
          <w:tcPr>
            <w:tcW w:w="2268" w:type="dxa"/>
            <w:shd w:val="clear" w:color="auto" w:fill="99DDF6" w:themeFill="background2" w:themeFillShade="E6"/>
            <w:vAlign w:val="center"/>
          </w:tcPr>
          <w:p w14:paraId="215AAA6D" w14:textId="77777777" w:rsidR="00A62492" w:rsidRPr="00EC2F04" w:rsidRDefault="00A62492" w:rsidP="00A62492">
            <w:pPr>
              <w:pStyle w:val="NormalIndent"/>
              <w:ind w:left="0"/>
              <w:rPr>
                <w:b/>
                <w:bCs/>
              </w:rPr>
            </w:pPr>
            <w:r w:rsidRPr="00EC2F04">
              <w:rPr>
                <w:b/>
                <w:bCs/>
              </w:rPr>
              <w:t>Regulator best practice guidance</w:t>
            </w:r>
          </w:p>
        </w:tc>
        <w:tc>
          <w:tcPr>
            <w:tcW w:w="6044" w:type="dxa"/>
            <w:shd w:val="clear" w:color="auto" w:fill="E4E8EE" w:themeFill="text1" w:themeFillTint="1A"/>
          </w:tcPr>
          <w:p w14:paraId="2E48D664" w14:textId="52E64F3A" w:rsidR="00A62492" w:rsidRDefault="00A62492" w:rsidP="00A62492">
            <w:pPr>
              <w:pStyle w:val="NormalIndent"/>
              <w:ind w:left="0"/>
            </w:pPr>
            <w:bookmarkStart w:id="8" w:name="_Hlk78292322"/>
            <w:r w:rsidRPr="00EC2F04">
              <w:t xml:space="preserve">Better Regulation Victoria </w:t>
            </w:r>
            <w:bookmarkEnd w:id="8"/>
            <w:r w:rsidR="00F2563E">
              <w:t>has developed a guide to support regulators in meeting their Minister’s expectations</w:t>
            </w:r>
            <w:r w:rsidR="005E09E7">
              <w:t xml:space="preserve">. Titled </w:t>
            </w:r>
            <w:r w:rsidR="005E09E7" w:rsidRPr="007717FD">
              <w:rPr>
                <w:i/>
                <w:iCs/>
              </w:rPr>
              <w:t>Towards Best Practice- A guide for regulators</w:t>
            </w:r>
            <w:r w:rsidR="005E09E7" w:rsidRPr="00B90434">
              <w:t xml:space="preserve">, it </w:t>
            </w:r>
            <w:r w:rsidR="005E09E7">
              <w:t xml:space="preserve">can be accessed at: </w:t>
            </w:r>
            <w:hyperlink r:id="rId30" w:history="1">
              <w:r w:rsidR="005E09E7" w:rsidRPr="005E09E7">
                <w:rPr>
                  <w:rStyle w:val="Hyperlink"/>
                </w:rPr>
                <w:t>www.vic.gov.au/towards-best-practice-guide-regulators</w:t>
              </w:r>
            </w:hyperlink>
          </w:p>
        </w:tc>
      </w:tr>
    </w:tbl>
    <w:p w14:paraId="229ABF69" w14:textId="77777777" w:rsidR="00A62492" w:rsidRPr="00A62492" w:rsidRDefault="00A62492" w:rsidP="00A62492">
      <w:pPr>
        <w:pStyle w:val="NormalIndent"/>
      </w:pPr>
    </w:p>
    <w:p w14:paraId="675A070E" w14:textId="604BFE52" w:rsidR="007F623F" w:rsidRPr="007F623F" w:rsidRDefault="00FB273F" w:rsidP="00A62492">
      <w:pPr>
        <w:pStyle w:val="Heading3numbered"/>
        <w:tabs>
          <w:tab w:val="clear" w:pos="1642"/>
          <w:tab w:val="num" w:pos="792"/>
        </w:tabs>
        <w:ind w:left="792"/>
      </w:pPr>
      <w:r>
        <w:t>Minister</w:t>
      </w:r>
      <w:r w:rsidR="00A62492">
        <w:t>’s</w:t>
      </w:r>
      <w:r>
        <w:t xml:space="preserve"> letter</w:t>
      </w:r>
    </w:p>
    <w:p w14:paraId="14DC11E1" w14:textId="5A1D39CE" w:rsidR="00FB273F" w:rsidRDefault="00FB273F" w:rsidP="00F120B3">
      <w:pPr>
        <w:pStyle w:val="NormalIndent"/>
        <w:ind w:left="720"/>
        <w:jc w:val="both"/>
      </w:pPr>
      <w:r w:rsidRPr="00FB273F">
        <w:t>Portfolio Ministers are to issue a letter outlining the</w:t>
      </w:r>
      <w:r w:rsidR="00F125C8">
        <w:t>ir expectations for the regulator</w:t>
      </w:r>
      <w:r w:rsidRPr="00FB273F">
        <w:t xml:space="preserve">. </w:t>
      </w:r>
      <w:r w:rsidR="005D5950">
        <w:t>A</w:t>
      </w:r>
      <w:r w:rsidR="005D5950" w:rsidRPr="00FB273F">
        <w:t xml:space="preserve">n example </w:t>
      </w:r>
      <w:r w:rsidR="005D5950">
        <w:t xml:space="preserve">of a Ministerial </w:t>
      </w:r>
      <w:r w:rsidR="005D5950" w:rsidRPr="00FB273F">
        <w:t>letter</w:t>
      </w:r>
      <w:r w:rsidR="005D5950">
        <w:t xml:space="preserve"> is available a</w:t>
      </w:r>
      <w:r w:rsidR="002701BA">
        <w:t>t</w:t>
      </w:r>
      <w:r w:rsidR="005D5950">
        <w:t xml:space="preserve"> </w:t>
      </w:r>
      <w:r w:rsidR="00F120B3">
        <w:t>Attachment</w:t>
      </w:r>
      <w:r>
        <w:t xml:space="preserve"> 2</w:t>
      </w:r>
      <w:r w:rsidRPr="00FB273F">
        <w:t>.</w:t>
      </w:r>
    </w:p>
    <w:p w14:paraId="59A6978A" w14:textId="290764B3" w:rsidR="00FB273F" w:rsidRDefault="00FC217C" w:rsidP="00FC217C">
      <w:pPr>
        <w:pStyle w:val="NormalIndent"/>
        <w:ind w:left="720"/>
        <w:jc w:val="both"/>
      </w:pPr>
      <w:r>
        <w:t xml:space="preserve">These letters </w:t>
      </w:r>
      <w:r w:rsidR="003E494D">
        <w:t>are to</w:t>
      </w:r>
      <w:r>
        <w:t xml:space="preserve"> be based on </w:t>
      </w:r>
      <w:r w:rsidRPr="00FC217C">
        <w:t>a dialogue</w:t>
      </w:r>
      <w:r>
        <w:t xml:space="preserve"> </w:t>
      </w:r>
      <w:r w:rsidR="00FC1582">
        <w:t>between the Minister</w:t>
      </w:r>
      <w:r w:rsidR="00917571">
        <w:t>,</w:t>
      </w:r>
      <w:r w:rsidR="00FC1582">
        <w:t xml:space="preserve"> </w:t>
      </w:r>
      <w:r w:rsidR="00917571">
        <w:t xml:space="preserve">department </w:t>
      </w:r>
      <w:r w:rsidR="00FC1582">
        <w:t xml:space="preserve">and regulator </w:t>
      </w:r>
      <w:r>
        <w:t xml:space="preserve">to clarify the government’s priorities and to identify emerging risks. </w:t>
      </w:r>
      <w:r w:rsidR="00917571">
        <w:t xml:space="preserve">During consultation for </w:t>
      </w:r>
      <w:r w:rsidR="00815337">
        <w:t xml:space="preserve">developing </w:t>
      </w:r>
      <w:r w:rsidR="00917571">
        <w:t xml:space="preserve">this Framework, regulators noted that the formal discussions with their Minister in developing their SOE letter was a </w:t>
      </w:r>
      <w:r w:rsidR="00815337">
        <w:t xml:space="preserve">major </w:t>
      </w:r>
      <w:r w:rsidR="00917571">
        <w:t>benefi</w:t>
      </w:r>
      <w:r w:rsidR="00815337">
        <w:t>t of the SOE</w:t>
      </w:r>
      <w:r w:rsidR="00917571">
        <w:t xml:space="preserve"> process</w:t>
      </w:r>
      <w:r w:rsidR="005D5950">
        <w:t>.</w:t>
      </w:r>
      <w:r w:rsidR="00F120B3">
        <w:t xml:space="preserve"> </w:t>
      </w:r>
      <w:r w:rsidR="005D5950">
        <w:t>R</w:t>
      </w:r>
      <w:r w:rsidR="00FB273F" w:rsidRPr="00FB273F">
        <w:t xml:space="preserve">etaining </w:t>
      </w:r>
      <w:r w:rsidR="000B1F6A">
        <w:t xml:space="preserve">and strengthening </w:t>
      </w:r>
      <w:r w:rsidR="00815337">
        <w:t>these discussions</w:t>
      </w:r>
      <w:r w:rsidR="00C51ADA" w:rsidRPr="00FB273F">
        <w:t xml:space="preserve"> </w:t>
      </w:r>
      <w:r w:rsidR="00C26333">
        <w:t>is to be a key feature</w:t>
      </w:r>
      <w:r w:rsidR="00FB273F" w:rsidRPr="00FB273F">
        <w:t xml:space="preserve"> of </w:t>
      </w:r>
      <w:r w:rsidR="00FB25C9">
        <w:t>th</w:t>
      </w:r>
      <w:r w:rsidR="00815337">
        <w:t>is revised</w:t>
      </w:r>
      <w:r w:rsidR="00FB25C9">
        <w:t xml:space="preserve"> process</w:t>
      </w:r>
      <w:r w:rsidR="00FB273F" w:rsidRPr="00FB273F">
        <w:t>.</w:t>
      </w:r>
    </w:p>
    <w:p w14:paraId="0627B324" w14:textId="77777777" w:rsidR="00D9663C" w:rsidRDefault="00D9663C" w:rsidP="00C445C8">
      <w:pPr>
        <w:pStyle w:val="NormalIndent"/>
        <w:ind w:left="720"/>
        <w:jc w:val="both"/>
      </w:pPr>
    </w:p>
    <w:p w14:paraId="4F255892" w14:textId="77777777" w:rsidR="00D9663C" w:rsidRDefault="00D9663C" w:rsidP="00C445C8">
      <w:pPr>
        <w:pStyle w:val="NormalIndent"/>
        <w:ind w:left="720"/>
        <w:jc w:val="both"/>
      </w:pPr>
    </w:p>
    <w:p w14:paraId="5E148542" w14:textId="52A4EF30" w:rsidR="00C445C8" w:rsidRPr="00FB273F" w:rsidRDefault="00F125C8" w:rsidP="00C445C8">
      <w:pPr>
        <w:pStyle w:val="NormalIndent"/>
        <w:ind w:left="720"/>
        <w:jc w:val="both"/>
      </w:pPr>
      <w:r w:rsidRPr="001C0525">
        <w:lastRenderedPageBreak/>
        <w:t xml:space="preserve">Unlike the previous Framework, </w:t>
      </w:r>
      <w:r w:rsidR="00C445C8" w:rsidRPr="001C0525">
        <w:t xml:space="preserve">Ministers aren’t </w:t>
      </w:r>
      <w:r w:rsidRPr="001C0525">
        <w:t>required</w:t>
      </w:r>
      <w:r w:rsidR="00C445C8" w:rsidRPr="001C0525">
        <w:t xml:space="preserve"> </w:t>
      </w:r>
      <w:r w:rsidR="003D14D1" w:rsidRPr="001C0525">
        <w:t xml:space="preserve">to </w:t>
      </w:r>
      <w:r w:rsidRPr="001C0525">
        <w:t xml:space="preserve">cover </w:t>
      </w:r>
      <w:r w:rsidR="0046309D" w:rsidRPr="001C0525">
        <w:t>specified</w:t>
      </w:r>
      <w:r w:rsidR="003D14D1" w:rsidRPr="001C0525">
        <w:t xml:space="preserve"> elements of good regulatory practice and</w:t>
      </w:r>
      <w:r w:rsidR="003D14D1">
        <w:t xml:space="preserve"> </w:t>
      </w:r>
      <w:r w:rsidR="00C445C8">
        <w:t xml:space="preserve">can include a </w:t>
      </w:r>
      <w:r w:rsidR="0046309D">
        <w:t xml:space="preserve">larger </w:t>
      </w:r>
      <w:r w:rsidR="00C445C8" w:rsidRPr="00FB273F">
        <w:t>range of expectations</w:t>
      </w:r>
      <w:r>
        <w:t>. These could</w:t>
      </w:r>
      <w:r w:rsidR="00C445C8">
        <w:t xml:space="preserve"> </w:t>
      </w:r>
      <w:r w:rsidR="00C445C8" w:rsidRPr="00FB273F">
        <w:t>inclu</w:t>
      </w:r>
      <w:r w:rsidR="00C445C8">
        <w:t>d</w:t>
      </w:r>
      <w:r w:rsidR="00F17ED9">
        <w:t>e</w:t>
      </w:r>
      <w:r w:rsidR="00C445C8" w:rsidRPr="00FB273F">
        <w:t xml:space="preserve"> expressing a view about:</w:t>
      </w:r>
    </w:p>
    <w:p w14:paraId="544929CA" w14:textId="77777777" w:rsidR="00C445C8" w:rsidRPr="00FB273F" w:rsidRDefault="00C445C8" w:rsidP="00C445C8">
      <w:pPr>
        <w:pStyle w:val="NormalIndent"/>
        <w:numPr>
          <w:ilvl w:val="0"/>
          <w:numId w:val="12"/>
        </w:numPr>
        <w:jc w:val="both"/>
      </w:pPr>
      <w:r>
        <w:t xml:space="preserve">a </w:t>
      </w:r>
      <w:r w:rsidRPr="00FB273F">
        <w:t>government policy, such as an election commitment, that the Minister wants the regulator to be aware of or to contribute to its implementation.</w:t>
      </w:r>
    </w:p>
    <w:p w14:paraId="15D50B0B" w14:textId="77777777" w:rsidR="00C445C8" w:rsidRPr="00FB273F" w:rsidRDefault="00C445C8" w:rsidP="00C445C8">
      <w:pPr>
        <w:pStyle w:val="NormalIndent"/>
        <w:numPr>
          <w:ilvl w:val="0"/>
          <w:numId w:val="12"/>
        </w:numPr>
        <w:jc w:val="both"/>
      </w:pPr>
      <w:r w:rsidRPr="00FB273F">
        <w:t>the regulatory philosophy or approach to engagement that the regulator should adopt</w:t>
      </w:r>
    </w:p>
    <w:p w14:paraId="2915649D" w14:textId="77777777" w:rsidR="00C445C8" w:rsidRPr="00FB273F" w:rsidRDefault="00C445C8" w:rsidP="00C445C8">
      <w:pPr>
        <w:pStyle w:val="NormalIndent"/>
        <w:numPr>
          <w:ilvl w:val="1"/>
          <w:numId w:val="21"/>
        </w:numPr>
        <w:jc w:val="both"/>
      </w:pPr>
      <w:r w:rsidRPr="00FB273F">
        <w:t xml:space="preserve">for example, the need to take strong enforcement action against </w:t>
      </w:r>
      <w:r>
        <w:t xml:space="preserve">certain </w:t>
      </w:r>
      <w:r w:rsidRPr="00FB273F">
        <w:t xml:space="preserve">behaviours or the need to actively engage with </w:t>
      </w:r>
      <w:r>
        <w:t>certain</w:t>
      </w:r>
      <w:r w:rsidRPr="00FB273F">
        <w:t xml:space="preserve"> regulated entities.</w:t>
      </w:r>
    </w:p>
    <w:p w14:paraId="34C196AE" w14:textId="77777777" w:rsidR="00C445C8" w:rsidRPr="00FB273F" w:rsidRDefault="00C445C8" w:rsidP="00C445C8">
      <w:pPr>
        <w:pStyle w:val="NormalIndent"/>
        <w:numPr>
          <w:ilvl w:val="0"/>
          <w:numId w:val="12"/>
        </w:numPr>
        <w:jc w:val="both"/>
      </w:pPr>
      <w:r w:rsidRPr="00FB273F">
        <w:t>the regulator’s performance</w:t>
      </w:r>
    </w:p>
    <w:p w14:paraId="01BE5B2B" w14:textId="5018F452" w:rsidR="00C445C8" w:rsidRPr="00FB273F" w:rsidRDefault="00C445C8" w:rsidP="00C445C8">
      <w:pPr>
        <w:pStyle w:val="NormalIndent"/>
        <w:numPr>
          <w:ilvl w:val="1"/>
          <w:numId w:val="22"/>
        </w:numPr>
        <w:jc w:val="both"/>
      </w:pPr>
      <w:r w:rsidRPr="00FB273F">
        <w:t>for example, concerns about the delivery of outputs or how the regulator is responding to a V</w:t>
      </w:r>
      <w:r w:rsidR="00474D06">
        <w:t xml:space="preserve">ictorian </w:t>
      </w:r>
      <w:r w:rsidRPr="00FB273F">
        <w:t>A</w:t>
      </w:r>
      <w:r w:rsidR="00474D06">
        <w:t>uditor -</w:t>
      </w:r>
      <w:r w:rsidRPr="00FB273F">
        <w:t>G</w:t>
      </w:r>
      <w:r w:rsidR="00474D06">
        <w:t xml:space="preserve">eneral’s </w:t>
      </w:r>
      <w:r w:rsidRPr="00FB273F">
        <w:t>O</w:t>
      </w:r>
      <w:r w:rsidR="00474D06">
        <w:t>ffice</w:t>
      </w:r>
      <w:r w:rsidRPr="00FB273F">
        <w:t xml:space="preserve"> or a Royal Commission report.</w:t>
      </w:r>
    </w:p>
    <w:p w14:paraId="7EBC3ECF" w14:textId="77777777" w:rsidR="00C445C8" w:rsidRPr="00FB273F" w:rsidRDefault="00C445C8" w:rsidP="00C445C8">
      <w:pPr>
        <w:pStyle w:val="NormalIndent"/>
        <w:numPr>
          <w:ilvl w:val="0"/>
          <w:numId w:val="12"/>
        </w:numPr>
        <w:jc w:val="both"/>
      </w:pPr>
      <w:r w:rsidRPr="00FB273F">
        <w:t>the regulator’s behaviour or conduct</w:t>
      </w:r>
    </w:p>
    <w:p w14:paraId="16C28244" w14:textId="6D19850C" w:rsidR="00C445C8" w:rsidRPr="00FB273F" w:rsidRDefault="00C445C8" w:rsidP="00C445C8">
      <w:pPr>
        <w:pStyle w:val="NormalIndent"/>
        <w:numPr>
          <w:ilvl w:val="1"/>
          <w:numId w:val="23"/>
        </w:numPr>
        <w:jc w:val="both"/>
      </w:pPr>
      <w:r w:rsidRPr="00FB273F">
        <w:t>for example, the regulator</w:t>
      </w:r>
      <w:r w:rsidR="002701BA">
        <w:t>’</w:t>
      </w:r>
      <w:r w:rsidRPr="00FB273F">
        <w:t>s use of public money, or provision of bonuses or failure to keep Ministers properly informed. If this information is sensitive, Ministers may exempt the regulator from making their letter publicly available.</w:t>
      </w:r>
    </w:p>
    <w:p w14:paraId="18DCA26B" w14:textId="58AF33A1" w:rsidR="00815337" w:rsidRDefault="00815337" w:rsidP="00C445C8">
      <w:pPr>
        <w:pStyle w:val="NormalIndent"/>
        <w:ind w:left="720"/>
        <w:jc w:val="both"/>
      </w:pPr>
      <w:r>
        <w:t xml:space="preserve">Ministers </w:t>
      </w:r>
      <w:r w:rsidR="00C26333">
        <w:t>don’t need to</w:t>
      </w:r>
      <w:r>
        <w:t xml:space="preserve"> cover existing statutory requirements </w:t>
      </w:r>
      <w:r w:rsidRPr="001C0525">
        <w:t>in their letter</w:t>
      </w:r>
      <w:r>
        <w:t>.</w:t>
      </w:r>
    </w:p>
    <w:p w14:paraId="3F0C26DF" w14:textId="689435B0" w:rsidR="00C445C8" w:rsidRDefault="00C445C8" w:rsidP="00C445C8">
      <w:pPr>
        <w:pStyle w:val="NormalIndent"/>
        <w:ind w:left="720"/>
        <w:jc w:val="both"/>
      </w:pPr>
      <w:r>
        <w:t xml:space="preserve">In their letter, </w:t>
      </w:r>
      <w:r w:rsidRPr="00FB273F">
        <w:t>Minister</w:t>
      </w:r>
      <w:r w:rsidR="003D14D1">
        <w:t>s</w:t>
      </w:r>
      <w:r>
        <w:t xml:space="preserve"> </w:t>
      </w:r>
      <w:r w:rsidRPr="00FB273F">
        <w:t>should include actions the</w:t>
      </w:r>
      <w:r>
        <w:t>y expect the</w:t>
      </w:r>
      <w:r w:rsidRPr="00FB273F">
        <w:t xml:space="preserve"> regulator to take in response to the</w:t>
      </w:r>
      <w:r>
        <w:t>ir</w:t>
      </w:r>
      <w:r w:rsidRPr="00FB273F">
        <w:t xml:space="preserve"> expectations.</w:t>
      </w:r>
    </w:p>
    <w:p w14:paraId="508A6C39" w14:textId="22F227C9" w:rsidR="005C3864" w:rsidRPr="001C0525" w:rsidRDefault="005C3864" w:rsidP="005C3864">
      <w:pPr>
        <w:pStyle w:val="NormalIndent"/>
        <w:ind w:left="720"/>
        <w:jc w:val="both"/>
      </w:pPr>
      <w:r w:rsidRPr="001C0525">
        <w:t>When setting their expectations, Ministers should consider their regulator</w:t>
      </w:r>
      <w:r w:rsidR="006C1B98" w:rsidRPr="001C0525">
        <w:t>’</w:t>
      </w:r>
      <w:r w:rsidRPr="001C0525">
        <w:t>s funding capacity and capabilities to deliver on their expectations and tailor their expectations accordingly.</w:t>
      </w:r>
    </w:p>
    <w:p w14:paraId="1239E7E6" w14:textId="200227C3" w:rsidR="00341D97" w:rsidRPr="001C0525" w:rsidRDefault="00F125C8" w:rsidP="00C445C8">
      <w:pPr>
        <w:pStyle w:val="NormalIndent"/>
        <w:ind w:left="720"/>
        <w:jc w:val="both"/>
      </w:pPr>
      <w:r w:rsidRPr="001C0525">
        <w:t>Ministers</w:t>
      </w:r>
      <w:r w:rsidR="006C1B98" w:rsidRPr="001C0525">
        <w:t>’</w:t>
      </w:r>
      <w:r w:rsidRPr="001C0525">
        <w:t xml:space="preserve"> expectations are to be incorporat</w:t>
      </w:r>
      <w:r w:rsidR="006C1B98" w:rsidRPr="001C0525">
        <w:t>ed</w:t>
      </w:r>
      <w:r w:rsidRPr="001C0525">
        <w:t xml:space="preserve"> into regulators</w:t>
      </w:r>
      <w:r w:rsidR="006C1B98" w:rsidRPr="001C0525">
        <w:t>’</w:t>
      </w:r>
      <w:r w:rsidRPr="001C0525">
        <w:t xml:space="preserve"> existing business planning processes and these processes are to include milestones </w:t>
      </w:r>
      <w:r w:rsidR="00F17ED9" w:rsidRPr="001C0525">
        <w:t>for</w:t>
      </w:r>
      <w:r w:rsidRPr="001C0525">
        <w:t xml:space="preserve"> reporting on the regulator</w:t>
      </w:r>
      <w:r w:rsidR="006C1B98" w:rsidRPr="001C0525">
        <w:t>’</w:t>
      </w:r>
      <w:r w:rsidRPr="001C0525">
        <w:t>s progress in meeting the</w:t>
      </w:r>
      <w:r w:rsidR="006C1B98" w:rsidRPr="001C0525">
        <w:t>ir</w:t>
      </w:r>
      <w:r w:rsidRPr="001C0525">
        <w:t xml:space="preserve"> Minister’s expectations. </w:t>
      </w:r>
      <w:r w:rsidR="00571177" w:rsidRPr="001C0525">
        <w:t>The reporting requirements should be customised by the type of expectations included in the letter.</w:t>
      </w:r>
    </w:p>
    <w:p w14:paraId="29D2CCE6" w14:textId="23F91C8B" w:rsidR="00F125C8" w:rsidRPr="001C0525" w:rsidRDefault="00341D97" w:rsidP="00C445C8">
      <w:pPr>
        <w:pStyle w:val="NormalIndent"/>
        <w:ind w:left="720"/>
        <w:jc w:val="both"/>
      </w:pPr>
      <w:r w:rsidRPr="001C0525">
        <w:t>Unlike the previous Framework, Minister</w:t>
      </w:r>
      <w:r w:rsidR="006C1B98" w:rsidRPr="001C0525">
        <w:t>s’</w:t>
      </w:r>
      <w:r w:rsidRPr="001C0525">
        <w:t xml:space="preserve"> letter</w:t>
      </w:r>
      <w:r w:rsidR="0065352B" w:rsidRPr="001C0525">
        <w:t>s</w:t>
      </w:r>
      <w:r w:rsidRPr="001C0525">
        <w:t xml:space="preserve"> </w:t>
      </w:r>
      <w:r w:rsidR="006C1B98" w:rsidRPr="001C0525">
        <w:t>aren’t required to</w:t>
      </w:r>
      <w:r w:rsidR="00F17ED9" w:rsidRPr="001C0525">
        <w:t xml:space="preserve"> have</w:t>
      </w:r>
      <w:r w:rsidRPr="001C0525">
        <w:t xml:space="preserve"> a fixed term. Rather </w:t>
      </w:r>
      <w:r w:rsidR="00F17ED9" w:rsidRPr="001C0525">
        <w:t>they are</w:t>
      </w:r>
      <w:r w:rsidRPr="001C0525">
        <w:t xml:space="preserve"> to be updated or renewed </w:t>
      </w:r>
      <w:r w:rsidR="004A0E8D" w:rsidRPr="001C0525">
        <w:t>as needed</w:t>
      </w:r>
      <w:r w:rsidRPr="001C0525">
        <w:t xml:space="preserve">. </w:t>
      </w:r>
      <w:r w:rsidR="00143891" w:rsidRPr="001C0525">
        <w:t>The</w:t>
      </w:r>
      <w:r w:rsidRPr="001C0525">
        <w:t xml:space="preserve"> regulator’s business planning process</w:t>
      </w:r>
      <w:r w:rsidR="006C1B98" w:rsidRPr="001C0525">
        <w:t>es</w:t>
      </w:r>
      <w:r w:rsidRPr="001C0525">
        <w:t xml:space="preserve"> </w:t>
      </w:r>
      <w:r w:rsidR="006C1B98" w:rsidRPr="001C0525">
        <w:t>are</w:t>
      </w:r>
      <w:r w:rsidR="00F17ED9" w:rsidRPr="001C0525">
        <w:t xml:space="preserve"> </w:t>
      </w:r>
      <w:r w:rsidRPr="001C0525">
        <w:t xml:space="preserve">to include milestones </w:t>
      </w:r>
      <w:r w:rsidR="00F17ED9" w:rsidRPr="001C0525">
        <w:t>for</w:t>
      </w:r>
      <w:r w:rsidR="00143891" w:rsidRPr="001C0525">
        <w:t xml:space="preserve"> </w:t>
      </w:r>
      <w:r w:rsidR="00F17ED9" w:rsidRPr="001C0525">
        <w:t>determining</w:t>
      </w:r>
      <w:r w:rsidR="00143891" w:rsidRPr="001C0525">
        <w:t xml:space="preserve"> when </w:t>
      </w:r>
      <w:r w:rsidR="006C1B98" w:rsidRPr="001C0525">
        <w:t xml:space="preserve">their </w:t>
      </w:r>
      <w:r w:rsidR="00143891" w:rsidRPr="001C0525">
        <w:t>Minister</w:t>
      </w:r>
      <w:r w:rsidR="006C1B98" w:rsidRPr="001C0525">
        <w:t>’s</w:t>
      </w:r>
      <w:r w:rsidR="00143891" w:rsidRPr="001C0525">
        <w:t xml:space="preserve"> letter need</w:t>
      </w:r>
      <w:r w:rsidR="006C1B98" w:rsidRPr="001C0525">
        <w:t>s</w:t>
      </w:r>
      <w:r w:rsidR="00143891" w:rsidRPr="001C0525">
        <w:t xml:space="preserve"> to be</w:t>
      </w:r>
      <w:r w:rsidRPr="001C0525">
        <w:t xml:space="preserve"> updated or renewed</w:t>
      </w:r>
      <w:r w:rsidR="00143891" w:rsidRPr="001C0525">
        <w:t>.</w:t>
      </w:r>
      <w:r w:rsidR="002D523F">
        <w:t xml:space="preserve"> These milestones are likely to coincide with some of the progress reporting milestones.</w:t>
      </w:r>
    </w:p>
    <w:p w14:paraId="0D626117" w14:textId="7EBA2328" w:rsidR="00341D97" w:rsidRPr="001C0525" w:rsidRDefault="00341D97" w:rsidP="00341D97">
      <w:pPr>
        <w:pStyle w:val="NormalIndent"/>
        <w:ind w:left="720"/>
        <w:jc w:val="both"/>
      </w:pPr>
      <w:r w:rsidRPr="001C0525">
        <w:t xml:space="preserve">Given </w:t>
      </w:r>
      <w:r w:rsidR="00F17ED9" w:rsidRPr="001C0525">
        <w:t xml:space="preserve">that </w:t>
      </w:r>
      <w:r w:rsidR="006C1B98" w:rsidRPr="001C0525">
        <w:t xml:space="preserve">the </w:t>
      </w:r>
      <w:r w:rsidRPr="001C0525">
        <w:t xml:space="preserve">Minister’s expectations </w:t>
      </w:r>
      <w:r w:rsidR="00F17ED9" w:rsidRPr="001C0525">
        <w:t xml:space="preserve">are to be incorporated </w:t>
      </w:r>
      <w:r w:rsidRPr="001C0525">
        <w:t xml:space="preserve">into the regulator’s planning processes, Ministers </w:t>
      </w:r>
      <w:r w:rsidR="00F17ED9" w:rsidRPr="001C0525">
        <w:t>will need to</w:t>
      </w:r>
      <w:r w:rsidRPr="001C0525">
        <w:t xml:space="preserve"> consider their regulators’ planning and delivery cycles when determining when to issue their letter and any timelines in their letters for when they expect their regulators to meet their expectations.</w:t>
      </w:r>
    </w:p>
    <w:p w14:paraId="6AD95C51" w14:textId="793B914C" w:rsidR="005C3864" w:rsidRPr="001C0525" w:rsidRDefault="006A24DD" w:rsidP="00F125C8">
      <w:pPr>
        <w:pStyle w:val="NormalIndent"/>
        <w:ind w:left="720"/>
        <w:jc w:val="both"/>
      </w:pPr>
      <w:r w:rsidRPr="001C0525">
        <w:t>While it is preferable that issuing and reporting on Ministers</w:t>
      </w:r>
      <w:r w:rsidR="00C82C97" w:rsidRPr="001C0525">
        <w:t>’</w:t>
      </w:r>
      <w:r w:rsidRPr="001C0525">
        <w:t xml:space="preserve"> letter follow the timelines in the</w:t>
      </w:r>
      <w:r w:rsidR="00C82C97" w:rsidRPr="001C0525">
        <w:t>ir</w:t>
      </w:r>
      <w:r w:rsidRPr="001C0525">
        <w:t xml:space="preserve"> regulators</w:t>
      </w:r>
      <w:r w:rsidR="00C82C97" w:rsidRPr="001C0525">
        <w:t>’</w:t>
      </w:r>
      <w:r w:rsidRPr="001C0525">
        <w:t xml:space="preserve"> planning processes, </w:t>
      </w:r>
      <w:r w:rsidR="002701BA">
        <w:t xml:space="preserve">the </w:t>
      </w:r>
      <w:r w:rsidRPr="001C0525">
        <w:t>Minister can request a report on the</w:t>
      </w:r>
      <w:r w:rsidR="00C82C97" w:rsidRPr="001C0525">
        <w:t>ir</w:t>
      </w:r>
      <w:r w:rsidRPr="001C0525">
        <w:t xml:space="preserve"> regulators</w:t>
      </w:r>
      <w:r w:rsidR="00C82C97" w:rsidRPr="001C0525">
        <w:t>’</w:t>
      </w:r>
      <w:r w:rsidRPr="001C0525">
        <w:t xml:space="preserve"> progress in meeting their expectations or</w:t>
      </w:r>
      <w:r w:rsidR="00C82C97" w:rsidRPr="001C0525">
        <w:t xml:space="preserve"> to </w:t>
      </w:r>
      <w:r w:rsidRPr="001C0525">
        <w:t xml:space="preserve">issue a new letter at any time. </w:t>
      </w:r>
      <w:r w:rsidR="00AF7CB5" w:rsidRPr="001C0525">
        <w:t xml:space="preserve">If a Minister </w:t>
      </w:r>
      <w:r w:rsidR="00FB25C9" w:rsidRPr="001C0525">
        <w:t>is considering</w:t>
      </w:r>
      <w:r w:rsidR="00AF7CB5" w:rsidRPr="001C0525">
        <w:t xml:space="preserve"> issu</w:t>
      </w:r>
      <w:r w:rsidR="00FB25C9" w:rsidRPr="001C0525">
        <w:t>ing</w:t>
      </w:r>
      <w:r w:rsidR="00AF7CB5" w:rsidRPr="001C0525">
        <w:t xml:space="preserve"> a new letter, they</w:t>
      </w:r>
      <w:r w:rsidRPr="001C0525">
        <w:t xml:space="preserve"> should </w:t>
      </w:r>
      <w:r w:rsidR="00AF7CB5" w:rsidRPr="001C0525">
        <w:t xml:space="preserve">consult with the regulator </w:t>
      </w:r>
      <w:r w:rsidR="00FE3ECC" w:rsidRPr="001C0525">
        <w:t>and department and</w:t>
      </w:r>
      <w:r w:rsidR="00AF7CB5" w:rsidRPr="001C0525">
        <w:t xml:space="preserve"> </w:t>
      </w:r>
      <w:r w:rsidRPr="001C0525">
        <w:t>consider the impact on their regulator</w:t>
      </w:r>
      <w:r w:rsidR="00C82C97" w:rsidRPr="001C0525">
        <w:t>’</w:t>
      </w:r>
      <w:r w:rsidRPr="001C0525">
        <w:t>s planning cycles and operations</w:t>
      </w:r>
      <w:r w:rsidR="00AF7CB5" w:rsidRPr="001C0525">
        <w:t xml:space="preserve"> before </w:t>
      </w:r>
      <w:r w:rsidR="00FB25C9" w:rsidRPr="001C0525">
        <w:t>issuing a new letter</w:t>
      </w:r>
      <w:r w:rsidRPr="001C0525">
        <w:t>.</w:t>
      </w:r>
    </w:p>
    <w:p w14:paraId="6DE1896B" w14:textId="66789DBA" w:rsidR="00C82C97" w:rsidRPr="001C0525" w:rsidRDefault="00F125C8" w:rsidP="00F125C8">
      <w:pPr>
        <w:pStyle w:val="NormalIndent"/>
        <w:ind w:left="720"/>
        <w:jc w:val="both"/>
      </w:pPr>
      <w:r w:rsidRPr="001C0525">
        <w:t>There may be some situations whe</w:t>
      </w:r>
      <w:r w:rsidR="00C82C97" w:rsidRPr="001C0525">
        <w:t>re</w:t>
      </w:r>
      <w:r w:rsidRPr="001C0525">
        <w:t xml:space="preserve"> </w:t>
      </w:r>
      <w:r w:rsidR="00FB25C9" w:rsidRPr="001C0525">
        <w:t xml:space="preserve">a Minister may wish to issue a new letter without </w:t>
      </w:r>
      <w:r w:rsidRPr="001C0525">
        <w:t>consult</w:t>
      </w:r>
      <w:r w:rsidR="00FB25C9" w:rsidRPr="001C0525">
        <w:t xml:space="preserve">ing with the regulator, </w:t>
      </w:r>
      <w:r w:rsidRPr="001C0525">
        <w:t xml:space="preserve">such as when there are serious performance or conduct issues with the </w:t>
      </w:r>
      <w:r w:rsidR="00AF7CB5" w:rsidRPr="001C0525">
        <w:t>regulator</w:t>
      </w:r>
      <w:r w:rsidRPr="001C0525">
        <w:t xml:space="preserve">. In these circumstances, the Minister </w:t>
      </w:r>
      <w:r w:rsidR="00FB25C9" w:rsidRPr="001C0525">
        <w:t>can issue a new letter without consultation</w:t>
      </w:r>
      <w:r w:rsidRPr="001C0525">
        <w:t xml:space="preserve"> with the regulator.</w:t>
      </w:r>
    </w:p>
    <w:p w14:paraId="461F7FF3" w14:textId="6F469877" w:rsidR="00F125C8" w:rsidRPr="001C0525" w:rsidRDefault="00C82C97" w:rsidP="00F125C8">
      <w:pPr>
        <w:pStyle w:val="NormalIndent"/>
        <w:ind w:left="720"/>
        <w:jc w:val="both"/>
      </w:pPr>
      <w:r w:rsidRPr="001C0525">
        <w:lastRenderedPageBreak/>
        <w:t>Some regulators are covered by legislation that provides their Minister with a power to issue Ministerial directions to the regulators. Those powers are separate from this Framework and the provisions of this Framework don’t apply to those powers.</w:t>
      </w:r>
    </w:p>
    <w:p w14:paraId="645BF744" w14:textId="062D3D86" w:rsidR="003D14D1" w:rsidRDefault="003D14D1" w:rsidP="003D14D1">
      <w:pPr>
        <w:pStyle w:val="NormalIndent"/>
        <w:ind w:left="720"/>
        <w:jc w:val="both"/>
      </w:pPr>
      <w:r w:rsidRPr="001C0525">
        <w:t>To promote accountability and transparency, regulators are to make the</w:t>
      </w:r>
      <w:r w:rsidR="00C82C97" w:rsidRPr="001C0525">
        <w:t>ir</w:t>
      </w:r>
      <w:r w:rsidRPr="001C0525">
        <w:t xml:space="preserve"> Minister’s letter publicly available</w:t>
      </w:r>
      <w:r w:rsidR="00D576B5" w:rsidRPr="001C0525">
        <w:t xml:space="preserve"> on their website as soon as practicable after the Minister has issued the letter</w:t>
      </w:r>
      <w:r w:rsidRPr="001C0525">
        <w:t xml:space="preserve">. If the letter contains sensitive information, the Minister may approve </w:t>
      </w:r>
      <w:r w:rsidR="00AF7CB5" w:rsidRPr="001C0525">
        <w:t>not making the</w:t>
      </w:r>
      <w:r w:rsidR="00010621" w:rsidRPr="001C0525">
        <w:t xml:space="preserve"> sensitive components of the</w:t>
      </w:r>
      <w:r w:rsidR="00AF7CB5" w:rsidRPr="001C0525">
        <w:t xml:space="preserve"> letter </w:t>
      </w:r>
      <w:r w:rsidRPr="001C0525">
        <w:t>publicly available.</w:t>
      </w:r>
    </w:p>
    <w:p w14:paraId="378A52F5" w14:textId="6FB086F5" w:rsidR="00AE40D0" w:rsidRPr="001C0525" w:rsidRDefault="00AE40D0" w:rsidP="003D14D1">
      <w:pPr>
        <w:pStyle w:val="NormalIndent"/>
        <w:ind w:left="720"/>
        <w:jc w:val="both"/>
      </w:pPr>
      <w:r w:rsidRPr="001C0525">
        <w:t xml:space="preserve">Regulators should retain previous letters on their websites as a public record of how their Minister’s expectations </w:t>
      </w:r>
      <w:r w:rsidR="00FE3ECC" w:rsidRPr="001C0525">
        <w:t xml:space="preserve">have changed </w:t>
      </w:r>
      <w:r w:rsidRPr="001C0525">
        <w:t>over time.</w:t>
      </w:r>
    </w:p>
    <w:p w14:paraId="6B303E2F" w14:textId="18B0B8F0" w:rsidR="00EC2BD2" w:rsidRPr="00FB273F" w:rsidRDefault="00EC2BD2" w:rsidP="00FC217C">
      <w:pPr>
        <w:pStyle w:val="NormalIndent"/>
        <w:ind w:left="720"/>
        <w:jc w:val="both"/>
      </w:pPr>
      <w:r w:rsidRPr="001C0525">
        <w:t>Where there are multiple Ministers with a policy interest in a regulator, the portfolio Minister who is primarily responsible for the regulator should liaise with the other Ministers to develop an agreed position on the Ministerial letter.</w:t>
      </w:r>
    </w:p>
    <w:p w14:paraId="4067A17B" w14:textId="7067FAF2" w:rsidR="00A62492" w:rsidRPr="00A62492" w:rsidRDefault="00EC2F04" w:rsidP="00A62492">
      <w:pPr>
        <w:pStyle w:val="Heading3numbered"/>
        <w:ind w:left="792"/>
      </w:pPr>
      <w:r>
        <w:t>Business planning</w:t>
      </w:r>
    </w:p>
    <w:p w14:paraId="07E8FC29" w14:textId="5D3E8B4A" w:rsidR="00EC2F04" w:rsidRDefault="00EC2F04" w:rsidP="00A62492">
      <w:pPr>
        <w:pStyle w:val="Heading4numbered"/>
        <w:numPr>
          <w:ilvl w:val="0"/>
          <w:numId w:val="0"/>
        </w:numPr>
        <w:ind w:left="720"/>
        <w:jc w:val="both"/>
        <w:rPr>
          <w:rFonts w:asciiTheme="minorHAnsi" w:eastAsiaTheme="minorEastAsia" w:hAnsiTheme="minorHAnsi" w:cstheme="minorBidi"/>
          <w:b w:val="0"/>
          <w:bCs w:val="0"/>
          <w:iCs w:val="0"/>
          <w:color w:val="232B39" w:themeColor="text1"/>
          <w:sz w:val="20"/>
          <w:szCs w:val="20"/>
        </w:rPr>
      </w:pPr>
      <w:r w:rsidRPr="001C0525">
        <w:rPr>
          <w:rFonts w:asciiTheme="minorHAnsi" w:eastAsiaTheme="minorEastAsia" w:hAnsiTheme="minorHAnsi" w:cstheme="minorBidi"/>
          <w:b w:val="0"/>
          <w:bCs w:val="0"/>
          <w:iCs w:val="0"/>
          <w:color w:val="232B39" w:themeColor="text1"/>
          <w:sz w:val="20"/>
          <w:szCs w:val="20"/>
        </w:rPr>
        <w:t>Ministers</w:t>
      </w:r>
      <w:r w:rsidR="00C82C97" w:rsidRPr="001C0525">
        <w:rPr>
          <w:rFonts w:asciiTheme="minorHAnsi" w:eastAsiaTheme="minorEastAsia" w:hAnsiTheme="minorHAnsi" w:cstheme="minorBidi"/>
          <w:b w:val="0"/>
          <w:bCs w:val="0"/>
          <w:iCs w:val="0"/>
          <w:color w:val="232B39" w:themeColor="text1"/>
          <w:sz w:val="20"/>
          <w:szCs w:val="20"/>
        </w:rPr>
        <w:t>’</w:t>
      </w:r>
      <w:r w:rsidRPr="001C0525">
        <w:rPr>
          <w:rFonts w:asciiTheme="minorHAnsi" w:eastAsiaTheme="minorEastAsia" w:hAnsiTheme="minorHAnsi" w:cstheme="minorBidi"/>
          <w:b w:val="0"/>
          <w:bCs w:val="0"/>
          <w:iCs w:val="0"/>
          <w:color w:val="232B39" w:themeColor="text1"/>
          <w:sz w:val="20"/>
          <w:szCs w:val="20"/>
        </w:rPr>
        <w:t xml:space="preserve"> expectations are to be incorporated into regulators’ existing business planning processes and </w:t>
      </w:r>
      <w:r w:rsidR="0033000B" w:rsidRPr="001C0525">
        <w:rPr>
          <w:rFonts w:asciiTheme="minorHAnsi" w:eastAsiaTheme="minorEastAsia" w:hAnsiTheme="minorHAnsi" w:cstheme="minorBidi"/>
          <w:b w:val="0"/>
          <w:bCs w:val="0"/>
          <w:iCs w:val="0"/>
          <w:color w:val="232B39" w:themeColor="text1"/>
          <w:sz w:val="20"/>
          <w:szCs w:val="20"/>
        </w:rPr>
        <w:t xml:space="preserve">are </w:t>
      </w:r>
      <w:r w:rsidR="00D85998" w:rsidRPr="001C0525">
        <w:rPr>
          <w:rFonts w:asciiTheme="minorHAnsi" w:eastAsiaTheme="minorEastAsia" w:hAnsiTheme="minorHAnsi" w:cstheme="minorBidi"/>
          <w:b w:val="0"/>
          <w:bCs w:val="0"/>
          <w:iCs w:val="0"/>
          <w:color w:val="232B39" w:themeColor="text1"/>
          <w:sz w:val="20"/>
          <w:szCs w:val="20"/>
        </w:rPr>
        <w:t xml:space="preserve">intended to be </w:t>
      </w:r>
      <w:r w:rsidR="00D85998" w:rsidRPr="001C0525">
        <w:rPr>
          <w:rFonts w:asciiTheme="minorHAnsi" w:eastAsiaTheme="minorEastAsia" w:hAnsiTheme="minorHAnsi" w:cstheme="minorBidi"/>
          <w:b w:val="0"/>
          <w:bCs w:val="0"/>
          <w:i/>
          <w:color w:val="232B39" w:themeColor="text1"/>
          <w:sz w:val="20"/>
          <w:szCs w:val="20"/>
        </w:rPr>
        <w:t>business as usual</w:t>
      </w:r>
      <w:r w:rsidR="00D85998" w:rsidRPr="001C0525">
        <w:rPr>
          <w:rFonts w:asciiTheme="minorHAnsi" w:eastAsiaTheme="minorEastAsia" w:hAnsiTheme="minorHAnsi" w:cstheme="minorBidi"/>
          <w:b w:val="0"/>
          <w:bCs w:val="0"/>
          <w:iCs w:val="0"/>
          <w:color w:val="232B39" w:themeColor="text1"/>
          <w:sz w:val="20"/>
          <w:szCs w:val="20"/>
        </w:rPr>
        <w:t xml:space="preserve"> elements of these processes</w:t>
      </w:r>
      <w:r w:rsidRPr="00106E08">
        <w:rPr>
          <w:b w:val="0"/>
          <w:bCs w:val="0"/>
        </w:rPr>
        <w:t>.</w:t>
      </w:r>
    </w:p>
    <w:p w14:paraId="738D9D5E" w14:textId="6C65EFFE" w:rsidR="004A2ADB" w:rsidRPr="001C0525" w:rsidRDefault="004A2ADB" w:rsidP="00595261">
      <w:pPr>
        <w:pStyle w:val="NormalIndent"/>
        <w:ind w:left="720"/>
        <w:jc w:val="both"/>
      </w:pPr>
      <w:r w:rsidRPr="001C0525">
        <w:t xml:space="preserve">Under the previous Framework, regulators were required to provide a response to their Minister’s letter that set out how they </w:t>
      </w:r>
      <w:r w:rsidR="00C82C97" w:rsidRPr="001C0525">
        <w:t>intended</w:t>
      </w:r>
      <w:r w:rsidRPr="001C0525">
        <w:t xml:space="preserve"> to meet the</w:t>
      </w:r>
      <w:r w:rsidR="00C82C97" w:rsidRPr="001C0525">
        <w:t>ir</w:t>
      </w:r>
      <w:r w:rsidRPr="001C0525">
        <w:t xml:space="preserve"> Minister’s expectations</w:t>
      </w:r>
      <w:r w:rsidR="002D523F">
        <w:t>. T</w:t>
      </w:r>
      <w:r w:rsidRPr="001C0525">
        <w:t xml:space="preserve">heir performance in meeting these expectations </w:t>
      </w:r>
      <w:r w:rsidR="00761A7E" w:rsidRPr="001C0525">
        <w:t>w</w:t>
      </w:r>
      <w:r w:rsidR="00761A7E">
        <w:t>as</w:t>
      </w:r>
      <w:r w:rsidR="00761A7E" w:rsidRPr="001C0525">
        <w:t xml:space="preserve"> </w:t>
      </w:r>
      <w:r w:rsidRPr="001C0525">
        <w:t>evaluated biennially by their department.</w:t>
      </w:r>
    </w:p>
    <w:p w14:paraId="6E18991B" w14:textId="0430FF56" w:rsidR="003956CB" w:rsidRPr="001C0525" w:rsidRDefault="004A2ADB" w:rsidP="003956CB">
      <w:pPr>
        <w:pStyle w:val="NormalIndent"/>
        <w:ind w:left="720"/>
        <w:jc w:val="both"/>
      </w:pPr>
      <w:r w:rsidRPr="001C0525">
        <w:t>Under this Framework, regulators aren’t required to provide a response to the</w:t>
      </w:r>
      <w:r w:rsidR="003956CB" w:rsidRPr="001C0525">
        <w:t>ir</w:t>
      </w:r>
      <w:r w:rsidRPr="001C0525">
        <w:t xml:space="preserve"> Minister’s letter, but their </w:t>
      </w:r>
      <w:r w:rsidR="0033000B" w:rsidRPr="001C0525">
        <w:t>business plans are to clearly demonstrate how the</w:t>
      </w:r>
      <w:r w:rsidRPr="001C0525">
        <w:t xml:space="preserve">y will </w:t>
      </w:r>
      <w:r w:rsidR="0033000B" w:rsidRPr="001C0525">
        <w:t xml:space="preserve">meet </w:t>
      </w:r>
      <w:r w:rsidR="00C82C97" w:rsidRPr="001C0525">
        <w:t>those</w:t>
      </w:r>
      <w:r w:rsidR="0033000B" w:rsidRPr="001C0525">
        <w:t xml:space="preserve"> expectations.</w:t>
      </w:r>
      <w:r w:rsidR="003956CB" w:rsidRPr="001C0525">
        <w:t xml:space="preserve"> Nor are they required to meet the</w:t>
      </w:r>
      <w:r w:rsidR="00C82C97" w:rsidRPr="001C0525">
        <w:t>ir</w:t>
      </w:r>
      <w:r w:rsidR="003956CB" w:rsidRPr="001C0525">
        <w:t xml:space="preserve"> Minister’s expectations within a fixed two</w:t>
      </w:r>
      <w:r w:rsidR="0048013A" w:rsidRPr="001C0525">
        <w:t>-</w:t>
      </w:r>
      <w:r w:rsidR="003956CB" w:rsidRPr="001C0525">
        <w:t xml:space="preserve">year timeframe. The Framework is intended to be a continuous process of setting, meeting and renewing expectations, rather than </w:t>
      </w:r>
      <w:r w:rsidR="00A72D84" w:rsidRPr="001C0525">
        <w:t>expectations</w:t>
      </w:r>
      <w:r w:rsidR="003956CB" w:rsidRPr="001C0525">
        <w:t xml:space="preserve"> </w:t>
      </w:r>
      <w:r w:rsidR="00A72D84" w:rsidRPr="001C0525">
        <w:t>being</w:t>
      </w:r>
      <w:r w:rsidR="003956CB" w:rsidRPr="001C0525">
        <w:t xml:space="preserve"> </w:t>
      </w:r>
      <w:r w:rsidR="00A72D84" w:rsidRPr="001C0525">
        <w:t>met</w:t>
      </w:r>
      <w:r w:rsidR="003956CB" w:rsidRPr="001C0525">
        <w:t xml:space="preserve"> within a fixed timeframe.</w:t>
      </w:r>
    </w:p>
    <w:p w14:paraId="0ADCA9B4" w14:textId="2B6273B6" w:rsidR="00E32E50" w:rsidRPr="001C0525" w:rsidRDefault="0065352B" w:rsidP="006268E7">
      <w:pPr>
        <w:pStyle w:val="NormalIndent"/>
        <w:ind w:left="720"/>
        <w:jc w:val="both"/>
      </w:pPr>
      <w:r w:rsidRPr="001C0525">
        <w:t xml:space="preserve">To achieve this, regulator’s business plans are to </w:t>
      </w:r>
      <w:r w:rsidR="004A2ADB" w:rsidRPr="001C0525">
        <w:t>includ</w:t>
      </w:r>
      <w:r w:rsidRPr="001C0525">
        <w:t>e</w:t>
      </w:r>
      <w:r w:rsidR="004A2ADB" w:rsidRPr="001C0525">
        <w:t xml:space="preserve"> milestones </w:t>
      </w:r>
      <w:r w:rsidRPr="001C0525">
        <w:t>to report on the</w:t>
      </w:r>
      <w:r w:rsidR="009D6F6D" w:rsidRPr="001C0525">
        <w:t>ir</w:t>
      </w:r>
      <w:r w:rsidRPr="001C0525">
        <w:t xml:space="preserve"> progress in meeting their Minister’s expectations.</w:t>
      </w:r>
      <w:r w:rsidR="006268E7">
        <w:t xml:space="preserve"> </w:t>
      </w:r>
      <w:r w:rsidR="00E32E50" w:rsidRPr="001C0525">
        <w:t>These milestones are to be customised to reflect the kinds of expectations that have been set in the</w:t>
      </w:r>
      <w:r w:rsidR="009D6F6D" w:rsidRPr="001C0525">
        <w:t>ir</w:t>
      </w:r>
      <w:r w:rsidR="00E32E50" w:rsidRPr="001C0525">
        <w:t xml:space="preserve"> Minister’s letter. For example, if the expectations are about:</w:t>
      </w:r>
    </w:p>
    <w:p w14:paraId="4E670427" w14:textId="66BE4353" w:rsidR="00E32E50" w:rsidRPr="001C0525" w:rsidRDefault="00E32E50" w:rsidP="00E32E50">
      <w:pPr>
        <w:pStyle w:val="NormalIndent"/>
        <w:numPr>
          <w:ilvl w:val="0"/>
          <w:numId w:val="12"/>
        </w:numPr>
        <w:jc w:val="both"/>
      </w:pPr>
      <w:r w:rsidRPr="001C0525">
        <w:t>delivering on a government policy commitment or engaging with stakeholders in a particular way, there may be quarterly meetings to discuss progress with the Minister with reporting in the annual report. A new letter will be required when the regulator has met the Minister’s expectation</w:t>
      </w:r>
      <w:r w:rsidR="00F02EE5" w:rsidRPr="001C0525">
        <w:t>.</w:t>
      </w:r>
    </w:p>
    <w:p w14:paraId="76455F24" w14:textId="3E813EAE" w:rsidR="00D9663C" w:rsidRDefault="00E32E50" w:rsidP="009A4B9A">
      <w:pPr>
        <w:pStyle w:val="NormalIndent"/>
        <w:numPr>
          <w:ilvl w:val="0"/>
          <w:numId w:val="12"/>
        </w:numPr>
        <w:jc w:val="both"/>
      </w:pPr>
      <w:r w:rsidRPr="001C0525">
        <w:t>responding to an external review (for example, VAGO or by a Royal Commission), there may be a specified timeframe for the regulator to report back. A new letter will be required when the regulator has provided the report</w:t>
      </w:r>
      <w:r w:rsidR="00F02EE5" w:rsidRPr="001C0525">
        <w:t>.</w:t>
      </w:r>
    </w:p>
    <w:p w14:paraId="1767BC6F" w14:textId="4E6859A9" w:rsidR="009A4B9A" w:rsidRDefault="006268E7" w:rsidP="0065352B">
      <w:pPr>
        <w:pStyle w:val="NormalIndent"/>
        <w:ind w:left="720"/>
        <w:jc w:val="both"/>
      </w:pPr>
      <w:r>
        <w:t xml:space="preserve">The regulator’s business plans are to also include milestones </w:t>
      </w:r>
      <w:r w:rsidRPr="001C0525">
        <w:t xml:space="preserve">to </w:t>
      </w:r>
      <w:r w:rsidR="00733539">
        <w:t>determine</w:t>
      </w:r>
      <w:r w:rsidRPr="001C0525">
        <w:t xml:space="preserve"> when their Minister’s letter needs to be updated or renewed</w:t>
      </w:r>
      <w:r>
        <w:t>.</w:t>
      </w:r>
    </w:p>
    <w:p w14:paraId="7AE45442" w14:textId="115CDD13" w:rsidR="00AF18A5" w:rsidRDefault="00AF18A5" w:rsidP="00AF18A5">
      <w:pPr>
        <w:pStyle w:val="NormalIndent"/>
        <w:ind w:left="720"/>
        <w:jc w:val="both"/>
      </w:pPr>
      <w:r>
        <w:t>Some regulators don’t have their own business planning processes as their business planning is part of their department’s planning processes. In these cases, the department’s business planning processes will need to include these milestones.</w:t>
      </w:r>
    </w:p>
    <w:p w14:paraId="21A3FC86" w14:textId="33BC3A15" w:rsidR="00B95990" w:rsidRPr="001C0525" w:rsidRDefault="0076172C" w:rsidP="0065352B">
      <w:pPr>
        <w:pStyle w:val="NormalIndent"/>
        <w:ind w:left="720"/>
        <w:jc w:val="both"/>
      </w:pPr>
      <w:r w:rsidRPr="001C0525">
        <w:t xml:space="preserve">In addition to these milestone reviews, regulators </w:t>
      </w:r>
      <w:r w:rsidR="00F02EE5" w:rsidRPr="001C0525">
        <w:t xml:space="preserve">and departments </w:t>
      </w:r>
      <w:r w:rsidRPr="001C0525">
        <w:t xml:space="preserve">are required to undertake an annual light touch review </w:t>
      </w:r>
      <w:r w:rsidR="00E56C47" w:rsidRPr="001C0525">
        <w:t>of</w:t>
      </w:r>
      <w:r w:rsidRPr="001C0525">
        <w:t xml:space="preserve"> their </w:t>
      </w:r>
      <w:r w:rsidR="00E56C47" w:rsidRPr="001C0525">
        <w:t xml:space="preserve">Minister’s </w:t>
      </w:r>
      <w:r w:rsidRPr="001C0525">
        <w:t xml:space="preserve">letter </w:t>
      </w:r>
      <w:r w:rsidR="00F93FC4" w:rsidRPr="001C0525">
        <w:t xml:space="preserve">and </w:t>
      </w:r>
      <w:r w:rsidR="00E56C47" w:rsidRPr="001C0525">
        <w:t xml:space="preserve">their </w:t>
      </w:r>
      <w:r w:rsidR="00F93FC4" w:rsidRPr="001C0525">
        <w:t>milestones</w:t>
      </w:r>
      <w:r w:rsidR="00AE40D0" w:rsidRPr="001C0525">
        <w:t xml:space="preserve">. These reviews </w:t>
      </w:r>
      <w:r w:rsidR="00B95990" w:rsidRPr="001C0525">
        <w:t>are to consider whether:</w:t>
      </w:r>
    </w:p>
    <w:p w14:paraId="5DC29AB3" w14:textId="51BA5F13" w:rsidR="00B95990" w:rsidRPr="001C0525" w:rsidRDefault="00B95990" w:rsidP="00B95990">
      <w:pPr>
        <w:pStyle w:val="NormalIndent"/>
        <w:numPr>
          <w:ilvl w:val="0"/>
          <w:numId w:val="26"/>
        </w:numPr>
        <w:jc w:val="both"/>
      </w:pPr>
      <w:r w:rsidRPr="001C0525">
        <w:lastRenderedPageBreak/>
        <w:t>the</w:t>
      </w:r>
      <w:r w:rsidR="00F02EE5" w:rsidRPr="001C0525">
        <w:t>ir</w:t>
      </w:r>
      <w:r w:rsidRPr="001C0525">
        <w:t xml:space="preserve"> Minister’s expectation</w:t>
      </w:r>
      <w:r w:rsidR="0048013A" w:rsidRPr="001C0525">
        <w:t>s</w:t>
      </w:r>
      <w:r w:rsidRPr="001C0525">
        <w:t xml:space="preserve"> remain relevant</w:t>
      </w:r>
      <w:r w:rsidR="00F93FC4" w:rsidRPr="001C0525">
        <w:t xml:space="preserve"> </w:t>
      </w:r>
      <w:r w:rsidRPr="001C0525">
        <w:t>and appropriate and whether their Minister’s letter should be updated or renewed.</w:t>
      </w:r>
    </w:p>
    <w:p w14:paraId="1C54A1A2" w14:textId="091697DC" w:rsidR="00AF18A5" w:rsidRDefault="00B95990" w:rsidP="00AF18A5">
      <w:pPr>
        <w:pStyle w:val="NormalIndent"/>
        <w:numPr>
          <w:ilvl w:val="0"/>
          <w:numId w:val="26"/>
        </w:numPr>
        <w:jc w:val="both"/>
      </w:pPr>
      <w:r w:rsidRPr="001C0525">
        <w:t>the milestones in their business plans to report on their progress in meeting their Minister’s expectations remain relevant and appropriate and whether these milestones should be amended.</w:t>
      </w:r>
    </w:p>
    <w:p w14:paraId="6119507A" w14:textId="75CEDF2C" w:rsidR="00595261" w:rsidRPr="001C0525" w:rsidRDefault="00595261" w:rsidP="00595261">
      <w:pPr>
        <w:pStyle w:val="NormalIndent"/>
        <w:ind w:left="720"/>
        <w:jc w:val="both"/>
      </w:pPr>
      <w:r w:rsidRPr="001C0525">
        <w:t xml:space="preserve">Regulator’s business planning is to be undertaken </w:t>
      </w:r>
      <w:r w:rsidR="00571149" w:rsidRPr="001C0525">
        <w:t>in accordance with</w:t>
      </w:r>
      <w:r w:rsidRPr="001C0525">
        <w:t xml:space="preserve"> the government's broader accountability requirements such as </w:t>
      </w:r>
      <w:r w:rsidR="00571149" w:rsidRPr="001C0525">
        <w:t xml:space="preserve">those in </w:t>
      </w:r>
      <w:r w:rsidRPr="001C0525">
        <w:t xml:space="preserve">the Standing Directions issued under the </w:t>
      </w:r>
      <w:r w:rsidRPr="001C0525">
        <w:rPr>
          <w:i/>
          <w:iCs/>
        </w:rPr>
        <w:t xml:space="preserve">Financial Management Act 1994 </w:t>
      </w:r>
      <w:r w:rsidRPr="001C0525">
        <w:t>and the Resource Management Framework.</w:t>
      </w:r>
    </w:p>
    <w:p w14:paraId="4F62C252" w14:textId="1DC93733" w:rsidR="00A62492" w:rsidRPr="001C0525" w:rsidRDefault="00595261" w:rsidP="00A62492">
      <w:pPr>
        <w:pStyle w:val="Heading3numbered"/>
        <w:ind w:left="792"/>
      </w:pPr>
      <w:r w:rsidRPr="001C0525">
        <w:t>Reporting</w:t>
      </w:r>
    </w:p>
    <w:p w14:paraId="480F0324" w14:textId="0661F134" w:rsidR="00F93FC4" w:rsidRPr="001C0525" w:rsidRDefault="00595261" w:rsidP="00E32E50">
      <w:pPr>
        <w:pStyle w:val="NormalIndent"/>
        <w:ind w:left="720"/>
        <w:jc w:val="both"/>
      </w:pPr>
      <w:r w:rsidRPr="001C0525">
        <w:t xml:space="preserve">Under </w:t>
      </w:r>
      <w:r w:rsidR="00E56C47" w:rsidRPr="001C0525">
        <w:t xml:space="preserve">the </w:t>
      </w:r>
      <w:r w:rsidR="00F93FC4" w:rsidRPr="001C0525">
        <w:t>previous</w:t>
      </w:r>
      <w:r w:rsidRPr="001C0525">
        <w:t xml:space="preserve"> Framework</w:t>
      </w:r>
      <w:r w:rsidR="00B37769" w:rsidRPr="001C0525">
        <w:t xml:space="preserve">, </w:t>
      </w:r>
      <w:r w:rsidR="009D49A8" w:rsidRPr="001C0525">
        <w:t xml:space="preserve">departments </w:t>
      </w:r>
      <w:r w:rsidR="00F93FC4" w:rsidRPr="001C0525">
        <w:t>were required</w:t>
      </w:r>
      <w:r w:rsidR="009D49A8" w:rsidRPr="001C0525">
        <w:t xml:space="preserve"> to biennially evaluate their regulator’s performance in meeting their Minister’s expectations and to make their evaluation report publicly available.</w:t>
      </w:r>
    </w:p>
    <w:p w14:paraId="4C30E4B5" w14:textId="08AFD984" w:rsidR="00EA0158" w:rsidRPr="001C0525" w:rsidRDefault="00EA0158" w:rsidP="00E32E50">
      <w:pPr>
        <w:pStyle w:val="NormalIndent"/>
        <w:ind w:left="720"/>
        <w:jc w:val="both"/>
      </w:pPr>
      <w:r w:rsidRPr="001C0525">
        <w:t xml:space="preserve">Under this Framework, </w:t>
      </w:r>
      <w:r w:rsidR="00B37769" w:rsidRPr="001C0525">
        <w:t xml:space="preserve">the </w:t>
      </w:r>
      <w:r w:rsidRPr="001C0525">
        <w:t xml:space="preserve">biennial evaluation has been replaced by </w:t>
      </w:r>
      <w:r w:rsidR="00B37769" w:rsidRPr="001C0525">
        <w:t xml:space="preserve">reporting </w:t>
      </w:r>
      <w:r w:rsidRPr="001C0525">
        <w:t>milestones in the regulator’s business plan</w:t>
      </w:r>
      <w:r w:rsidR="00E7077D" w:rsidRPr="001C0525">
        <w:t>s</w:t>
      </w:r>
      <w:r w:rsidRPr="001C0525">
        <w:t xml:space="preserve"> </w:t>
      </w:r>
      <w:r w:rsidR="0048013A" w:rsidRPr="001C0525">
        <w:t xml:space="preserve">so that </w:t>
      </w:r>
      <w:r w:rsidRPr="001C0525">
        <w:t xml:space="preserve">regulators </w:t>
      </w:r>
      <w:r w:rsidR="0048013A" w:rsidRPr="001C0525">
        <w:t xml:space="preserve">can </w:t>
      </w:r>
      <w:r w:rsidRPr="001C0525">
        <w:t xml:space="preserve">report on their progress in meeting their Minister’s expectations and to update or renew </w:t>
      </w:r>
      <w:r w:rsidR="00E56C47" w:rsidRPr="001C0525">
        <w:t xml:space="preserve">their </w:t>
      </w:r>
      <w:r w:rsidRPr="001C0525">
        <w:t>Minister</w:t>
      </w:r>
      <w:r w:rsidR="00E56C47" w:rsidRPr="001C0525">
        <w:t>’s</w:t>
      </w:r>
      <w:r w:rsidRPr="001C0525">
        <w:t xml:space="preserve"> letter.</w:t>
      </w:r>
    </w:p>
    <w:p w14:paraId="5D384CD5" w14:textId="7FF91361" w:rsidR="005D54D3" w:rsidRPr="001C0525" w:rsidRDefault="005D54D3" w:rsidP="00E32E50">
      <w:pPr>
        <w:pStyle w:val="NormalIndent"/>
        <w:ind w:left="720"/>
        <w:jc w:val="both"/>
      </w:pPr>
      <w:r w:rsidRPr="001C0525">
        <w:t>Regulators are encouraged to work with their departments when preparing reports for their Minister.</w:t>
      </w:r>
    </w:p>
    <w:p w14:paraId="704EECE2" w14:textId="076E7C48" w:rsidR="00A8154A" w:rsidRPr="001C0525" w:rsidRDefault="00F02EE5" w:rsidP="00E32E50">
      <w:pPr>
        <w:pStyle w:val="NormalIndent"/>
        <w:ind w:left="720"/>
        <w:jc w:val="both"/>
      </w:pPr>
      <w:r w:rsidRPr="001C0525">
        <w:t>T</w:t>
      </w:r>
      <w:r w:rsidR="001E1AAA" w:rsidRPr="001C0525">
        <w:t xml:space="preserve">his </w:t>
      </w:r>
      <w:r w:rsidR="00A148C5" w:rsidRPr="001C0525">
        <w:t xml:space="preserve">reporting requirement </w:t>
      </w:r>
      <w:r w:rsidRPr="001C0525">
        <w:t xml:space="preserve">can be </w:t>
      </w:r>
      <w:r w:rsidR="00A148C5" w:rsidRPr="001C0525">
        <w:t>met</w:t>
      </w:r>
      <w:r w:rsidR="001E1AAA" w:rsidRPr="001C0525">
        <w:t xml:space="preserve"> through </w:t>
      </w:r>
      <w:r w:rsidR="00A148C5" w:rsidRPr="001C0525">
        <w:t>regulators</w:t>
      </w:r>
      <w:r w:rsidR="00E7077D" w:rsidRPr="001C0525">
        <w:t>’</w:t>
      </w:r>
      <w:r w:rsidR="001E1AAA" w:rsidRPr="001C0525">
        <w:t xml:space="preserve"> annual reporting requirements under the </w:t>
      </w:r>
      <w:r w:rsidR="001E1AAA" w:rsidRPr="001C0525">
        <w:rPr>
          <w:i/>
          <w:iCs/>
        </w:rPr>
        <w:t>Financial Management Act 1994</w:t>
      </w:r>
      <w:r w:rsidR="001E1AAA" w:rsidRPr="001C0525">
        <w:t xml:space="preserve"> or any other reporting requirements under their own legislation.</w:t>
      </w:r>
    </w:p>
    <w:p w14:paraId="728E86FC" w14:textId="18071FC6" w:rsidR="001E1AAA" w:rsidRPr="001C0525" w:rsidRDefault="001E1AAA" w:rsidP="00E32E50">
      <w:pPr>
        <w:pStyle w:val="NormalIndent"/>
        <w:ind w:left="720"/>
        <w:jc w:val="both"/>
      </w:pPr>
      <w:r w:rsidRPr="001C0525">
        <w:t xml:space="preserve">Alternatively, providing they meet their statutory obligations, regulators can publicly provide </w:t>
      </w:r>
      <w:r w:rsidR="00E56C47" w:rsidRPr="001C0525">
        <w:t>a</w:t>
      </w:r>
      <w:r w:rsidRPr="001C0525">
        <w:t xml:space="preserve"> progress report as a separate document on their website. This option </w:t>
      </w:r>
      <w:r w:rsidR="008F7260" w:rsidRPr="001C0525">
        <w:t xml:space="preserve">is most likely to be used by regulators that are a departmental business unit but </w:t>
      </w:r>
      <w:r w:rsidR="00F02EE5" w:rsidRPr="001C0525">
        <w:t>wish</w:t>
      </w:r>
      <w:r w:rsidR="008F7260" w:rsidRPr="001C0525">
        <w:t xml:space="preserve"> to demonstrate the</w:t>
      </w:r>
      <w:r w:rsidR="00637EAD">
        <w:t xml:space="preserve"> independence of their</w:t>
      </w:r>
      <w:r w:rsidR="008F7260" w:rsidRPr="001C0525">
        <w:t xml:space="preserve"> </w:t>
      </w:r>
      <w:r w:rsidR="00841485">
        <w:t xml:space="preserve">regulatory activities </w:t>
      </w:r>
      <w:r w:rsidR="008F7260" w:rsidRPr="001C0525">
        <w:t xml:space="preserve">from their department. (See section 5 Impact on different types of regulators.) </w:t>
      </w:r>
      <w:r w:rsidR="00A8154A" w:rsidRPr="001C0525">
        <w:t>These reports are to be published in line with the annual reporting cycle.</w:t>
      </w:r>
    </w:p>
    <w:p w14:paraId="6FBC2019" w14:textId="4368F68F" w:rsidR="00595261" w:rsidRPr="001C0525" w:rsidRDefault="008F7260" w:rsidP="00811FBF">
      <w:pPr>
        <w:pStyle w:val="NormalIndent"/>
        <w:ind w:left="720"/>
        <w:jc w:val="both"/>
      </w:pPr>
      <w:r w:rsidRPr="001C0525">
        <w:t xml:space="preserve">While it is preferable that reporting on </w:t>
      </w:r>
      <w:r w:rsidR="00637EAD">
        <w:t>a</w:t>
      </w:r>
      <w:r w:rsidRPr="001C0525">
        <w:t xml:space="preserve"> regulator</w:t>
      </w:r>
      <w:r w:rsidR="00106E08">
        <w:t>’</w:t>
      </w:r>
      <w:r w:rsidRPr="001C0525">
        <w:t>s progress follows the timelines in the regulator’s business plans, the Minister can request a report on the regulator</w:t>
      </w:r>
      <w:r w:rsidR="00106E08">
        <w:t>’</w:t>
      </w:r>
      <w:r w:rsidRPr="001C0525">
        <w:t>s progress at any time.</w:t>
      </w:r>
      <w:r w:rsidR="00A148C5" w:rsidRPr="001C0525">
        <w:t xml:space="preserve"> These reports are not required to be made publicly available.</w:t>
      </w:r>
    </w:p>
    <w:p w14:paraId="0B4E32A0" w14:textId="77777777" w:rsidR="00A62492" w:rsidRPr="001C0525" w:rsidRDefault="00595261" w:rsidP="00A62492">
      <w:pPr>
        <w:pStyle w:val="Heading3numbered"/>
        <w:ind w:left="792"/>
      </w:pPr>
      <w:r w:rsidRPr="001C0525">
        <w:t>Accountability</w:t>
      </w:r>
    </w:p>
    <w:p w14:paraId="4365AADB" w14:textId="052CD26C" w:rsidR="00595261" w:rsidRPr="001C0525" w:rsidRDefault="00595261" w:rsidP="001D1A0C">
      <w:pPr>
        <w:pStyle w:val="NormalIndent"/>
        <w:ind w:left="720"/>
        <w:jc w:val="both"/>
      </w:pPr>
      <w:r w:rsidRPr="001C0525">
        <w:t>Regulators</w:t>
      </w:r>
      <w:r w:rsidR="00106E08">
        <w:t>’</w:t>
      </w:r>
      <w:r w:rsidRPr="001C0525">
        <w:t xml:space="preserve"> planning processes and reporting are subject to the government’s existing accountability frameworks which include:</w:t>
      </w:r>
    </w:p>
    <w:p w14:paraId="4E7904AA" w14:textId="6DD75CBC" w:rsidR="008A40D4" w:rsidRPr="001C0525" w:rsidRDefault="008A40D4" w:rsidP="00571149">
      <w:pPr>
        <w:pStyle w:val="NormalIndent"/>
        <w:numPr>
          <w:ilvl w:val="0"/>
          <w:numId w:val="12"/>
        </w:numPr>
        <w:jc w:val="both"/>
      </w:pPr>
      <w:r w:rsidRPr="001C0525">
        <w:rPr>
          <w:b/>
          <w:bCs/>
        </w:rPr>
        <w:t xml:space="preserve">Public Administration Act </w:t>
      </w:r>
      <w:r w:rsidRPr="001C0525">
        <w:t>which provides for good governance in the Victorian public sector.</w:t>
      </w:r>
    </w:p>
    <w:p w14:paraId="7E22E0D2" w14:textId="61AD3FE4" w:rsidR="00595261" w:rsidRPr="001C0525" w:rsidRDefault="00595261" w:rsidP="00571149">
      <w:pPr>
        <w:pStyle w:val="NormalIndent"/>
        <w:numPr>
          <w:ilvl w:val="0"/>
          <w:numId w:val="12"/>
        </w:numPr>
        <w:jc w:val="both"/>
      </w:pPr>
      <w:r w:rsidRPr="001C0525">
        <w:rPr>
          <w:b/>
          <w:bCs/>
        </w:rPr>
        <w:t xml:space="preserve">Financial Management Act </w:t>
      </w:r>
      <w:r w:rsidRPr="001C0525">
        <w:t>(FMA) which governs Victoria’s public sector financial management and accountability and provides for annual reporting to Parliament by departments and public sector bodies</w:t>
      </w:r>
      <w:r w:rsidR="008A40D4" w:rsidRPr="001C0525">
        <w:t>.</w:t>
      </w:r>
    </w:p>
    <w:p w14:paraId="39084BE5" w14:textId="771D61FB" w:rsidR="00595261" w:rsidRPr="001C0525" w:rsidRDefault="00595261" w:rsidP="00571149">
      <w:pPr>
        <w:pStyle w:val="NormalIndent"/>
        <w:numPr>
          <w:ilvl w:val="0"/>
          <w:numId w:val="12"/>
        </w:numPr>
        <w:jc w:val="both"/>
      </w:pPr>
      <w:r w:rsidRPr="001C0525">
        <w:rPr>
          <w:b/>
          <w:bCs/>
        </w:rPr>
        <w:t xml:space="preserve">Standing Directions </w:t>
      </w:r>
      <w:r w:rsidRPr="001C0525">
        <w:t>issued under</w:t>
      </w:r>
      <w:r w:rsidR="00F42D25">
        <w:t xml:space="preserve"> the</w:t>
      </w:r>
      <w:r w:rsidRPr="001C0525">
        <w:t xml:space="preserve"> FMA by the Assistant Treasurer that specify public sector agencies’ responsibilities for achieving high standards of public financial management and accountability</w:t>
      </w:r>
      <w:r w:rsidR="008A40D4" w:rsidRPr="001C0525">
        <w:t>.</w:t>
      </w:r>
    </w:p>
    <w:p w14:paraId="103C0CDC" w14:textId="2AD717AA" w:rsidR="00595261" w:rsidRPr="001C0525" w:rsidRDefault="00595261" w:rsidP="00571149">
      <w:pPr>
        <w:pStyle w:val="NormalIndent"/>
        <w:numPr>
          <w:ilvl w:val="0"/>
          <w:numId w:val="12"/>
        </w:numPr>
        <w:jc w:val="both"/>
      </w:pPr>
      <w:r w:rsidRPr="001C0525">
        <w:rPr>
          <w:b/>
          <w:bCs/>
        </w:rPr>
        <w:t xml:space="preserve">Resource Management Framework </w:t>
      </w:r>
      <w:r w:rsidRPr="001C0525">
        <w:t xml:space="preserve">issued under the Standing Directions to provide a governance and operational framework for public sector accountability for the investment </w:t>
      </w:r>
      <w:r w:rsidRPr="001C0525">
        <w:lastRenderedPageBreak/>
        <w:t>of public resources. It includes mandatory requirements and guidance for department</w:t>
      </w:r>
      <w:r w:rsidR="005F03ED">
        <w:t>s</w:t>
      </w:r>
      <w:r w:rsidRPr="001C0525">
        <w:t xml:space="preserve"> of specific topics</w:t>
      </w:r>
      <w:r w:rsidR="008A40D4" w:rsidRPr="001C0525">
        <w:t>.</w:t>
      </w:r>
    </w:p>
    <w:p w14:paraId="19043100" w14:textId="07A85CDF" w:rsidR="00595261" w:rsidRPr="001C0525" w:rsidRDefault="00595261" w:rsidP="00571149">
      <w:pPr>
        <w:pStyle w:val="NormalIndent"/>
        <w:numPr>
          <w:ilvl w:val="0"/>
          <w:numId w:val="12"/>
        </w:numPr>
        <w:jc w:val="both"/>
      </w:pPr>
      <w:r w:rsidRPr="001C0525">
        <w:rPr>
          <w:b/>
          <w:bCs/>
        </w:rPr>
        <w:t xml:space="preserve">Regulators’ own legislation </w:t>
      </w:r>
      <w:r w:rsidRPr="001C0525">
        <w:t>that sets out their purpose, powers, duties and functions.</w:t>
      </w:r>
    </w:p>
    <w:p w14:paraId="4332EA08" w14:textId="77777777" w:rsidR="00595261" w:rsidRPr="001C0525" w:rsidRDefault="00595261" w:rsidP="001D1A0C">
      <w:pPr>
        <w:pStyle w:val="NormalIndent"/>
        <w:ind w:left="720"/>
        <w:jc w:val="both"/>
      </w:pPr>
      <w:r w:rsidRPr="001C0525">
        <w:t>The SOE Framework is intended to complement these existing accountability measures by allowing Ministers to set priorities within the context of these frameworks and to promote greater engagement with regulators.</w:t>
      </w:r>
    </w:p>
    <w:p w14:paraId="0DFE26C7" w14:textId="1F8B36F4" w:rsidR="00A62492" w:rsidRPr="001C0525" w:rsidRDefault="00660635" w:rsidP="00A62492">
      <w:pPr>
        <w:pStyle w:val="Heading3numbered"/>
        <w:ind w:left="792"/>
      </w:pPr>
      <w:r w:rsidRPr="001C0525">
        <w:t>Better Regulation Victoria</w:t>
      </w:r>
    </w:p>
    <w:p w14:paraId="77468B1F" w14:textId="67ED5EAE" w:rsidR="00811FBF" w:rsidRPr="001C0525" w:rsidRDefault="00811FBF" w:rsidP="00811FBF">
      <w:pPr>
        <w:pStyle w:val="NormalIndent"/>
        <w:jc w:val="both"/>
      </w:pPr>
      <w:r w:rsidRPr="001C0525">
        <w:t xml:space="preserve">Under the previous Framework, the Commissioner for </w:t>
      </w:r>
      <w:r w:rsidR="00660635" w:rsidRPr="001C0525">
        <w:t xml:space="preserve">Better Regulation </w:t>
      </w:r>
      <w:r w:rsidRPr="001C0525">
        <w:t>was to review the evaluation reports prepared by departments to identify and highlight the best characteristics of these reports at the Commissioner’s regulator performance improvement forum each year.</w:t>
      </w:r>
    </w:p>
    <w:p w14:paraId="665AFBEB" w14:textId="22630B9B" w:rsidR="00811FBF" w:rsidRPr="001C0525" w:rsidRDefault="00811FBF" w:rsidP="00811FBF">
      <w:pPr>
        <w:pStyle w:val="NormalIndent"/>
        <w:jc w:val="both"/>
      </w:pPr>
      <w:r w:rsidRPr="001C0525">
        <w:t>As departments are</w:t>
      </w:r>
      <w:r w:rsidR="00C825BD">
        <w:t xml:space="preserve"> no longer</w:t>
      </w:r>
      <w:r w:rsidRPr="001C0525">
        <w:t xml:space="preserve"> required to produce these reports, the Commissioner </w:t>
      </w:r>
      <w:r w:rsidR="00C825BD">
        <w:t>isn’t</w:t>
      </w:r>
      <w:r w:rsidRPr="001C0525">
        <w:t xml:space="preserve"> required to </w:t>
      </w:r>
      <w:r w:rsidR="000D4985" w:rsidRPr="001C0525">
        <w:t>review and report on regulator’s progress in meeting their Minister’s expectations.</w:t>
      </w:r>
    </w:p>
    <w:p w14:paraId="2866DC2D" w14:textId="6522343B" w:rsidR="00660635" w:rsidRDefault="000D4985" w:rsidP="003B1742">
      <w:pPr>
        <w:pStyle w:val="NormalIndent"/>
        <w:jc w:val="both"/>
      </w:pPr>
      <w:r w:rsidRPr="001C0525">
        <w:t xml:space="preserve">The Commissioner and </w:t>
      </w:r>
      <w:r w:rsidR="00660635" w:rsidRPr="001C0525">
        <w:t>Better Regulation Victoria will</w:t>
      </w:r>
      <w:r w:rsidRPr="001C0525">
        <w:t xml:space="preserve"> continue to provide practical assistance</w:t>
      </w:r>
      <w:r w:rsidR="003B1742" w:rsidRPr="001C0525">
        <w:t xml:space="preserve"> and information sharing</w:t>
      </w:r>
      <w:r w:rsidRPr="001C0525">
        <w:t xml:space="preserve"> to regulators and departments. </w:t>
      </w:r>
      <w:r w:rsidR="00F2563E" w:rsidRPr="00F2563E">
        <w:t>In collaboration with Victorian regulators, Better Regulation Victoria has developed a guide with 10 principles to support regulators in their journey towards best practice</w:t>
      </w:r>
      <w:r w:rsidR="005E09E7">
        <w:t xml:space="preserve">, titled </w:t>
      </w:r>
      <w:r w:rsidR="005E09E7" w:rsidRPr="00B90434">
        <w:rPr>
          <w:i/>
          <w:iCs/>
        </w:rPr>
        <w:t>Towards Best Practice- A guide for regulators</w:t>
      </w:r>
      <w:r w:rsidR="005E09E7">
        <w:t xml:space="preserve">. The guide can be accessed at: </w:t>
      </w:r>
      <w:hyperlink r:id="rId31" w:history="1">
        <w:r w:rsidR="00E54631" w:rsidRPr="006A65BB">
          <w:rPr>
            <w:rStyle w:val="Hyperlink"/>
          </w:rPr>
          <w:t>/www.vic.gov.au/towards-best-practice-guide-regulators</w:t>
        </w:r>
      </w:hyperlink>
      <w:r w:rsidR="00F2563E" w:rsidRPr="00F2563E">
        <w:t>.</w:t>
      </w:r>
      <w:r w:rsidR="00F2563E">
        <w:t xml:space="preserve"> </w:t>
      </w:r>
      <w:r w:rsidR="003B1742" w:rsidRPr="001C0525">
        <w:t>Better Regulation Victoria will be the custodian of this guidance to ensure it remains fit for purpose.</w:t>
      </w:r>
    </w:p>
    <w:p w14:paraId="19C10168" w14:textId="1A9351E0" w:rsidR="00CE4C07" w:rsidRDefault="00CE4C07" w:rsidP="003B1742">
      <w:pPr>
        <w:pStyle w:val="NormalIndent"/>
        <w:jc w:val="both"/>
      </w:pPr>
    </w:p>
    <w:p w14:paraId="20B8ABDC" w14:textId="228E7537" w:rsidR="00CE4C07" w:rsidRDefault="00CE4C07" w:rsidP="003B1742">
      <w:pPr>
        <w:pStyle w:val="NormalIndent"/>
        <w:jc w:val="both"/>
      </w:pPr>
    </w:p>
    <w:p w14:paraId="4E33803E" w14:textId="460A5D42" w:rsidR="00CE4C07" w:rsidRDefault="00CE4C07" w:rsidP="003B1742">
      <w:pPr>
        <w:pStyle w:val="NormalIndent"/>
        <w:jc w:val="both"/>
      </w:pPr>
    </w:p>
    <w:p w14:paraId="16A87609" w14:textId="4AF975EB" w:rsidR="00CE4C07" w:rsidRDefault="00CE4C07" w:rsidP="003B1742">
      <w:pPr>
        <w:pStyle w:val="NormalIndent"/>
        <w:jc w:val="both"/>
      </w:pPr>
    </w:p>
    <w:p w14:paraId="5F2DA11F" w14:textId="0FAC7C49" w:rsidR="00CE4C07" w:rsidRDefault="00CE4C07" w:rsidP="003B1742">
      <w:pPr>
        <w:pStyle w:val="NormalIndent"/>
        <w:jc w:val="both"/>
      </w:pPr>
    </w:p>
    <w:p w14:paraId="6728C413" w14:textId="4012880F" w:rsidR="00CE4C07" w:rsidRDefault="00CE4C07" w:rsidP="003B1742">
      <w:pPr>
        <w:pStyle w:val="NormalIndent"/>
        <w:jc w:val="both"/>
      </w:pPr>
    </w:p>
    <w:p w14:paraId="21FA8C3B" w14:textId="380A41BB" w:rsidR="00CE4C07" w:rsidRDefault="00CE4C07" w:rsidP="003B1742">
      <w:pPr>
        <w:pStyle w:val="NormalIndent"/>
        <w:jc w:val="both"/>
      </w:pPr>
    </w:p>
    <w:p w14:paraId="7C8884F0" w14:textId="342EFDF5" w:rsidR="00CE4C07" w:rsidRDefault="00CE4C07" w:rsidP="003B1742">
      <w:pPr>
        <w:pStyle w:val="NormalIndent"/>
        <w:jc w:val="both"/>
      </w:pPr>
    </w:p>
    <w:p w14:paraId="09D18157" w14:textId="673913DE" w:rsidR="00CE4C07" w:rsidRDefault="00CE4C07" w:rsidP="003B1742">
      <w:pPr>
        <w:pStyle w:val="NormalIndent"/>
        <w:jc w:val="both"/>
      </w:pPr>
    </w:p>
    <w:p w14:paraId="13BC22CA" w14:textId="761E1629" w:rsidR="00CE4C07" w:rsidRDefault="00CE4C07" w:rsidP="003B1742">
      <w:pPr>
        <w:pStyle w:val="NormalIndent"/>
        <w:jc w:val="both"/>
      </w:pPr>
    </w:p>
    <w:p w14:paraId="7B450DAA" w14:textId="08CAFDB6" w:rsidR="00CE4C07" w:rsidRDefault="00CE4C07" w:rsidP="003B1742">
      <w:pPr>
        <w:pStyle w:val="NormalIndent"/>
        <w:jc w:val="both"/>
      </w:pPr>
    </w:p>
    <w:p w14:paraId="6E73DFE5" w14:textId="2817FC9B" w:rsidR="00CE4C07" w:rsidRDefault="00CE4C07" w:rsidP="003B1742">
      <w:pPr>
        <w:pStyle w:val="NormalIndent"/>
        <w:jc w:val="both"/>
      </w:pPr>
    </w:p>
    <w:p w14:paraId="3B427DC2" w14:textId="5980ADD6" w:rsidR="00CE4C07" w:rsidRDefault="00CE4C07" w:rsidP="003B1742">
      <w:pPr>
        <w:pStyle w:val="NormalIndent"/>
        <w:jc w:val="both"/>
      </w:pPr>
    </w:p>
    <w:p w14:paraId="3899C362" w14:textId="0C78C34C" w:rsidR="00CE4C07" w:rsidRDefault="00CE4C07" w:rsidP="003B1742">
      <w:pPr>
        <w:pStyle w:val="NormalIndent"/>
        <w:jc w:val="both"/>
      </w:pPr>
    </w:p>
    <w:p w14:paraId="0FE8E2B3" w14:textId="5D92AE0A" w:rsidR="00CE4C07" w:rsidRDefault="00CE4C07" w:rsidP="003B1742">
      <w:pPr>
        <w:pStyle w:val="NormalIndent"/>
        <w:jc w:val="both"/>
      </w:pPr>
    </w:p>
    <w:p w14:paraId="5F2BAE44" w14:textId="77777777" w:rsidR="00CE4C07" w:rsidRDefault="00CE4C07" w:rsidP="003B1742">
      <w:pPr>
        <w:pStyle w:val="NormalIndent"/>
        <w:jc w:val="both"/>
      </w:pPr>
    </w:p>
    <w:p w14:paraId="5310B036" w14:textId="657A384F" w:rsidR="00B57BAA" w:rsidRDefault="00911461" w:rsidP="00392484">
      <w:pPr>
        <w:pStyle w:val="Heading1numbered"/>
      </w:pPr>
      <w:r>
        <w:lastRenderedPageBreak/>
        <w:t>Impact on different types of regulators</w:t>
      </w:r>
    </w:p>
    <w:bookmarkEnd w:id="1"/>
    <w:p w14:paraId="7A34D729" w14:textId="613E2CE9" w:rsidR="00D6739B" w:rsidRDefault="00D6739B" w:rsidP="001D1A0C">
      <w:pPr>
        <w:pStyle w:val="NormalIndent"/>
        <w:ind w:left="720"/>
        <w:jc w:val="both"/>
      </w:pPr>
      <w:r w:rsidRPr="00D6739B">
        <w:t>Victorian regulators have different governance structures and the new SOE Framework will have a different impact on different types of regulators regarding their engagement with their Minister, their business planning processes and annual reporting.</w:t>
      </w:r>
    </w:p>
    <w:tbl>
      <w:tblPr>
        <w:tblStyle w:val="GridTable1Light"/>
        <w:tblW w:w="0" w:type="auto"/>
        <w:tblInd w:w="562" w:type="dxa"/>
        <w:tblLayout w:type="fixed"/>
        <w:tblLook w:val="04A0" w:firstRow="1" w:lastRow="0" w:firstColumn="1" w:lastColumn="0" w:noHBand="0" w:noVBand="1"/>
      </w:tblPr>
      <w:tblGrid>
        <w:gridCol w:w="2113"/>
        <w:gridCol w:w="2114"/>
        <w:gridCol w:w="2113"/>
        <w:gridCol w:w="2114"/>
      </w:tblGrid>
      <w:tr w:rsidR="00D6739B" w14:paraId="62C925E0" w14:textId="77777777" w:rsidTr="003D0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shd w:val="clear" w:color="auto" w:fill="68CEF2" w:themeFill="accent2"/>
          </w:tcPr>
          <w:p w14:paraId="6CDEF4AC" w14:textId="6194898C" w:rsidR="00D6739B" w:rsidRDefault="00D6739B" w:rsidP="00D6739B">
            <w:pPr>
              <w:pStyle w:val="NormalIndent"/>
              <w:ind w:left="0"/>
            </w:pPr>
            <w:r w:rsidRPr="00D6739B">
              <w:t>Type of Regulator</w:t>
            </w:r>
          </w:p>
        </w:tc>
        <w:tc>
          <w:tcPr>
            <w:tcW w:w="2114" w:type="dxa"/>
            <w:shd w:val="clear" w:color="auto" w:fill="68CEF2" w:themeFill="accent2"/>
          </w:tcPr>
          <w:p w14:paraId="405D6EBC" w14:textId="4594D492" w:rsidR="00D6739B" w:rsidRDefault="00D6739B" w:rsidP="00D6739B">
            <w:pPr>
              <w:spacing w:before="0" w:after="200" w:line="276" w:lineRule="auto"/>
              <w:cnfStyle w:val="100000000000" w:firstRow="1" w:lastRow="0" w:firstColumn="0" w:lastColumn="0" w:oddVBand="0" w:evenVBand="0" w:oddHBand="0" w:evenHBand="0" w:firstRowFirstColumn="0" w:firstRowLastColumn="0" w:lastRowFirstColumn="0" w:lastRowLastColumn="0"/>
            </w:pPr>
            <w:r w:rsidRPr="00D6739B">
              <w:t>Ministerial guidance</w:t>
            </w:r>
          </w:p>
        </w:tc>
        <w:tc>
          <w:tcPr>
            <w:tcW w:w="2113" w:type="dxa"/>
            <w:shd w:val="clear" w:color="auto" w:fill="68CEF2" w:themeFill="accent2"/>
          </w:tcPr>
          <w:p w14:paraId="5B6DECB3" w14:textId="1A1813A3" w:rsidR="00D6739B" w:rsidRDefault="00D6739B" w:rsidP="00D6739B">
            <w:pPr>
              <w:pStyle w:val="NormalIndent"/>
              <w:ind w:left="0"/>
              <w:cnfStyle w:val="100000000000" w:firstRow="1" w:lastRow="0" w:firstColumn="0" w:lastColumn="0" w:oddVBand="0" w:evenVBand="0" w:oddHBand="0" w:evenHBand="0" w:firstRowFirstColumn="0" w:firstRowLastColumn="0" w:lastRowFirstColumn="0" w:lastRowLastColumn="0"/>
            </w:pPr>
            <w:r>
              <w:t>Business planning</w:t>
            </w:r>
          </w:p>
        </w:tc>
        <w:tc>
          <w:tcPr>
            <w:tcW w:w="2114" w:type="dxa"/>
            <w:shd w:val="clear" w:color="auto" w:fill="68CEF2" w:themeFill="accent2"/>
          </w:tcPr>
          <w:p w14:paraId="231E7708" w14:textId="01289590" w:rsidR="00D6739B" w:rsidRDefault="00D6739B" w:rsidP="00D6739B">
            <w:pPr>
              <w:pStyle w:val="NormalIndent"/>
              <w:ind w:left="0"/>
              <w:cnfStyle w:val="100000000000" w:firstRow="1" w:lastRow="0" w:firstColumn="0" w:lastColumn="0" w:oddVBand="0" w:evenVBand="0" w:oddHBand="0" w:evenHBand="0" w:firstRowFirstColumn="0" w:firstRowLastColumn="0" w:lastRowFirstColumn="0" w:lastRowLastColumn="0"/>
            </w:pPr>
            <w:r>
              <w:t>Annual reporting</w:t>
            </w:r>
          </w:p>
        </w:tc>
      </w:tr>
      <w:tr w:rsidR="003D0E5C" w14:paraId="10A7831F" w14:textId="77777777" w:rsidTr="003D0E5C">
        <w:tc>
          <w:tcPr>
            <w:cnfStyle w:val="001000000000" w:firstRow="0" w:lastRow="0" w:firstColumn="1" w:lastColumn="0" w:oddVBand="0" w:evenVBand="0" w:oddHBand="0" w:evenHBand="0" w:firstRowFirstColumn="0" w:firstRowLastColumn="0" w:lastRowFirstColumn="0" w:lastRowLastColumn="0"/>
            <w:tcW w:w="2113" w:type="dxa"/>
            <w:shd w:val="clear" w:color="auto" w:fill="E0F5FC" w:themeFill="accent2" w:themeFillTint="33"/>
          </w:tcPr>
          <w:p w14:paraId="59BEF683" w14:textId="72C6127D" w:rsidR="00D6739B" w:rsidRPr="00D6739B" w:rsidRDefault="00D6739B" w:rsidP="003D0E5C">
            <w:pPr>
              <w:pStyle w:val="NormalIndent"/>
              <w:ind w:left="0"/>
              <w:rPr>
                <w:b w:val="0"/>
                <w:bCs w:val="0"/>
              </w:rPr>
            </w:pPr>
            <w:r w:rsidRPr="00D6739B">
              <w:rPr>
                <w:b w:val="0"/>
                <w:bCs w:val="0"/>
              </w:rPr>
              <w:t xml:space="preserve">Independent statutory authorities with own business planning processes and reporting (eg WorkSafe, </w:t>
            </w:r>
            <w:r w:rsidR="00F42D25">
              <w:rPr>
                <w:b w:val="0"/>
                <w:bCs w:val="0"/>
              </w:rPr>
              <w:t>Victorian Building Authority</w:t>
            </w:r>
            <w:r w:rsidR="003D0E5C">
              <w:rPr>
                <w:b w:val="0"/>
                <w:bCs w:val="0"/>
              </w:rPr>
              <w:t>)</w:t>
            </w:r>
          </w:p>
        </w:tc>
        <w:tc>
          <w:tcPr>
            <w:tcW w:w="2114" w:type="dxa"/>
            <w:shd w:val="clear" w:color="auto" w:fill="E0F5FC" w:themeFill="accent2" w:themeFillTint="33"/>
          </w:tcPr>
          <w:p w14:paraId="0E03EE43" w14:textId="55631D61" w:rsidR="00D6739B" w:rsidRDefault="00D6739B" w:rsidP="003D0E5C">
            <w:pPr>
              <w:pStyle w:val="NormalIndent"/>
              <w:ind w:left="0"/>
              <w:cnfStyle w:val="000000000000" w:firstRow="0" w:lastRow="0" w:firstColumn="0" w:lastColumn="0" w:oddVBand="0" w:evenVBand="0" w:oddHBand="0" w:evenHBand="0" w:firstRowFirstColumn="0" w:firstRowLastColumn="0" w:lastRowFirstColumn="0" w:lastRowLastColumn="0"/>
            </w:pPr>
            <w:r w:rsidRPr="00D6739B">
              <w:t>Board/ Commissioners to engage with the Minister.</w:t>
            </w:r>
          </w:p>
        </w:tc>
        <w:tc>
          <w:tcPr>
            <w:tcW w:w="2113" w:type="dxa"/>
            <w:shd w:val="clear" w:color="auto" w:fill="E0F5FC" w:themeFill="accent2" w:themeFillTint="33"/>
          </w:tcPr>
          <w:p w14:paraId="47D83EAE" w14:textId="3572AB97" w:rsidR="00D6739B" w:rsidRDefault="00D6739B" w:rsidP="003D0E5C">
            <w:pPr>
              <w:pStyle w:val="NormalIndent"/>
              <w:ind w:left="0"/>
              <w:cnfStyle w:val="000000000000" w:firstRow="0" w:lastRow="0" w:firstColumn="0" w:lastColumn="0" w:oddVBand="0" w:evenVBand="0" w:oddHBand="0" w:evenHBand="0" w:firstRowFirstColumn="0" w:firstRowLastColumn="0" w:lastRowFirstColumn="0" w:lastRowLastColumn="0"/>
            </w:pPr>
            <w:r>
              <w:t>Independent planning processes</w:t>
            </w:r>
            <w:r w:rsidR="003D0E5C">
              <w:t>.</w:t>
            </w:r>
          </w:p>
        </w:tc>
        <w:tc>
          <w:tcPr>
            <w:tcW w:w="2114" w:type="dxa"/>
            <w:shd w:val="clear" w:color="auto" w:fill="E0F5FC" w:themeFill="accent2" w:themeFillTint="33"/>
          </w:tcPr>
          <w:p w14:paraId="4DE977D8" w14:textId="4C89A400" w:rsidR="00D6739B" w:rsidRPr="00D6739B" w:rsidRDefault="00D6739B" w:rsidP="003D0E5C">
            <w:pPr>
              <w:pStyle w:val="NormalIndent"/>
              <w:ind w:left="0"/>
              <w:cnfStyle w:val="000000000000" w:firstRow="0" w:lastRow="0" w:firstColumn="0" w:lastColumn="0" w:oddVBand="0" w:evenVBand="0" w:oddHBand="0" w:evenHBand="0" w:firstRowFirstColumn="0" w:firstRowLastColumn="0" w:lastRowFirstColumn="0" w:lastRowLastColumn="0"/>
              <w:rPr>
                <w:rFonts w:cstheme="minorHAnsi"/>
                <w:color w:val="auto"/>
                <w:kern w:val="24"/>
              </w:rPr>
            </w:pPr>
            <w:r w:rsidRPr="00D6739B">
              <w:rPr>
                <w:rFonts w:cstheme="minorHAnsi"/>
                <w:color w:val="auto"/>
                <w:kern w:val="24"/>
              </w:rPr>
              <w:t xml:space="preserve">Likely to have their own Annual Report that can be used for annual reporting. Otherwise, incorporate into departmental Annual </w:t>
            </w:r>
            <w:r w:rsidR="003D0E5C" w:rsidRPr="00D6739B">
              <w:rPr>
                <w:rFonts w:cstheme="minorHAnsi"/>
                <w:color w:val="auto"/>
                <w:kern w:val="24"/>
              </w:rPr>
              <w:t>Report.</w:t>
            </w:r>
          </w:p>
        </w:tc>
      </w:tr>
      <w:tr w:rsidR="00D6739B" w14:paraId="5C0AECC9" w14:textId="77777777" w:rsidTr="003D0E5C">
        <w:tc>
          <w:tcPr>
            <w:cnfStyle w:val="001000000000" w:firstRow="0" w:lastRow="0" w:firstColumn="1" w:lastColumn="0" w:oddVBand="0" w:evenVBand="0" w:oddHBand="0" w:evenHBand="0" w:firstRowFirstColumn="0" w:firstRowLastColumn="0" w:lastRowFirstColumn="0" w:lastRowLastColumn="0"/>
            <w:tcW w:w="2113" w:type="dxa"/>
            <w:shd w:val="clear" w:color="auto" w:fill="C2EBF9" w:themeFill="accent2" w:themeFillTint="66"/>
          </w:tcPr>
          <w:p w14:paraId="0F22643C" w14:textId="2401A845" w:rsidR="00D6739B" w:rsidRPr="00D6739B" w:rsidRDefault="00D6739B" w:rsidP="003D0E5C">
            <w:pPr>
              <w:pStyle w:val="NormalIndent"/>
              <w:ind w:left="0"/>
            </w:pPr>
            <w:r w:rsidRPr="00D6739B">
              <w:rPr>
                <w:b w:val="0"/>
                <w:bCs w:val="0"/>
              </w:rPr>
              <w:t xml:space="preserve">Statutory appointee supported by department (eg </w:t>
            </w:r>
            <w:r w:rsidR="00F42D25">
              <w:rPr>
                <w:b w:val="0"/>
                <w:bCs w:val="0"/>
              </w:rPr>
              <w:t>Consumer Affairs Victoria</w:t>
            </w:r>
            <w:r w:rsidRPr="00D6739B">
              <w:rPr>
                <w:b w:val="0"/>
                <w:bCs w:val="0"/>
              </w:rPr>
              <w:t>)</w:t>
            </w:r>
          </w:p>
          <w:p w14:paraId="055DF416" w14:textId="77777777" w:rsidR="00D6739B" w:rsidRDefault="00D6739B" w:rsidP="003D0E5C">
            <w:pPr>
              <w:pStyle w:val="NormalIndent"/>
              <w:ind w:left="0"/>
            </w:pPr>
          </w:p>
        </w:tc>
        <w:tc>
          <w:tcPr>
            <w:tcW w:w="2114" w:type="dxa"/>
            <w:shd w:val="clear" w:color="auto" w:fill="C2EBF9" w:themeFill="accent2" w:themeFillTint="66"/>
          </w:tcPr>
          <w:p w14:paraId="1BD12FB1" w14:textId="3F0E87CB" w:rsidR="003D0E5C" w:rsidRPr="003D0E5C" w:rsidRDefault="003D0E5C" w:rsidP="003D0E5C">
            <w:pPr>
              <w:pStyle w:val="NormalIndent"/>
              <w:ind w:left="0"/>
              <w:cnfStyle w:val="000000000000" w:firstRow="0" w:lastRow="0" w:firstColumn="0" w:lastColumn="0" w:oddVBand="0" w:evenVBand="0" w:oddHBand="0" w:evenHBand="0" w:firstRowFirstColumn="0" w:firstRowLastColumn="0" w:lastRowFirstColumn="0" w:lastRowLastColumn="0"/>
            </w:pPr>
            <w:r w:rsidRPr="003D0E5C">
              <w:t>Commissioners/</w:t>
            </w:r>
            <w:r>
              <w:t xml:space="preserve"> </w:t>
            </w:r>
            <w:r w:rsidRPr="003D0E5C">
              <w:t>Statutory appointee and Departmental Secretary to engage with the Minister.</w:t>
            </w:r>
          </w:p>
          <w:p w14:paraId="0069AFD6" w14:textId="77777777" w:rsidR="00D6739B" w:rsidRDefault="00D6739B" w:rsidP="003D0E5C">
            <w:pPr>
              <w:pStyle w:val="NormalIndent"/>
              <w:ind w:left="0"/>
              <w:cnfStyle w:val="000000000000" w:firstRow="0" w:lastRow="0" w:firstColumn="0" w:lastColumn="0" w:oddVBand="0" w:evenVBand="0" w:oddHBand="0" w:evenHBand="0" w:firstRowFirstColumn="0" w:firstRowLastColumn="0" w:lastRowFirstColumn="0" w:lastRowLastColumn="0"/>
            </w:pPr>
          </w:p>
        </w:tc>
        <w:tc>
          <w:tcPr>
            <w:tcW w:w="2113" w:type="dxa"/>
            <w:shd w:val="clear" w:color="auto" w:fill="C2EBF9" w:themeFill="accent2" w:themeFillTint="66"/>
          </w:tcPr>
          <w:p w14:paraId="718B4EED" w14:textId="52EA7E9C" w:rsidR="00D6739B" w:rsidRDefault="003D0E5C" w:rsidP="003D0E5C">
            <w:pPr>
              <w:pStyle w:val="NormalIndent"/>
              <w:ind w:left="0"/>
              <w:cnfStyle w:val="000000000000" w:firstRow="0" w:lastRow="0" w:firstColumn="0" w:lastColumn="0" w:oddVBand="0" w:evenVBand="0" w:oddHBand="0" w:evenHBand="0" w:firstRowFirstColumn="0" w:firstRowLastColumn="0" w:lastRowFirstColumn="0" w:lastRowLastColumn="0"/>
            </w:pPr>
            <w:r w:rsidRPr="003D0E5C">
              <w:t>Statutory appointees are usually supported by their department and their planning processes are likely to be dependent on their departmental planning processes</w:t>
            </w:r>
            <w:r>
              <w:t>.</w:t>
            </w:r>
          </w:p>
        </w:tc>
        <w:tc>
          <w:tcPr>
            <w:tcW w:w="2114" w:type="dxa"/>
            <w:shd w:val="clear" w:color="auto" w:fill="C2EBF9" w:themeFill="accent2" w:themeFillTint="66"/>
          </w:tcPr>
          <w:p w14:paraId="0219541E" w14:textId="77777777" w:rsidR="003D0E5C" w:rsidRPr="003D0E5C" w:rsidRDefault="003D0E5C" w:rsidP="003D0E5C">
            <w:pPr>
              <w:pStyle w:val="NormalIndent"/>
              <w:ind w:left="0"/>
              <w:cnfStyle w:val="000000000000" w:firstRow="0" w:lastRow="0" w:firstColumn="0" w:lastColumn="0" w:oddVBand="0" w:evenVBand="0" w:oddHBand="0" w:evenHBand="0" w:firstRowFirstColumn="0" w:firstRowLastColumn="0" w:lastRowFirstColumn="0" w:lastRowLastColumn="0"/>
            </w:pPr>
            <w:r w:rsidRPr="003D0E5C">
              <w:t>Own Annual Report can be used, if they have one, otherwise include in Department Annual Report or as a separate public report.</w:t>
            </w:r>
          </w:p>
          <w:p w14:paraId="085FBE0F" w14:textId="77777777" w:rsidR="00D6739B" w:rsidRDefault="00D6739B" w:rsidP="003D0E5C">
            <w:pPr>
              <w:pStyle w:val="NormalIndent"/>
              <w:ind w:left="0"/>
              <w:cnfStyle w:val="000000000000" w:firstRow="0" w:lastRow="0" w:firstColumn="0" w:lastColumn="0" w:oddVBand="0" w:evenVBand="0" w:oddHBand="0" w:evenHBand="0" w:firstRowFirstColumn="0" w:firstRowLastColumn="0" w:lastRowFirstColumn="0" w:lastRowLastColumn="0"/>
            </w:pPr>
          </w:p>
        </w:tc>
      </w:tr>
      <w:tr w:rsidR="003D0E5C" w14:paraId="2FB21D93" w14:textId="77777777" w:rsidTr="003D0E5C">
        <w:tc>
          <w:tcPr>
            <w:cnfStyle w:val="001000000000" w:firstRow="0" w:lastRow="0" w:firstColumn="1" w:lastColumn="0" w:oddVBand="0" w:evenVBand="0" w:oddHBand="0" w:evenHBand="0" w:firstRowFirstColumn="0" w:firstRowLastColumn="0" w:lastRowFirstColumn="0" w:lastRowLastColumn="0"/>
            <w:tcW w:w="2113" w:type="dxa"/>
            <w:shd w:val="clear" w:color="auto" w:fill="A4E1F7" w:themeFill="accent2" w:themeFillTint="99"/>
          </w:tcPr>
          <w:p w14:paraId="17381E42" w14:textId="77777777" w:rsidR="00D6739B" w:rsidRPr="00D6739B" w:rsidRDefault="00D6739B" w:rsidP="00D6739B">
            <w:pPr>
              <w:pStyle w:val="NormalIndent"/>
              <w:ind w:left="0"/>
              <w:rPr>
                <w:b w:val="0"/>
                <w:bCs w:val="0"/>
              </w:rPr>
            </w:pPr>
            <w:r w:rsidRPr="00D6739B">
              <w:rPr>
                <w:b w:val="0"/>
                <w:bCs w:val="0"/>
              </w:rPr>
              <w:t>Department business unit (eg Agriculture Victoria)</w:t>
            </w:r>
          </w:p>
          <w:p w14:paraId="2A2AC2B9" w14:textId="77777777" w:rsidR="00D6739B" w:rsidRDefault="00D6739B" w:rsidP="00D6739B">
            <w:pPr>
              <w:pStyle w:val="NormalIndent"/>
              <w:ind w:left="0"/>
            </w:pPr>
          </w:p>
        </w:tc>
        <w:tc>
          <w:tcPr>
            <w:tcW w:w="2114" w:type="dxa"/>
            <w:shd w:val="clear" w:color="auto" w:fill="A4E1F7" w:themeFill="accent2" w:themeFillTint="99"/>
          </w:tcPr>
          <w:p w14:paraId="457CF5AB" w14:textId="10CDB487" w:rsidR="00D6739B" w:rsidRDefault="003D0E5C" w:rsidP="00D6739B">
            <w:pPr>
              <w:pStyle w:val="NormalIndent"/>
              <w:ind w:left="0"/>
              <w:cnfStyle w:val="000000000000" w:firstRow="0" w:lastRow="0" w:firstColumn="0" w:lastColumn="0" w:oddVBand="0" w:evenVBand="0" w:oddHBand="0" w:evenHBand="0" w:firstRowFirstColumn="0" w:firstRowLastColumn="0" w:lastRowFirstColumn="0" w:lastRowLastColumn="0"/>
            </w:pPr>
            <w:r w:rsidRPr="003D0E5C">
              <w:t>Departmental Secretary to engage with the Minister</w:t>
            </w:r>
            <w:r>
              <w:t>.</w:t>
            </w:r>
          </w:p>
        </w:tc>
        <w:tc>
          <w:tcPr>
            <w:tcW w:w="2113" w:type="dxa"/>
            <w:shd w:val="clear" w:color="auto" w:fill="A4E1F7" w:themeFill="accent2" w:themeFillTint="99"/>
          </w:tcPr>
          <w:p w14:paraId="65E97F61" w14:textId="5AD37FAA" w:rsidR="00D6739B" w:rsidRDefault="003D0E5C" w:rsidP="00D6739B">
            <w:pPr>
              <w:pStyle w:val="NormalIndent"/>
              <w:ind w:left="0"/>
              <w:cnfStyle w:val="000000000000" w:firstRow="0" w:lastRow="0" w:firstColumn="0" w:lastColumn="0" w:oddVBand="0" w:evenVBand="0" w:oddHBand="0" w:evenHBand="0" w:firstRowFirstColumn="0" w:firstRowLastColumn="0" w:lastRowFirstColumn="0" w:lastRowLastColumn="0"/>
            </w:pPr>
            <w:r w:rsidRPr="003D0E5C">
              <w:t>Planning processes likely to be part of broader departmental planning processes</w:t>
            </w:r>
            <w:r>
              <w:t>.</w:t>
            </w:r>
          </w:p>
        </w:tc>
        <w:tc>
          <w:tcPr>
            <w:tcW w:w="2114" w:type="dxa"/>
            <w:shd w:val="clear" w:color="auto" w:fill="A4E1F7" w:themeFill="accent2" w:themeFillTint="99"/>
          </w:tcPr>
          <w:p w14:paraId="49C89969" w14:textId="61D2ABE2" w:rsidR="00D6739B" w:rsidRDefault="003D0E5C" w:rsidP="00D6739B">
            <w:pPr>
              <w:pStyle w:val="NormalIndent"/>
              <w:ind w:left="0"/>
              <w:cnfStyle w:val="000000000000" w:firstRow="0" w:lastRow="0" w:firstColumn="0" w:lastColumn="0" w:oddVBand="0" w:evenVBand="0" w:oddHBand="0" w:evenHBand="0" w:firstRowFirstColumn="0" w:firstRowLastColumn="0" w:lastRowFirstColumn="0" w:lastRowLastColumn="0"/>
            </w:pPr>
            <w:r w:rsidRPr="003D0E5C">
              <w:t>Unlikely to have own Annual Report, so reporting to be included in Department Annual Report or as a separate public report.</w:t>
            </w:r>
          </w:p>
        </w:tc>
      </w:tr>
    </w:tbl>
    <w:p w14:paraId="7404134D" w14:textId="1E0C4420" w:rsidR="003D0E5C" w:rsidRDefault="003D0E5C" w:rsidP="003D0E5C">
      <w:pPr>
        <w:pStyle w:val="NormalIndent"/>
        <w:ind w:left="0"/>
      </w:pPr>
    </w:p>
    <w:p w14:paraId="579E4DC6" w14:textId="249A8F92" w:rsidR="00CE4C07" w:rsidRDefault="00CE4C07" w:rsidP="003D0E5C">
      <w:pPr>
        <w:pStyle w:val="NormalIndent"/>
        <w:ind w:left="0"/>
      </w:pPr>
    </w:p>
    <w:p w14:paraId="5882A7E2" w14:textId="636F833D" w:rsidR="00CE4C07" w:rsidRDefault="00CE4C07" w:rsidP="003D0E5C">
      <w:pPr>
        <w:pStyle w:val="NormalIndent"/>
        <w:ind w:left="0"/>
      </w:pPr>
    </w:p>
    <w:p w14:paraId="480A9466" w14:textId="72BA938D" w:rsidR="00CE4C07" w:rsidRDefault="00CE4C07" w:rsidP="003D0E5C">
      <w:pPr>
        <w:pStyle w:val="NormalIndent"/>
        <w:ind w:left="0"/>
      </w:pPr>
    </w:p>
    <w:p w14:paraId="7ABB6C66" w14:textId="77777777" w:rsidR="00CE4C07" w:rsidRPr="003D0E5C" w:rsidRDefault="00CE4C07" w:rsidP="003D0E5C">
      <w:pPr>
        <w:pStyle w:val="NormalIndent"/>
        <w:ind w:left="0"/>
      </w:pPr>
    </w:p>
    <w:p w14:paraId="722D3F65" w14:textId="4C0C9EB7" w:rsidR="00B57BAA" w:rsidRDefault="00B57BAA" w:rsidP="00B57BAA">
      <w:pPr>
        <w:pStyle w:val="Heading1numbered"/>
      </w:pPr>
      <w:r>
        <w:lastRenderedPageBreak/>
        <w:t xml:space="preserve">Transition to </w:t>
      </w:r>
      <w:r w:rsidR="00BB62B3">
        <w:t xml:space="preserve">the </w:t>
      </w:r>
      <w:r>
        <w:t>new Framework</w:t>
      </w:r>
    </w:p>
    <w:p w14:paraId="4250E06E" w14:textId="20125A6F" w:rsidR="00AB7E18" w:rsidRPr="001C0525" w:rsidRDefault="00B57BAA" w:rsidP="00AB7E18">
      <w:pPr>
        <w:pStyle w:val="Listnum"/>
        <w:numPr>
          <w:ilvl w:val="0"/>
          <w:numId w:val="0"/>
        </w:numPr>
        <w:ind w:left="720"/>
        <w:jc w:val="both"/>
      </w:pPr>
      <w:r w:rsidRPr="001C0525">
        <w:t xml:space="preserve">The transition to this revised Framework should be undertaken </w:t>
      </w:r>
      <w:r w:rsidRPr="001C0525">
        <w:rPr>
          <w:i/>
          <w:iCs/>
        </w:rPr>
        <w:t>as soon as practicable</w:t>
      </w:r>
      <w:r w:rsidR="00C825BD">
        <w:t xml:space="preserve"> within </w:t>
      </w:r>
      <w:r w:rsidRPr="001C0525">
        <w:t xml:space="preserve">regulators’ existing business planning cycles. </w:t>
      </w:r>
      <w:r w:rsidR="00AB7E18" w:rsidRPr="001C0525">
        <w:t>Regulators aren’t required to remake their existing business plans to transition to this Framework.</w:t>
      </w:r>
    </w:p>
    <w:p w14:paraId="187004CB" w14:textId="7B91CC8B" w:rsidR="00EB60DC" w:rsidRPr="001C0525" w:rsidRDefault="00EB60DC" w:rsidP="00EB60DC">
      <w:pPr>
        <w:pStyle w:val="Listnum"/>
        <w:numPr>
          <w:ilvl w:val="0"/>
          <w:numId w:val="0"/>
        </w:numPr>
        <w:ind w:left="720"/>
        <w:jc w:val="both"/>
      </w:pPr>
      <w:r w:rsidRPr="001C0525">
        <w:t xml:space="preserve">Regulators should identify the earliest </w:t>
      </w:r>
      <w:r w:rsidR="00AB585A" w:rsidRPr="001C0525">
        <w:t>point</w:t>
      </w:r>
      <w:r w:rsidRPr="001C0525">
        <w:t xml:space="preserve"> in their current business cycle where they could incorporate their Minister’s expectations and aim to complete their discussions with their Minister </w:t>
      </w:r>
      <w:r w:rsidR="00AB585A" w:rsidRPr="001C0525">
        <w:t>by that time</w:t>
      </w:r>
      <w:r w:rsidR="00AB7E18" w:rsidRPr="001C0525">
        <w:t xml:space="preserve"> to enable the relevant milestones to be included in their business plans</w:t>
      </w:r>
      <w:r w:rsidRPr="001C0525">
        <w:t>.</w:t>
      </w:r>
    </w:p>
    <w:p w14:paraId="3590C7F0" w14:textId="5A00BACC" w:rsidR="00AB7E18" w:rsidRPr="001C0525" w:rsidRDefault="006B2EC9" w:rsidP="00AB585A">
      <w:pPr>
        <w:pStyle w:val="Listnum"/>
        <w:numPr>
          <w:ilvl w:val="0"/>
          <w:numId w:val="0"/>
        </w:numPr>
        <w:ind w:left="720"/>
        <w:jc w:val="both"/>
      </w:pPr>
      <w:r w:rsidRPr="001C0525">
        <w:t>R</w:t>
      </w:r>
      <w:r w:rsidR="00AB585A" w:rsidRPr="001C0525">
        <w:t xml:space="preserve">egulators </w:t>
      </w:r>
      <w:r w:rsidRPr="001C0525">
        <w:t xml:space="preserve">who </w:t>
      </w:r>
      <w:r w:rsidR="00AB585A" w:rsidRPr="001C0525">
        <w:t xml:space="preserve">have multi-year </w:t>
      </w:r>
      <w:r w:rsidR="003A416A" w:rsidRPr="001C0525">
        <w:t xml:space="preserve">business </w:t>
      </w:r>
      <w:r w:rsidR="00AB585A" w:rsidRPr="001C0525">
        <w:t xml:space="preserve">plans </w:t>
      </w:r>
      <w:r w:rsidR="00AB7E18" w:rsidRPr="001C0525">
        <w:t>can incorporat</w:t>
      </w:r>
      <w:r w:rsidRPr="001C0525">
        <w:t>e</w:t>
      </w:r>
      <w:r w:rsidR="00AB7E18" w:rsidRPr="001C0525">
        <w:t xml:space="preserve"> their Minister’s expectations into their business plans on a progressive basis. </w:t>
      </w:r>
      <w:r w:rsidRPr="001C0525">
        <w:t>Typically,</w:t>
      </w:r>
      <w:r w:rsidR="00AB7E18" w:rsidRPr="001C0525">
        <w:t xml:space="preserve"> this would involve </w:t>
      </w:r>
      <w:r w:rsidRPr="001C0525">
        <w:t>including</w:t>
      </w:r>
      <w:r w:rsidR="00AB7E18" w:rsidRPr="001C0525">
        <w:t xml:space="preserve"> shorter term milestones in their annual </w:t>
      </w:r>
      <w:r w:rsidR="003A416A" w:rsidRPr="001C0525">
        <w:t xml:space="preserve">work </w:t>
      </w:r>
      <w:r w:rsidR="00AB7E18" w:rsidRPr="001C0525">
        <w:t xml:space="preserve">plans </w:t>
      </w:r>
      <w:r w:rsidRPr="001C0525">
        <w:t>and adding longer term milestones as their longer</w:t>
      </w:r>
      <w:r w:rsidR="009B579F">
        <w:noBreakHyphen/>
      </w:r>
      <w:r w:rsidRPr="001C0525">
        <w:t xml:space="preserve">term plans are </w:t>
      </w:r>
      <w:r w:rsidR="00F6203D" w:rsidRPr="001C0525">
        <w:t>developed</w:t>
      </w:r>
      <w:r w:rsidRPr="001C0525">
        <w:t>.</w:t>
      </w:r>
    </w:p>
    <w:p w14:paraId="5F98CC54" w14:textId="16D001BB" w:rsidR="00EB60DC" w:rsidRPr="001C0525" w:rsidRDefault="006B2EC9" w:rsidP="00AB585A">
      <w:pPr>
        <w:pStyle w:val="Listnum"/>
        <w:numPr>
          <w:ilvl w:val="0"/>
          <w:numId w:val="0"/>
        </w:numPr>
        <w:ind w:left="720"/>
        <w:jc w:val="both"/>
      </w:pPr>
      <w:r w:rsidRPr="001C0525">
        <w:t xml:space="preserve">Regulators aren’t </w:t>
      </w:r>
      <w:r w:rsidR="00EB60DC" w:rsidRPr="001C0525">
        <w:t xml:space="preserve">required to wait until their current SOE letters have expired </w:t>
      </w:r>
      <w:r w:rsidR="00AB585A" w:rsidRPr="001C0525">
        <w:t>before</w:t>
      </w:r>
      <w:r w:rsidR="00EB60DC" w:rsidRPr="001C0525">
        <w:t xml:space="preserve"> introduc</w:t>
      </w:r>
      <w:r w:rsidR="00AB585A" w:rsidRPr="001C0525">
        <w:t>ing</w:t>
      </w:r>
      <w:r w:rsidR="00EB60DC" w:rsidRPr="001C0525">
        <w:t xml:space="preserve"> this new Framework.</w:t>
      </w:r>
      <w:r w:rsidRPr="001C0525">
        <w:t xml:space="preserve"> Once their Minister</w:t>
      </w:r>
      <w:r w:rsidR="00F6203D" w:rsidRPr="001C0525">
        <w:t xml:space="preserve"> has issued a new letter, </w:t>
      </w:r>
      <w:r w:rsidRPr="001C0525">
        <w:t xml:space="preserve">any existing SOE letter </w:t>
      </w:r>
      <w:r w:rsidR="00F6203D" w:rsidRPr="001C0525">
        <w:t>is</w:t>
      </w:r>
      <w:r w:rsidRPr="001C0525">
        <w:t xml:space="preserve"> deemed to have expired. Departments aren’t required to complete an evaluation of these expired SOE letters.</w:t>
      </w:r>
    </w:p>
    <w:p w14:paraId="25C7AD22" w14:textId="1814025A" w:rsidR="00C40F9F" w:rsidRPr="001C0525" w:rsidRDefault="00C40F9F" w:rsidP="00AB585A">
      <w:pPr>
        <w:pStyle w:val="Listnum"/>
        <w:numPr>
          <w:ilvl w:val="0"/>
          <w:numId w:val="0"/>
        </w:numPr>
        <w:ind w:left="720"/>
        <w:jc w:val="both"/>
      </w:pPr>
      <w:bookmarkStart w:id="9" w:name="_Hlk80697898"/>
      <w:r w:rsidRPr="001C0525">
        <w:t xml:space="preserve">Given the </w:t>
      </w:r>
      <w:r w:rsidR="00952610" w:rsidRPr="001C0525">
        <w:t xml:space="preserve">timing of the annual business planning cycle, it is anticipated that most regulators </w:t>
      </w:r>
      <w:r w:rsidR="003A416A" w:rsidRPr="001C0525">
        <w:t>will</w:t>
      </w:r>
      <w:r w:rsidR="00952610" w:rsidRPr="001C0525">
        <w:t xml:space="preserve"> </w:t>
      </w:r>
      <w:r w:rsidR="00F6203D" w:rsidRPr="001C0525">
        <w:t>be</w:t>
      </w:r>
      <w:r w:rsidR="00952610" w:rsidRPr="001C0525">
        <w:t xml:space="preserve"> transitio</w:t>
      </w:r>
      <w:r w:rsidR="00F6203D" w:rsidRPr="001C0525">
        <w:t>ning</w:t>
      </w:r>
      <w:r w:rsidR="00952610" w:rsidRPr="001C0525">
        <w:t xml:space="preserve"> to the new Framework by 1 July 2022.</w:t>
      </w:r>
      <w:bookmarkEnd w:id="9"/>
    </w:p>
    <w:p w14:paraId="1A94A316" w14:textId="6A4A33FF" w:rsidR="005A1D28" w:rsidRDefault="005A1D28" w:rsidP="00AB585A">
      <w:pPr>
        <w:pStyle w:val="Listnum"/>
        <w:numPr>
          <w:ilvl w:val="0"/>
          <w:numId w:val="0"/>
        </w:numPr>
        <w:ind w:left="720"/>
        <w:jc w:val="both"/>
      </w:pPr>
      <w:r w:rsidRPr="001C0525">
        <w:t xml:space="preserve">In some cases, Ministers who have recently issued a new SOE letter may prefer to transition to this new Framework </w:t>
      </w:r>
      <w:r w:rsidR="00501977" w:rsidRPr="001C0525">
        <w:t>when those letters have expired.</w:t>
      </w:r>
    </w:p>
    <w:p w14:paraId="6962B2B1" w14:textId="7E431B45" w:rsidR="0098784B" w:rsidRDefault="0098784B" w:rsidP="00EB60DC">
      <w:pPr>
        <w:spacing w:before="0" w:after="200" w:line="276" w:lineRule="auto"/>
        <w:ind w:left="720"/>
        <w:jc w:val="both"/>
      </w:pPr>
      <w:r>
        <w:br w:type="page"/>
      </w:r>
    </w:p>
    <w:p w14:paraId="54EDBCC9" w14:textId="3798A220" w:rsidR="0098784B" w:rsidRDefault="0098784B" w:rsidP="0098784B">
      <w:pPr>
        <w:pStyle w:val="Heading1"/>
      </w:pPr>
      <w:bookmarkStart w:id="10" w:name="_Toc483905995"/>
      <w:r>
        <w:lastRenderedPageBreak/>
        <w:t xml:space="preserve">Attachment 1 – </w:t>
      </w:r>
      <w:r w:rsidRPr="00C31888">
        <w:t>List of Victorian business regulators</w:t>
      </w:r>
      <w:bookmarkEnd w:id="10"/>
      <w:r w:rsidR="00560250">
        <w:t xml:space="preserve"> covered by the Statement of Expectations for Regulators framework</w:t>
      </w:r>
    </w:p>
    <w:p w14:paraId="3F7050D9" w14:textId="448C3566" w:rsidR="0098784B" w:rsidRPr="006D314E" w:rsidRDefault="0098784B" w:rsidP="0098784B">
      <w:r>
        <w:rPr>
          <w:lang w:eastAsia="en-US"/>
        </w:rPr>
        <w:t xml:space="preserve">This list is true as of </w:t>
      </w:r>
      <w:r w:rsidR="005478BD">
        <w:rPr>
          <w:lang w:eastAsia="en-US"/>
        </w:rPr>
        <w:t>20</w:t>
      </w:r>
      <w:r w:rsidR="007B541C">
        <w:rPr>
          <w:lang w:eastAsia="en-US"/>
        </w:rPr>
        <w:t xml:space="preserve"> </w:t>
      </w:r>
      <w:r w:rsidR="005478BD">
        <w:rPr>
          <w:lang w:eastAsia="en-US"/>
        </w:rPr>
        <w:t>March 2023</w:t>
      </w:r>
      <w:r w:rsidR="00575AD9">
        <w:rPr>
          <w:lang w:eastAsia="en-US"/>
        </w:rPr>
        <w:t xml:space="preserve">. </w:t>
      </w:r>
      <w:r>
        <w:rPr>
          <w:lang w:eastAsia="en-US"/>
        </w:rPr>
        <w:t>This list may be varied at any time at the Minister</w:t>
      </w:r>
      <w:r w:rsidR="00FC5A65">
        <w:rPr>
          <w:lang w:eastAsia="en-US"/>
        </w:rPr>
        <w:t xml:space="preserve">’s </w:t>
      </w:r>
      <w:r>
        <w:rPr>
          <w:lang w:eastAsia="en-US"/>
        </w:rPr>
        <w:t>discretion.</w:t>
      </w:r>
    </w:p>
    <w:tbl>
      <w:tblPr>
        <w:tblStyle w:val="DTFtexttable"/>
        <w:tblW w:w="9293" w:type="dxa"/>
        <w:tblBorders>
          <w:top w:val="single" w:sz="6" w:space="0" w:color="0072CE" w:themeColor="accent1"/>
          <w:bottom w:val="single" w:sz="12" w:space="0" w:color="0072CE" w:themeColor="accent1"/>
          <w:insideH w:val="single" w:sz="6" w:space="0" w:color="0072CE" w:themeColor="accent1"/>
        </w:tblBorders>
        <w:tblLook w:val="0620" w:firstRow="1" w:lastRow="0" w:firstColumn="0" w:lastColumn="0" w:noHBand="1" w:noVBand="1"/>
      </w:tblPr>
      <w:tblGrid>
        <w:gridCol w:w="4288"/>
        <w:gridCol w:w="2881"/>
        <w:gridCol w:w="2124"/>
      </w:tblGrid>
      <w:tr w:rsidR="00540654" w:rsidRPr="00C31888" w14:paraId="1F3525B9" w14:textId="77777777" w:rsidTr="00EC2F04">
        <w:trPr>
          <w:cnfStyle w:val="100000000000" w:firstRow="1" w:lastRow="0" w:firstColumn="0" w:lastColumn="0" w:oddVBand="0" w:evenVBand="0" w:oddHBand="0" w:evenHBand="0" w:firstRowFirstColumn="0" w:firstRowLastColumn="0" w:lastRowFirstColumn="0" w:lastRowLastColumn="0"/>
        </w:trPr>
        <w:tc>
          <w:tcPr>
            <w:tcW w:w="2307" w:type="pct"/>
          </w:tcPr>
          <w:p w14:paraId="7503C96D" w14:textId="77777777" w:rsidR="00540654" w:rsidRPr="00C31888" w:rsidRDefault="00540654" w:rsidP="00EC2F04">
            <w:r w:rsidRPr="00C31888">
              <w:t xml:space="preserve">Business </w:t>
            </w:r>
            <w:r>
              <w:t>r</w:t>
            </w:r>
            <w:r w:rsidRPr="00C31888">
              <w:t>egulator</w:t>
            </w:r>
          </w:p>
        </w:tc>
        <w:tc>
          <w:tcPr>
            <w:tcW w:w="1550" w:type="pct"/>
          </w:tcPr>
          <w:p w14:paraId="2D53442C" w14:textId="77777777" w:rsidR="00540654" w:rsidRPr="00C31888" w:rsidRDefault="00540654" w:rsidP="00EC2F04">
            <w:r w:rsidRPr="00C31888">
              <w:t>Ministerial responsibility</w:t>
            </w:r>
          </w:p>
        </w:tc>
        <w:tc>
          <w:tcPr>
            <w:tcW w:w="1143" w:type="pct"/>
          </w:tcPr>
          <w:p w14:paraId="6E6B2346" w14:textId="77777777" w:rsidR="00540654" w:rsidRPr="00C31888" w:rsidRDefault="00540654" w:rsidP="00EC2F04">
            <w:r w:rsidRPr="00C31888">
              <w:t>Department</w:t>
            </w:r>
          </w:p>
        </w:tc>
      </w:tr>
      <w:tr w:rsidR="00540654" w:rsidRPr="00C31888" w14:paraId="74E2A499" w14:textId="77777777" w:rsidTr="00EC2F04">
        <w:tc>
          <w:tcPr>
            <w:tcW w:w="2307" w:type="pct"/>
          </w:tcPr>
          <w:p w14:paraId="54F4F642" w14:textId="77777777" w:rsidR="00540654" w:rsidRPr="006A205D" w:rsidRDefault="00540654" w:rsidP="0098784B">
            <w:pPr>
              <w:pStyle w:val="ListParagraph"/>
              <w:numPr>
                <w:ilvl w:val="0"/>
                <w:numId w:val="8"/>
              </w:numPr>
              <w:spacing w:before="100" w:after="100"/>
              <w:rPr>
                <w:color w:val="000000"/>
              </w:rPr>
            </w:pPr>
            <w:r w:rsidRPr="006A205D">
              <w:rPr>
                <w:color w:val="000000"/>
              </w:rPr>
              <w:t>Victorian Institute of Teaching</w:t>
            </w:r>
          </w:p>
          <w:p w14:paraId="549829D4" w14:textId="77777777" w:rsidR="00540654" w:rsidRPr="006A205D" w:rsidRDefault="00540654" w:rsidP="0098784B">
            <w:pPr>
              <w:pStyle w:val="ListParagraph"/>
              <w:numPr>
                <w:ilvl w:val="0"/>
                <w:numId w:val="8"/>
              </w:numPr>
              <w:spacing w:before="100" w:after="100"/>
              <w:rPr>
                <w:color w:val="000000"/>
              </w:rPr>
            </w:pPr>
            <w:r w:rsidRPr="006A205D">
              <w:rPr>
                <w:color w:val="000000"/>
              </w:rPr>
              <w:t>Quality Assessment and Regulation Division</w:t>
            </w:r>
          </w:p>
        </w:tc>
        <w:tc>
          <w:tcPr>
            <w:tcW w:w="1550" w:type="pct"/>
          </w:tcPr>
          <w:p w14:paraId="6C897A69" w14:textId="77777777" w:rsidR="00540654" w:rsidRPr="00C31888" w:rsidRDefault="00540654" w:rsidP="00EC2F04">
            <w:pPr>
              <w:spacing w:before="100"/>
              <w:rPr>
                <w:bCs/>
              </w:rPr>
            </w:pPr>
            <w:r>
              <w:rPr>
                <w:bCs/>
              </w:rPr>
              <w:t>Minister for Education</w:t>
            </w:r>
          </w:p>
        </w:tc>
        <w:tc>
          <w:tcPr>
            <w:tcW w:w="1143" w:type="pct"/>
          </w:tcPr>
          <w:p w14:paraId="712A0A86" w14:textId="77777777" w:rsidR="00540654" w:rsidRPr="00C31888" w:rsidRDefault="00540654" w:rsidP="00EC2F04">
            <w:pPr>
              <w:spacing w:before="100"/>
              <w:rPr>
                <w:bCs/>
              </w:rPr>
            </w:pPr>
            <w:r w:rsidRPr="00C31888">
              <w:rPr>
                <w:bCs/>
              </w:rPr>
              <w:t xml:space="preserve">Education </w:t>
            </w:r>
          </w:p>
        </w:tc>
      </w:tr>
      <w:tr w:rsidR="00540654" w:rsidRPr="00C31888" w14:paraId="6A8B7FBF" w14:textId="77777777" w:rsidTr="00EC2F04">
        <w:tc>
          <w:tcPr>
            <w:tcW w:w="2307" w:type="pct"/>
          </w:tcPr>
          <w:p w14:paraId="35D16D68" w14:textId="77777777" w:rsidR="00540654" w:rsidRDefault="00540654" w:rsidP="00EC2F04">
            <w:pPr>
              <w:spacing w:before="100"/>
              <w:rPr>
                <w:color w:val="000000"/>
              </w:rPr>
            </w:pPr>
            <w:r w:rsidRPr="00C31888">
              <w:rPr>
                <w:color w:val="000000"/>
              </w:rPr>
              <w:t>Victorian Registrati</w:t>
            </w:r>
            <w:r>
              <w:rPr>
                <w:color w:val="000000"/>
              </w:rPr>
              <w:t>on and Qualifications Authority</w:t>
            </w:r>
          </w:p>
          <w:p w14:paraId="3E5EF0F2" w14:textId="77777777" w:rsidR="00540654" w:rsidRDefault="00540654" w:rsidP="00EC2F04">
            <w:pPr>
              <w:spacing w:before="100"/>
              <w:rPr>
                <w:color w:val="000000"/>
              </w:rPr>
            </w:pPr>
          </w:p>
          <w:p w14:paraId="5B4E364D" w14:textId="77777777" w:rsidR="00540654" w:rsidRPr="00183113" w:rsidRDefault="00540654" w:rsidP="00EC2F04">
            <w:pPr>
              <w:spacing w:before="100"/>
              <w:rPr>
                <w:color w:val="000000"/>
              </w:rPr>
            </w:pPr>
          </w:p>
        </w:tc>
        <w:tc>
          <w:tcPr>
            <w:tcW w:w="1550" w:type="pct"/>
          </w:tcPr>
          <w:p w14:paraId="6285FF43" w14:textId="77777777" w:rsidR="00540654" w:rsidRDefault="00540654" w:rsidP="00EC2F04">
            <w:pPr>
              <w:spacing w:before="100" w:after="60"/>
              <w:rPr>
                <w:bCs/>
              </w:rPr>
            </w:pPr>
            <w:r w:rsidRPr="00C31888">
              <w:rPr>
                <w:bCs/>
              </w:rPr>
              <w:t>Minister for Education</w:t>
            </w:r>
          </w:p>
          <w:p w14:paraId="499E9EA2" w14:textId="77777777" w:rsidR="00540654" w:rsidRDefault="00540654" w:rsidP="00EC2F04">
            <w:pPr>
              <w:spacing w:before="100" w:after="60"/>
              <w:rPr>
                <w:bCs/>
              </w:rPr>
            </w:pPr>
            <w:r w:rsidRPr="00C31888">
              <w:rPr>
                <w:bCs/>
              </w:rPr>
              <w:t>M</w:t>
            </w:r>
            <w:r>
              <w:rPr>
                <w:bCs/>
              </w:rPr>
              <w:t>inister for Training and Skills</w:t>
            </w:r>
          </w:p>
          <w:p w14:paraId="653878E7" w14:textId="77777777" w:rsidR="00540654" w:rsidRDefault="00540654" w:rsidP="00EC2F04">
            <w:pPr>
              <w:spacing w:before="100" w:after="60"/>
              <w:rPr>
                <w:bCs/>
              </w:rPr>
            </w:pPr>
            <w:r w:rsidRPr="00C31888">
              <w:rPr>
                <w:bCs/>
              </w:rPr>
              <w:t>M</w:t>
            </w:r>
            <w:r>
              <w:rPr>
                <w:bCs/>
              </w:rPr>
              <w:t>inister for Higher Education</w:t>
            </w:r>
          </w:p>
          <w:p w14:paraId="42831DC5" w14:textId="77777777" w:rsidR="00540654" w:rsidRPr="00183113" w:rsidRDefault="00540654" w:rsidP="00EC2F04">
            <w:pPr>
              <w:spacing w:before="100" w:after="60"/>
              <w:rPr>
                <w:bCs/>
              </w:rPr>
            </w:pPr>
            <w:r>
              <w:rPr>
                <w:bCs/>
              </w:rPr>
              <w:t xml:space="preserve">Minister for Industry and Innovation </w:t>
            </w:r>
          </w:p>
        </w:tc>
        <w:tc>
          <w:tcPr>
            <w:tcW w:w="1143" w:type="pct"/>
          </w:tcPr>
          <w:p w14:paraId="3B19DEF7" w14:textId="77777777" w:rsidR="00540654" w:rsidRPr="00C31888" w:rsidRDefault="00540654" w:rsidP="00EC2F04">
            <w:pPr>
              <w:spacing w:before="100"/>
              <w:rPr>
                <w:rFonts w:eastAsia="Calibri"/>
                <w:bCs/>
              </w:rPr>
            </w:pPr>
            <w:r w:rsidRPr="00C31888">
              <w:rPr>
                <w:bCs/>
              </w:rPr>
              <w:t xml:space="preserve">Education </w:t>
            </w:r>
          </w:p>
        </w:tc>
      </w:tr>
      <w:tr w:rsidR="00540654" w:rsidRPr="00C31888" w14:paraId="5BDC934E" w14:textId="77777777" w:rsidTr="00EC2F04">
        <w:tc>
          <w:tcPr>
            <w:tcW w:w="2307" w:type="pct"/>
          </w:tcPr>
          <w:p w14:paraId="04B0B04F" w14:textId="77777777" w:rsidR="00540654" w:rsidRPr="00C31888" w:rsidRDefault="00540654" w:rsidP="0098784B">
            <w:pPr>
              <w:pStyle w:val="Tablebullet"/>
              <w:spacing w:before="100"/>
            </w:pPr>
            <w:r>
              <w:t>Agriculture Victoria</w:t>
            </w:r>
          </w:p>
          <w:p w14:paraId="09688C16" w14:textId="77777777" w:rsidR="00540654" w:rsidRPr="00C31888" w:rsidRDefault="00540654" w:rsidP="0098784B">
            <w:pPr>
              <w:pStyle w:val="Tablebullet"/>
            </w:pPr>
            <w:r w:rsidRPr="00C31888">
              <w:t>Dairy Food Safety Victoria</w:t>
            </w:r>
          </w:p>
          <w:p w14:paraId="0AD2E31D" w14:textId="77777777" w:rsidR="00540654" w:rsidRPr="00C31888" w:rsidRDefault="00540654" w:rsidP="0098784B">
            <w:pPr>
              <w:pStyle w:val="Tablebullet"/>
            </w:pPr>
            <w:r w:rsidRPr="00C31888">
              <w:t>PrimeSafe</w:t>
            </w:r>
          </w:p>
          <w:p w14:paraId="575F8F13" w14:textId="77777777" w:rsidR="00540654" w:rsidRPr="006367EF" w:rsidRDefault="00540654" w:rsidP="0098784B">
            <w:pPr>
              <w:pStyle w:val="Tablebullet"/>
            </w:pPr>
            <w:r w:rsidRPr="00C31888">
              <w:t>Veterinary Practitioners</w:t>
            </w:r>
            <w:r>
              <w:t xml:space="preserve"> Registration Board of Victoria</w:t>
            </w:r>
          </w:p>
        </w:tc>
        <w:tc>
          <w:tcPr>
            <w:tcW w:w="1550" w:type="pct"/>
          </w:tcPr>
          <w:p w14:paraId="0800A6F2" w14:textId="77777777" w:rsidR="00540654" w:rsidRPr="00C31888" w:rsidRDefault="00540654" w:rsidP="00EC2F04">
            <w:pPr>
              <w:spacing w:before="100"/>
            </w:pPr>
            <w:r w:rsidRPr="00C31888">
              <w:t>Minister for Agriculture</w:t>
            </w:r>
          </w:p>
        </w:tc>
        <w:tc>
          <w:tcPr>
            <w:tcW w:w="1143" w:type="pct"/>
          </w:tcPr>
          <w:p w14:paraId="1C1139A1" w14:textId="77777777" w:rsidR="00540654" w:rsidRPr="00C31888" w:rsidRDefault="00540654" w:rsidP="00EC2F04">
            <w:pPr>
              <w:spacing w:before="100"/>
            </w:pPr>
            <w:r w:rsidRPr="009F4915">
              <w:t>Energy, Environment and Climate Action</w:t>
            </w:r>
          </w:p>
        </w:tc>
      </w:tr>
      <w:tr w:rsidR="00540654" w:rsidRPr="00C31888" w14:paraId="331E36C3" w14:textId="77777777" w:rsidTr="00EC2F04">
        <w:tc>
          <w:tcPr>
            <w:tcW w:w="2307" w:type="pct"/>
          </w:tcPr>
          <w:p w14:paraId="380BEB8E" w14:textId="77777777" w:rsidR="00540654" w:rsidRPr="00914A68" w:rsidRDefault="00540654" w:rsidP="00914A68">
            <w:pPr>
              <w:pStyle w:val="Tablebullet"/>
            </w:pPr>
            <w:r w:rsidRPr="00914A68">
              <w:t>Earth Resources Regulation Branch</w:t>
            </w:r>
          </w:p>
          <w:p w14:paraId="3C5886B8" w14:textId="77777777" w:rsidR="00540654" w:rsidRPr="00C31888" w:rsidRDefault="00540654" w:rsidP="00914A68">
            <w:pPr>
              <w:pStyle w:val="Tablebullet"/>
              <w:rPr>
                <w:rFonts w:eastAsia="Calibri"/>
                <w:color w:val="000000"/>
              </w:rPr>
            </w:pPr>
            <w:r w:rsidRPr="00C31888">
              <w:t>Energy Safe Victoria</w:t>
            </w:r>
          </w:p>
        </w:tc>
        <w:tc>
          <w:tcPr>
            <w:tcW w:w="1550" w:type="pct"/>
          </w:tcPr>
          <w:p w14:paraId="2B351C68" w14:textId="77777777" w:rsidR="00540654" w:rsidRPr="00183113" w:rsidRDefault="00540654" w:rsidP="00EC2F04">
            <w:pPr>
              <w:spacing w:before="100"/>
              <w:rPr>
                <w:bCs/>
              </w:rPr>
            </w:pPr>
            <w:r>
              <w:rPr>
                <w:bCs/>
              </w:rPr>
              <w:t>Minister for Energy and Resources</w:t>
            </w:r>
          </w:p>
        </w:tc>
        <w:tc>
          <w:tcPr>
            <w:tcW w:w="1143" w:type="pct"/>
          </w:tcPr>
          <w:p w14:paraId="2F8F9A46" w14:textId="77777777" w:rsidR="00540654" w:rsidRPr="00C31888" w:rsidRDefault="00540654" w:rsidP="00EC2F04">
            <w:pPr>
              <w:spacing w:before="100"/>
              <w:rPr>
                <w:rFonts w:eastAsia="Calibri"/>
              </w:rPr>
            </w:pPr>
            <w:r w:rsidRPr="009F4915">
              <w:t>Energy, Environment and Climate Action</w:t>
            </w:r>
          </w:p>
        </w:tc>
      </w:tr>
      <w:tr w:rsidR="00540654" w:rsidRPr="00C31888" w14:paraId="7E318066" w14:textId="77777777" w:rsidTr="00EC2F04">
        <w:tc>
          <w:tcPr>
            <w:tcW w:w="2307" w:type="pct"/>
          </w:tcPr>
          <w:p w14:paraId="2927ADAF" w14:textId="77777777" w:rsidR="00540654" w:rsidRDefault="00540654" w:rsidP="0098784B">
            <w:pPr>
              <w:pStyle w:val="Tablebullet"/>
            </w:pPr>
            <w:r>
              <w:t xml:space="preserve">Department of </w:t>
            </w:r>
            <w:r w:rsidRPr="00BB63F6">
              <w:t xml:space="preserve">Energy, Environment and Climate Action </w:t>
            </w:r>
          </w:p>
          <w:p w14:paraId="723EDA0E" w14:textId="77777777" w:rsidR="00540654" w:rsidRPr="00C31888" w:rsidRDefault="00540654" w:rsidP="0098784B">
            <w:pPr>
              <w:pStyle w:val="Tablebullet"/>
            </w:pPr>
            <w:r>
              <w:t>Office of the Conservation Regulator</w:t>
            </w:r>
          </w:p>
          <w:p w14:paraId="70402FDD" w14:textId="77777777" w:rsidR="00540654" w:rsidRPr="00C31888" w:rsidRDefault="00540654" w:rsidP="0098784B">
            <w:pPr>
              <w:pStyle w:val="Tablebullet"/>
            </w:pPr>
            <w:r w:rsidRPr="00C31888">
              <w:t>Environment Protection Authority Victoria</w:t>
            </w:r>
          </w:p>
          <w:p w14:paraId="697916F6" w14:textId="77777777" w:rsidR="00540654" w:rsidRDefault="00540654" w:rsidP="002A3840">
            <w:pPr>
              <w:pStyle w:val="Tablebullet"/>
            </w:pPr>
            <w:r>
              <w:t>Parks Victoria</w:t>
            </w:r>
          </w:p>
          <w:p w14:paraId="6572C7F0" w14:textId="77777777" w:rsidR="00540654" w:rsidRPr="002A3840" w:rsidRDefault="00540654" w:rsidP="002A3840">
            <w:pPr>
              <w:pStyle w:val="Tablebullet"/>
            </w:pPr>
            <w:r>
              <w:t>Recycling Victoria</w:t>
            </w:r>
          </w:p>
        </w:tc>
        <w:tc>
          <w:tcPr>
            <w:tcW w:w="1550" w:type="pct"/>
          </w:tcPr>
          <w:p w14:paraId="7F6D2397" w14:textId="77777777" w:rsidR="00540654" w:rsidRPr="00C31888" w:rsidRDefault="00540654" w:rsidP="00EC2F04">
            <w:pPr>
              <w:spacing w:before="100"/>
              <w:rPr>
                <w:bCs/>
              </w:rPr>
            </w:pPr>
            <w:r w:rsidRPr="00C31888">
              <w:rPr>
                <w:bCs/>
              </w:rPr>
              <w:t>Minister for En</w:t>
            </w:r>
            <w:r>
              <w:rPr>
                <w:bCs/>
              </w:rPr>
              <w:t>vironment</w:t>
            </w:r>
          </w:p>
        </w:tc>
        <w:tc>
          <w:tcPr>
            <w:tcW w:w="1143" w:type="pct"/>
          </w:tcPr>
          <w:p w14:paraId="18FB5D28" w14:textId="77777777" w:rsidR="00540654" w:rsidRPr="00C31888" w:rsidRDefault="00540654" w:rsidP="00EC2F04">
            <w:pPr>
              <w:spacing w:before="100"/>
              <w:rPr>
                <w:bCs/>
              </w:rPr>
            </w:pPr>
            <w:r w:rsidRPr="00BB63F6">
              <w:rPr>
                <w:bCs/>
              </w:rPr>
              <w:t>Energy, Environment and Climate Action</w:t>
            </w:r>
          </w:p>
        </w:tc>
      </w:tr>
      <w:tr w:rsidR="00540654" w:rsidRPr="00C31888" w14:paraId="0837BF87" w14:textId="77777777" w:rsidTr="00EC2F04">
        <w:tc>
          <w:tcPr>
            <w:tcW w:w="2307" w:type="pct"/>
          </w:tcPr>
          <w:p w14:paraId="4C17C416" w14:textId="77777777" w:rsidR="00540654" w:rsidRPr="00B90434" w:rsidRDefault="00540654" w:rsidP="00187D4B">
            <w:pPr>
              <w:pStyle w:val="Tablebullet"/>
              <w:rPr>
                <w:color w:val="000000"/>
              </w:rPr>
            </w:pPr>
            <w:r w:rsidRPr="00B90434">
              <w:t>Human Services Regulator</w:t>
            </w:r>
          </w:p>
          <w:p w14:paraId="46CA63B9" w14:textId="77777777" w:rsidR="00540654" w:rsidRPr="00F4500D" w:rsidRDefault="00540654" w:rsidP="00B90434">
            <w:pPr>
              <w:pStyle w:val="Tablebullet"/>
              <w:rPr>
                <w:color w:val="000000"/>
              </w:rPr>
            </w:pPr>
            <w:r w:rsidRPr="00187D4B">
              <w:rPr>
                <w:color w:val="000000"/>
              </w:rPr>
              <w:t>Victorian Disability Worker Commission</w:t>
            </w:r>
          </w:p>
        </w:tc>
        <w:tc>
          <w:tcPr>
            <w:tcW w:w="1550" w:type="pct"/>
          </w:tcPr>
          <w:p w14:paraId="5D6080FA" w14:textId="77777777" w:rsidR="00540654" w:rsidRPr="00183113" w:rsidRDefault="00540654" w:rsidP="00EC2F04">
            <w:pPr>
              <w:spacing w:before="100"/>
              <w:rPr>
                <w:bCs/>
                <w:szCs w:val="20"/>
              </w:rPr>
            </w:pPr>
            <w:r w:rsidRPr="00C31888">
              <w:rPr>
                <w:bCs/>
                <w:szCs w:val="20"/>
              </w:rPr>
              <w:t>Minister for</w:t>
            </w:r>
            <w:r>
              <w:rPr>
                <w:bCs/>
                <w:szCs w:val="20"/>
              </w:rPr>
              <w:t xml:space="preserve"> </w:t>
            </w:r>
            <w:bookmarkStart w:id="11" w:name="_Hlk8048858"/>
            <w:r>
              <w:rPr>
                <w:bCs/>
                <w:szCs w:val="20"/>
              </w:rPr>
              <w:t>Disability, Ageing and Carers</w:t>
            </w:r>
            <w:bookmarkEnd w:id="11"/>
          </w:p>
        </w:tc>
        <w:tc>
          <w:tcPr>
            <w:tcW w:w="1143" w:type="pct"/>
          </w:tcPr>
          <w:p w14:paraId="5A40EFAE" w14:textId="77777777" w:rsidR="00540654" w:rsidRPr="00C31888" w:rsidRDefault="00540654" w:rsidP="00EC2F04">
            <w:pPr>
              <w:spacing w:before="100"/>
              <w:rPr>
                <w:rFonts w:eastAsia="Calibri"/>
                <w:bCs/>
              </w:rPr>
            </w:pPr>
            <w:r>
              <w:rPr>
                <w:bCs/>
                <w:szCs w:val="20"/>
              </w:rPr>
              <w:t>Families, Fairness and Housing</w:t>
            </w:r>
          </w:p>
        </w:tc>
      </w:tr>
      <w:tr w:rsidR="00540654" w:rsidRPr="00C31888" w14:paraId="55D770CD" w14:textId="77777777" w:rsidTr="00EC2F04">
        <w:tc>
          <w:tcPr>
            <w:tcW w:w="2307" w:type="pct"/>
          </w:tcPr>
          <w:p w14:paraId="5DBB654C" w14:textId="77777777" w:rsidR="00540654" w:rsidRPr="00C31888" w:rsidRDefault="00540654" w:rsidP="004B6360">
            <w:pPr>
              <w:pStyle w:val="Tablebullet"/>
              <w:numPr>
                <w:ilvl w:val="0"/>
                <w:numId w:val="0"/>
              </w:numPr>
              <w:spacing w:before="100"/>
              <w:ind w:left="288" w:hanging="288"/>
            </w:pPr>
            <w:r w:rsidRPr="00C31888">
              <w:t>Consumer Affairs Victoria</w:t>
            </w:r>
          </w:p>
        </w:tc>
        <w:tc>
          <w:tcPr>
            <w:tcW w:w="1550" w:type="pct"/>
          </w:tcPr>
          <w:p w14:paraId="792A0AD8" w14:textId="77777777" w:rsidR="00540654" w:rsidRPr="00C31888" w:rsidRDefault="00540654" w:rsidP="00EC2F04">
            <w:pPr>
              <w:spacing w:before="100"/>
              <w:rPr>
                <w:bCs/>
              </w:rPr>
            </w:pPr>
            <w:r>
              <w:rPr>
                <w:bCs/>
              </w:rPr>
              <w:t>Minister for Consumer Affairs</w:t>
            </w:r>
          </w:p>
        </w:tc>
        <w:tc>
          <w:tcPr>
            <w:tcW w:w="1143" w:type="pct"/>
          </w:tcPr>
          <w:p w14:paraId="5CEEF26F" w14:textId="77777777" w:rsidR="00540654" w:rsidRDefault="00540654" w:rsidP="00EC2F04">
            <w:pPr>
              <w:spacing w:before="100"/>
              <w:rPr>
                <w:bCs/>
              </w:rPr>
            </w:pPr>
            <w:r>
              <w:rPr>
                <w:bCs/>
              </w:rPr>
              <w:t>Government Services</w:t>
            </w:r>
          </w:p>
        </w:tc>
      </w:tr>
      <w:tr w:rsidR="00540654" w:rsidRPr="00C31888" w14:paraId="56C11388" w14:textId="77777777" w:rsidTr="00EC2F04">
        <w:tc>
          <w:tcPr>
            <w:tcW w:w="2307" w:type="pct"/>
          </w:tcPr>
          <w:p w14:paraId="450F5891" w14:textId="77777777" w:rsidR="00540654" w:rsidRPr="004D38DB" w:rsidRDefault="00540654" w:rsidP="004B6360">
            <w:pPr>
              <w:pStyle w:val="Tablebullet"/>
              <w:numPr>
                <w:ilvl w:val="0"/>
                <w:numId w:val="0"/>
              </w:numPr>
              <w:spacing w:before="100"/>
              <w:ind w:left="288" w:hanging="288"/>
            </w:pPr>
            <w:r w:rsidRPr="00C31888">
              <w:t>Business Licensing Authority</w:t>
            </w:r>
          </w:p>
        </w:tc>
        <w:tc>
          <w:tcPr>
            <w:tcW w:w="1550" w:type="pct"/>
          </w:tcPr>
          <w:p w14:paraId="78C58252" w14:textId="77777777" w:rsidR="00540654" w:rsidRPr="00183113" w:rsidRDefault="00540654" w:rsidP="00EC2F04">
            <w:pPr>
              <w:spacing w:before="100"/>
              <w:rPr>
                <w:bCs/>
              </w:rPr>
            </w:pPr>
            <w:r w:rsidRPr="00C31888">
              <w:rPr>
                <w:bCs/>
              </w:rPr>
              <w:t xml:space="preserve">Minister for </w:t>
            </w:r>
            <w:r>
              <w:rPr>
                <w:bCs/>
              </w:rPr>
              <w:t>Small Business</w:t>
            </w:r>
          </w:p>
        </w:tc>
        <w:tc>
          <w:tcPr>
            <w:tcW w:w="1143" w:type="pct"/>
          </w:tcPr>
          <w:p w14:paraId="4C258736" w14:textId="77777777" w:rsidR="00540654" w:rsidRPr="00C31888" w:rsidRDefault="00540654" w:rsidP="00EC2F04">
            <w:pPr>
              <w:spacing w:before="100"/>
              <w:rPr>
                <w:rFonts w:eastAsia="Calibri"/>
                <w:bCs/>
              </w:rPr>
            </w:pPr>
            <w:r>
              <w:rPr>
                <w:bCs/>
              </w:rPr>
              <w:t>Government Services</w:t>
            </w:r>
          </w:p>
        </w:tc>
      </w:tr>
      <w:tr w:rsidR="00540654" w:rsidRPr="00C31888" w14:paraId="1B0D1704" w14:textId="77777777" w:rsidTr="00EC2F04">
        <w:tc>
          <w:tcPr>
            <w:tcW w:w="2307" w:type="pct"/>
          </w:tcPr>
          <w:p w14:paraId="53ACFBB7" w14:textId="0E49A23E" w:rsidR="00540654" w:rsidRDefault="009A72B1" w:rsidP="0098784B">
            <w:pPr>
              <w:pStyle w:val="Tablebullet"/>
            </w:pPr>
            <w:bookmarkStart w:id="12" w:name="_Hlk142312271"/>
            <w:r>
              <w:lastRenderedPageBreak/>
              <w:t>DH – Communicable Disease Section</w:t>
            </w:r>
          </w:p>
          <w:p w14:paraId="22019A72" w14:textId="480815F2" w:rsidR="009A72B1" w:rsidRPr="00CD175F" w:rsidRDefault="009A72B1" w:rsidP="0098784B">
            <w:pPr>
              <w:pStyle w:val="Tablebullet"/>
            </w:pPr>
            <w:r>
              <w:t>DH – Medicines and Poisons Regulation</w:t>
            </w:r>
          </w:p>
          <w:p w14:paraId="76ECC29F" w14:textId="3015C0C8" w:rsidR="009A72B1" w:rsidRDefault="009A72B1" w:rsidP="0098784B">
            <w:pPr>
              <w:pStyle w:val="Tablebullet"/>
            </w:pPr>
            <w:r>
              <w:t>DH – Environmental Health Regulation and Compliance – legionella team</w:t>
            </w:r>
          </w:p>
          <w:p w14:paraId="4D9182C3" w14:textId="41992FBB" w:rsidR="009A72B1" w:rsidRDefault="009A72B1" w:rsidP="0098784B">
            <w:pPr>
              <w:pStyle w:val="Tablebullet"/>
            </w:pPr>
            <w:r>
              <w:t>DH – Environmental Health Regulation and Compliance – pesticide safety team</w:t>
            </w:r>
          </w:p>
          <w:p w14:paraId="2CC8F7DF" w14:textId="7D70533F" w:rsidR="009A72B1" w:rsidRDefault="009A72B1" w:rsidP="0098784B">
            <w:pPr>
              <w:pStyle w:val="Tablebullet"/>
            </w:pPr>
            <w:r>
              <w:t>DH – Environmental Health Regulation and Compliance – radiation team</w:t>
            </w:r>
          </w:p>
          <w:p w14:paraId="05AAB854" w14:textId="43B4EFF1" w:rsidR="009A72B1" w:rsidRDefault="009A72B1" w:rsidP="0098784B">
            <w:pPr>
              <w:pStyle w:val="Tablebullet"/>
            </w:pPr>
            <w:r>
              <w:t>DH – Food Safety Unit</w:t>
            </w:r>
          </w:p>
          <w:p w14:paraId="3CA6A54C" w14:textId="7403CD07" w:rsidR="009A72B1" w:rsidRDefault="009A72B1" w:rsidP="0098784B">
            <w:pPr>
              <w:pStyle w:val="Tablebullet"/>
            </w:pPr>
            <w:r>
              <w:t>DH – Health Service Facilities Regulation</w:t>
            </w:r>
          </w:p>
          <w:p w14:paraId="50DD878B" w14:textId="2117A701" w:rsidR="009A72B1" w:rsidRDefault="009A72B1" w:rsidP="0098784B">
            <w:pPr>
              <w:pStyle w:val="Tablebullet"/>
            </w:pPr>
            <w:r>
              <w:t>DH – Tobacco and E-Cigarettes Team</w:t>
            </w:r>
          </w:p>
          <w:p w14:paraId="236EA1FD" w14:textId="6421E918" w:rsidR="009A72B1" w:rsidRDefault="009A72B1" w:rsidP="0098784B">
            <w:pPr>
              <w:pStyle w:val="Tablebullet"/>
            </w:pPr>
            <w:r>
              <w:t>DH – Water Unit</w:t>
            </w:r>
          </w:p>
          <w:p w14:paraId="03F82280" w14:textId="35FADFD1" w:rsidR="009A72B1" w:rsidRDefault="00E0379C" w:rsidP="0098784B">
            <w:pPr>
              <w:pStyle w:val="Tablebullet"/>
            </w:pPr>
            <w:r>
              <w:t xml:space="preserve">DH – </w:t>
            </w:r>
            <w:r w:rsidR="009A72B1">
              <w:t>Child Safe Standards Regulator</w:t>
            </w:r>
          </w:p>
          <w:p w14:paraId="2E4184FC" w14:textId="694AD57B" w:rsidR="00540654" w:rsidRPr="00C31888" w:rsidRDefault="00540654" w:rsidP="0098784B">
            <w:pPr>
              <w:pStyle w:val="Tablebullet"/>
            </w:pPr>
            <w:r w:rsidRPr="00C31888">
              <w:t>Victorian Assisted Reproductive Treatment Authority</w:t>
            </w:r>
          </w:p>
          <w:p w14:paraId="22977870" w14:textId="77777777" w:rsidR="00540654" w:rsidRPr="00C31888" w:rsidRDefault="00540654" w:rsidP="0098784B">
            <w:pPr>
              <w:pStyle w:val="Tablebullet"/>
            </w:pPr>
            <w:r>
              <w:t>Victorian Pharmacy Authority</w:t>
            </w:r>
            <w:bookmarkEnd w:id="12"/>
          </w:p>
        </w:tc>
        <w:tc>
          <w:tcPr>
            <w:tcW w:w="1550" w:type="pct"/>
          </w:tcPr>
          <w:p w14:paraId="27F41FB4" w14:textId="77777777" w:rsidR="00540654" w:rsidRPr="00C31888" w:rsidRDefault="00540654" w:rsidP="00EC2F04">
            <w:pPr>
              <w:spacing w:before="100"/>
              <w:rPr>
                <w:bCs/>
                <w:szCs w:val="20"/>
              </w:rPr>
            </w:pPr>
            <w:r w:rsidRPr="00C31888">
              <w:rPr>
                <w:bCs/>
                <w:szCs w:val="20"/>
              </w:rPr>
              <w:t>Minister for Health</w:t>
            </w:r>
          </w:p>
        </w:tc>
        <w:tc>
          <w:tcPr>
            <w:tcW w:w="1143" w:type="pct"/>
          </w:tcPr>
          <w:p w14:paraId="5B710D03" w14:textId="77777777" w:rsidR="00540654" w:rsidRPr="00C31888" w:rsidRDefault="00540654" w:rsidP="00EC2F04">
            <w:pPr>
              <w:spacing w:before="100"/>
              <w:rPr>
                <w:bCs/>
                <w:szCs w:val="20"/>
              </w:rPr>
            </w:pPr>
            <w:r w:rsidRPr="00C31888">
              <w:rPr>
                <w:bCs/>
                <w:szCs w:val="20"/>
              </w:rPr>
              <w:t xml:space="preserve">Health </w:t>
            </w:r>
          </w:p>
        </w:tc>
      </w:tr>
      <w:tr w:rsidR="00540654" w:rsidRPr="00C31888" w14:paraId="699CD102" w14:textId="77777777" w:rsidTr="00EC2F04">
        <w:tc>
          <w:tcPr>
            <w:tcW w:w="2307" w:type="pct"/>
          </w:tcPr>
          <w:p w14:paraId="6038AFA5" w14:textId="77777777" w:rsidR="00540654" w:rsidRDefault="00540654" w:rsidP="00914A68">
            <w:pPr>
              <w:pStyle w:val="Tablebullet"/>
            </w:pPr>
            <w:r w:rsidRPr="00C31888">
              <w:t>Game Management Authority</w:t>
            </w:r>
            <w:r>
              <w:t xml:space="preserve"> </w:t>
            </w:r>
          </w:p>
          <w:p w14:paraId="79B739CF" w14:textId="77777777" w:rsidR="00540654" w:rsidRPr="009F4915" w:rsidRDefault="00540654" w:rsidP="00914A68">
            <w:pPr>
              <w:pStyle w:val="Tablebullet"/>
            </w:pPr>
            <w:r>
              <w:t>Victorian Fisheries Authority</w:t>
            </w:r>
          </w:p>
        </w:tc>
        <w:tc>
          <w:tcPr>
            <w:tcW w:w="1550" w:type="pct"/>
          </w:tcPr>
          <w:p w14:paraId="0531B77C" w14:textId="77777777" w:rsidR="00540654" w:rsidRPr="00C31888" w:rsidRDefault="00540654" w:rsidP="00EC2F04">
            <w:pPr>
              <w:spacing w:before="100"/>
            </w:pPr>
            <w:r w:rsidRPr="009F4915">
              <w:t>Minister for Outdoor Recreation</w:t>
            </w:r>
          </w:p>
        </w:tc>
        <w:tc>
          <w:tcPr>
            <w:tcW w:w="1143" w:type="pct"/>
          </w:tcPr>
          <w:p w14:paraId="5F58B822" w14:textId="77777777" w:rsidR="00540654" w:rsidRPr="00C31888" w:rsidRDefault="00540654" w:rsidP="00EC2F04">
            <w:pPr>
              <w:spacing w:before="100"/>
            </w:pPr>
            <w:r w:rsidRPr="00C31888">
              <w:t>Jobs</w:t>
            </w:r>
            <w:r>
              <w:t>, Skills</w:t>
            </w:r>
            <w:r w:rsidRPr="00C31888">
              <w:t>,</w:t>
            </w:r>
            <w:r>
              <w:t xml:space="preserve"> Industry</w:t>
            </w:r>
            <w:r w:rsidRPr="00C31888">
              <w:t xml:space="preserve"> </w:t>
            </w:r>
            <w:r>
              <w:t>a</w:t>
            </w:r>
            <w:r w:rsidRPr="00C31888">
              <w:t>nd Re</w:t>
            </w:r>
            <w:r>
              <w:t>gions</w:t>
            </w:r>
          </w:p>
        </w:tc>
      </w:tr>
      <w:tr w:rsidR="00540654" w:rsidRPr="00C31888" w14:paraId="407BA648" w14:textId="77777777" w:rsidTr="00EC2F04">
        <w:tc>
          <w:tcPr>
            <w:tcW w:w="2307" w:type="pct"/>
          </w:tcPr>
          <w:p w14:paraId="400B1FB4" w14:textId="77777777" w:rsidR="00540654" w:rsidRPr="00C31888" w:rsidRDefault="00540654" w:rsidP="00EC2F04">
            <w:pPr>
              <w:spacing w:before="100"/>
              <w:rPr>
                <w:rFonts w:eastAsia="Calibri"/>
                <w:color w:val="000000"/>
              </w:rPr>
            </w:pPr>
            <w:r w:rsidRPr="00C31888">
              <w:rPr>
                <w:color w:val="000000"/>
              </w:rPr>
              <w:t>Victorian Small Business Commission</w:t>
            </w:r>
          </w:p>
        </w:tc>
        <w:tc>
          <w:tcPr>
            <w:tcW w:w="1550" w:type="pct"/>
          </w:tcPr>
          <w:p w14:paraId="05CC1E67" w14:textId="77777777" w:rsidR="00540654" w:rsidRPr="00C31888" w:rsidRDefault="00540654" w:rsidP="00EC2F04">
            <w:pPr>
              <w:spacing w:before="100"/>
              <w:rPr>
                <w:rFonts w:eastAsia="Calibri"/>
              </w:rPr>
            </w:pPr>
            <w:r w:rsidRPr="00C31888">
              <w:t>Minister for Small Business</w:t>
            </w:r>
          </w:p>
        </w:tc>
        <w:tc>
          <w:tcPr>
            <w:tcW w:w="1143" w:type="pct"/>
          </w:tcPr>
          <w:p w14:paraId="02B6F903" w14:textId="77777777" w:rsidR="00540654" w:rsidRPr="00C31888" w:rsidRDefault="00540654" w:rsidP="00EC2F04">
            <w:pPr>
              <w:spacing w:before="100"/>
              <w:rPr>
                <w:rFonts w:eastAsia="Calibri"/>
              </w:rPr>
            </w:pPr>
            <w:r w:rsidRPr="00C31888">
              <w:t>Jobs</w:t>
            </w:r>
            <w:r>
              <w:t>, Skills</w:t>
            </w:r>
            <w:r w:rsidRPr="00C31888">
              <w:t>,</w:t>
            </w:r>
            <w:r>
              <w:t xml:space="preserve"> Industry</w:t>
            </w:r>
            <w:r w:rsidRPr="00C31888">
              <w:t xml:space="preserve"> </w:t>
            </w:r>
            <w:r>
              <w:t>a</w:t>
            </w:r>
            <w:r w:rsidRPr="00C31888">
              <w:t>nd Re</w:t>
            </w:r>
            <w:r>
              <w:t>gions</w:t>
            </w:r>
          </w:p>
        </w:tc>
      </w:tr>
      <w:tr w:rsidR="00540654" w:rsidRPr="00C31888" w14:paraId="45BEF147" w14:textId="77777777" w:rsidTr="00EC2F04">
        <w:tc>
          <w:tcPr>
            <w:tcW w:w="2307" w:type="pct"/>
          </w:tcPr>
          <w:p w14:paraId="62A6E8DB" w14:textId="77777777" w:rsidR="00540654" w:rsidRPr="00C31888" w:rsidRDefault="00540654" w:rsidP="00EC2F04">
            <w:pPr>
              <w:spacing w:before="100"/>
              <w:rPr>
                <w:rFonts w:eastAsia="Calibri"/>
                <w:color w:val="000000"/>
              </w:rPr>
            </w:pPr>
            <w:r w:rsidRPr="00C31888">
              <w:rPr>
                <w:color w:val="000000"/>
                <w:szCs w:val="20"/>
              </w:rPr>
              <w:t xml:space="preserve">Professional Boxing and </w:t>
            </w:r>
            <w:r>
              <w:rPr>
                <w:color w:val="000000"/>
                <w:szCs w:val="20"/>
              </w:rPr>
              <w:t>Combat Sports Board of Victoria</w:t>
            </w:r>
          </w:p>
        </w:tc>
        <w:tc>
          <w:tcPr>
            <w:tcW w:w="1550" w:type="pct"/>
          </w:tcPr>
          <w:p w14:paraId="383FFC17" w14:textId="77777777" w:rsidR="00540654" w:rsidRPr="00183113" w:rsidRDefault="00540654" w:rsidP="00EC2F04">
            <w:pPr>
              <w:spacing w:before="100"/>
              <w:rPr>
                <w:bCs/>
                <w:szCs w:val="20"/>
              </w:rPr>
            </w:pPr>
            <w:r>
              <w:rPr>
                <w:bCs/>
                <w:szCs w:val="20"/>
              </w:rPr>
              <w:t>Minister for Tourism, Sport and Major Events</w:t>
            </w:r>
          </w:p>
        </w:tc>
        <w:tc>
          <w:tcPr>
            <w:tcW w:w="1143" w:type="pct"/>
          </w:tcPr>
          <w:p w14:paraId="09B6D2BA" w14:textId="77777777" w:rsidR="00540654" w:rsidRPr="00C31888" w:rsidRDefault="00540654" w:rsidP="00EC2F04">
            <w:pPr>
              <w:spacing w:before="100"/>
              <w:rPr>
                <w:rFonts w:eastAsia="Calibri"/>
                <w:bCs/>
              </w:rPr>
            </w:pPr>
            <w:r w:rsidRPr="00C31888">
              <w:t>Jobs</w:t>
            </w:r>
            <w:r>
              <w:t>, Skills</w:t>
            </w:r>
            <w:r w:rsidRPr="00C31888">
              <w:t>,</w:t>
            </w:r>
            <w:r>
              <w:t xml:space="preserve"> Industry</w:t>
            </w:r>
            <w:r w:rsidRPr="00C31888">
              <w:t xml:space="preserve"> </w:t>
            </w:r>
            <w:r>
              <w:t>a</w:t>
            </w:r>
            <w:r w:rsidRPr="00C31888">
              <w:t>nd Re</w:t>
            </w:r>
            <w:r>
              <w:t>gions</w:t>
            </w:r>
          </w:p>
        </w:tc>
      </w:tr>
      <w:tr w:rsidR="00540654" w:rsidRPr="00C31888" w14:paraId="22BBDBE7" w14:textId="77777777" w:rsidTr="00EC2F04">
        <w:tc>
          <w:tcPr>
            <w:tcW w:w="2307" w:type="pct"/>
          </w:tcPr>
          <w:p w14:paraId="493B041D" w14:textId="77777777" w:rsidR="00540654" w:rsidRPr="00C31888" w:rsidRDefault="00540654" w:rsidP="0098784B">
            <w:pPr>
              <w:pStyle w:val="Tablebullet"/>
            </w:pPr>
            <w:r>
              <w:t xml:space="preserve">Victorian </w:t>
            </w:r>
            <w:r w:rsidRPr="00C31888">
              <w:t xml:space="preserve">Legal Services Board and </w:t>
            </w:r>
            <w:r>
              <w:t xml:space="preserve">Victorian </w:t>
            </w:r>
            <w:r w:rsidRPr="00C31888">
              <w:t>Legal Services Commissioner</w:t>
            </w:r>
          </w:p>
          <w:p w14:paraId="7819A5C6" w14:textId="77777777" w:rsidR="00540654" w:rsidRPr="00C31888" w:rsidRDefault="00540654" w:rsidP="0098784B">
            <w:pPr>
              <w:pStyle w:val="Tablebullet"/>
            </w:pPr>
            <w:r w:rsidRPr="00C31888">
              <w:t>Victorian Legal Admission Board</w:t>
            </w:r>
          </w:p>
          <w:p w14:paraId="0AF98396" w14:textId="77777777" w:rsidR="00540654" w:rsidRPr="00C31888" w:rsidRDefault="00540654" w:rsidP="0098784B">
            <w:pPr>
              <w:pStyle w:val="Tablebullet"/>
            </w:pPr>
            <w:r w:rsidRPr="00C31888">
              <w:t>Working with</w:t>
            </w:r>
            <w:r>
              <w:t xml:space="preserve"> Children Check Victoria</w:t>
            </w:r>
          </w:p>
        </w:tc>
        <w:tc>
          <w:tcPr>
            <w:tcW w:w="1550" w:type="pct"/>
          </w:tcPr>
          <w:p w14:paraId="2139BF47" w14:textId="77777777" w:rsidR="00540654" w:rsidRPr="00183113" w:rsidRDefault="00540654" w:rsidP="00EC2F04">
            <w:pPr>
              <w:spacing w:before="100"/>
              <w:rPr>
                <w:bCs/>
              </w:rPr>
            </w:pPr>
            <w:r w:rsidRPr="00C31888">
              <w:rPr>
                <w:bCs/>
              </w:rPr>
              <w:t>Attorney-General</w:t>
            </w:r>
          </w:p>
        </w:tc>
        <w:tc>
          <w:tcPr>
            <w:tcW w:w="1143" w:type="pct"/>
          </w:tcPr>
          <w:p w14:paraId="3F6BB998" w14:textId="77777777" w:rsidR="00540654" w:rsidRPr="00C31888" w:rsidRDefault="00540654" w:rsidP="00EC2F04">
            <w:pPr>
              <w:spacing w:before="100"/>
              <w:rPr>
                <w:bCs/>
              </w:rPr>
            </w:pPr>
            <w:r w:rsidRPr="00C31888">
              <w:rPr>
                <w:bCs/>
              </w:rPr>
              <w:t xml:space="preserve">Justice and </w:t>
            </w:r>
            <w:r>
              <w:rPr>
                <w:bCs/>
              </w:rPr>
              <w:t>Community Safety</w:t>
            </w:r>
          </w:p>
        </w:tc>
      </w:tr>
      <w:tr w:rsidR="00540654" w:rsidRPr="00C31888" w14:paraId="452FB8BA" w14:textId="77777777" w:rsidTr="00EC2F04">
        <w:tc>
          <w:tcPr>
            <w:tcW w:w="2307" w:type="pct"/>
          </w:tcPr>
          <w:p w14:paraId="1BF00509" w14:textId="77777777" w:rsidR="00540654" w:rsidRPr="00C31888" w:rsidRDefault="00540654" w:rsidP="007021E0">
            <w:pPr>
              <w:pStyle w:val="Tablebullet"/>
              <w:numPr>
                <w:ilvl w:val="0"/>
                <w:numId w:val="0"/>
              </w:numPr>
              <w:spacing w:before="100"/>
              <w:ind w:left="288" w:hanging="288"/>
            </w:pPr>
            <w:r w:rsidRPr="007021E0">
              <w:t>Victorian Gambling and Casino Control Commission</w:t>
            </w:r>
          </w:p>
        </w:tc>
        <w:tc>
          <w:tcPr>
            <w:tcW w:w="1550" w:type="pct"/>
          </w:tcPr>
          <w:p w14:paraId="61FDF51F" w14:textId="77777777" w:rsidR="00540654" w:rsidRPr="00C31888" w:rsidRDefault="00540654" w:rsidP="00EC2F04">
            <w:pPr>
              <w:spacing w:before="100"/>
              <w:rPr>
                <w:bCs/>
              </w:rPr>
            </w:pPr>
            <w:r w:rsidRPr="004D38DB">
              <w:rPr>
                <w:bCs/>
              </w:rPr>
              <w:t>Minister for Casino, Gaming and Liquor Regulation</w:t>
            </w:r>
          </w:p>
        </w:tc>
        <w:tc>
          <w:tcPr>
            <w:tcW w:w="1143" w:type="pct"/>
          </w:tcPr>
          <w:p w14:paraId="66B191B5" w14:textId="77777777" w:rsidR="00540654" w:rsidRDefault="00540654" w:rsidP="00EC2F04">
            <w:pPr>
              <w:spacing w:before="100"/>
              <w:rPr>
                <w:bCs/>
              </w:rPr>
            </w:pPr>
            <w:r w:rsidRPr="00C31888">
              <w:rPr>
                <w:bCs/>
              </w:rPr>
              <w:t xml:space="preserve">Justice and </w:t>
            </w:r>
            <w:r>
              <w:rPr>
                <w:bCs/>
              </w:rPr>
              <w:t>Community Safety</w:t>
            </w:r>
          </w:p>
        </w:tc>
      </w:tr>
      <w:tr w:rsidR="00540654" w:rsidRPr="00C31888" w14:paraId="6B4E1016" w14:textId="77777777" w:rsidTr="00EC2F04">
        <w:tc>
          <w:tcPr>
            <w:tcW w:w="2307" w:type="pct"/>
          </w:tcPr>
          <w:p w14:paraId="52CE8798" w14:textId="77777777" w:rsidR="00540654" w:rsidRPr="00C31888" w:rsidRDefault="00540654" w:rsidP="00EC2F04">
            <w:pPr>
              <w:spacing w:before="100"/>
              <w:rPr>
                <w:color w:val="000000"/>
              </w:rPr>
            </w:pPr>
            <w:r>
              <w:rPr>
                <w:color w:val="000000"/>
              </w:rPr>
              <w:t>Commission for Children and Young People</w:t>
            </w:r>
          </w:p>
        </w:tc>
        <w:tc>
          <w:tcPr>
            <w:tcW w:w="1550" w:type="pct"/>
          </w:tcPr>
          <w:p w14:paraId="5834ABC2" w14:textId="77777777" w:rsidR="00540654" w:rsidRPr="00C31888" w:rsidRDefault="00540654" w:rsidP="00EC2F04">
            <w:pPr>
              <w:spacing w:before="100"/>
              <w:rPr>
                <w:bCs/>
              </w:rPr>
            </w:pPr>
            <w:r>
              <w:rPr>
                <w:bCs/>
              </w:rPr>
              <w:t>Minister for Child Protection and Family Services</w:t>
            </w:r>
          </w:p>
        </w:tc>
        <w:tc>
          <w:tcPr>
            <w:tcW w:w="1143" w:type="pct"/>
          </w:tcPr>
          <w:p w14:paraId="77AE0DA3" w14:textId="77777777" w:rsidR="00540654" w:rsidRPr="00C31888" w:rsidRDefault="00540654" w:rsidP="00EC2F04">
            <w:pPr>
              <w:spacing w:before="100"/>
              <w:rPr>
                <w:bCs/>
              </w:rPr>
            </w:pPr>
            <w:r w:rsidRPr="00C31888">
              <w:rPr>
                <w:bCs/>
              </w:rPr>
              <w:t xml:space="preserve">Justice and </w:t>
            </w:r>
            <w:r>
              <w:rPr>
                <w:bCs/>
              </w:rPr>
              <w:t>Community Safety</w:t>
            </w:r>
          </w:p>
        </w:tc>
      </w:tr>
      <w:tr w:rsidR="00540654" w:rsidRPr="00C31888" w14:paraId="71CEBF2F" w14:textId="77777777" w:rsidTr="00EC2F04">
        <w:tc>
          <w:tcPr>
            <w:tcW w:w="2307" w:type="pct"/>
          </w:tcPr>
          <w:p w14:paraId="2CCC0F29" w14:textId="77777777" w:rsidR="00540654" w:rsidRPr="00C31888" w:rsidRDefault="00540654" w:rsidP="00EC2F04">
            <w:pPr>
              <w:spacing w:before="100"/>
              <w:rPr>
                <w:color w:val="000000"/>
              </w:rPr>
            </w:pPr>
            <w:r w:rsidRPr="00C31888">
              <w:rPr>
                <w:color w:val="000000"/>
              </w:rPr>
              <w:t xml:space="preserve">Victoria Police – </w:t>
            </w:r>
            <w:r>
              <w:rPr>
                <w:color w:val="000000"/>
              </w:rPr>
              <w:t>Licensing and Regulation Division</w:t>
            </w:r>
          </w:p>
        </w:tc>
        <w:tc>
          <w:tcPr>
            <w:tcW w:w="1550" w:type="pct"/>
          </w:tcPr>
          <w:p w14:paraId="2B6E526A" w14:textId="77777777" w:rsidR="00540654" w:rsidRPr="00C31888" w:rsidRDefault="00540654" w:rsidP="00EC2F04">
            <w:pPr>
              <w:spacing w:before="100"/>
              <w:rPr>
                <w:bCs/>
              </w:rPr>
            </w:pPr>
            <w:r w:rsidRPr="00C31888">
              <w:rPr>
                <w:bCs/>
              </w:rPr>
              <w:t xml:space="preserve">Minister for </w:t>
            </w:r>
            <w:r>
              <w:rPr>
                <w:bCs/>
              </w:rPr>
              <w:t>Police</w:t>
            </w:r>
          </w:p>
        </w:tc>
        <w:tc>
          <w:tcPr>
            <w:tcW w:w="1143" w:type="pct"/>
          </w:tcPr>
          <w:p w14:paraId="425C8107" w14:textId="77777777" w:rsidR="00540654" w:rsidRPr="00C31888" w:rsidRDefault="00540654" w:rsidP="00EC2F04">
            <w:pPr>
              <w:spacing w:before="100"/>
              <w:rPr>
                <w:bCs/>
              </w:rPr>
            </w:pPr>
            <w:r w:rsidRPr="00C31888">
              <w:rPr>
                <w:bCs/>
              </w:rPr>
              <w:t xml:space="preserve">Justice and </w:t>
            </w:r>
            <w:r>
              <w:rPr>
                <w:bCs/>
              </w:rPr>
              <w:t>Community Safety</w:t>
            </w:r>
          </w:p>
        </w:tc>
      </w:tr>
      <w:tr w:rsidR="00540654" w:rsidRPr="00C31888" w14:paraId="7018CC60" w14:textId="77777777" w:rsidTr="00EC2F04">
        <w:tc>
          <w:tcPr>
            <w:tcW w:w="2307" w:type="pct"/>
          </w:tcPr>
          <w:p w14:paraId="23895F85" w14:textId="77777777" w:rsidR="00540654" w:rsidRPr="00C31888" w:rsidRDefault="00540654" w:rsidP="0098784B">
            <w:pPr>
              <w:pStyle w:val="Tablebullet"/>
              <w:spacing w:before="100"/>
            </w:pPr>
            <w:r w:rsidRPr="00C31888">
              <w:t>Greyhound Racing Victoria</w:t>
            </w:r>
          </w:p>
          <w:p w14:paraId="68222517" w14:textId="77777777" w:rsidR="00540654" w:rsidRPr="00C31888" w:rsidRDefault="00540654" w:rsidP="0098784B">
            <w:pPr>
              <w:pStyle w:val="Tablebullet"/>
            </w:pPr>
            <w:r w:rsidRPr="00C31888">
              <w:t>Harness Racing Victoria</w:t>
            </w:r>
          </w:p>
        </w:tc>
        <w:tc>
          <w:tcPr>
            <w:tcW w:w="1550" w:type="pct"/>
          </w:tcPr>
          <w:p w14:paraId="00F5D0E8" w14:textId="77777777" w:rsidR="00540654" w:rsidRPr="00C31888" w:rsidRDefault="00540654" w:rsidP="00EC2F04">
            <w:pPr>
              <w:spacing w:before="100"/>
              <w:rPr>
                <w:bCs/>
              </w:rPr>
            </w:pPr>
            <w:r w:rsidRPr="00C31888">
              <w:t>Minister for Racing</w:t>
            </w:r>
          </w:p>
        </w:tc>
        <w:tc>
          <w:tcPr>
            <w:tcW w:w="1143" w:type="pct"/>
          </w:tcPr>
          <w:p w14:paraId="715BF6D2" w14:textId="77777777" w:rsidR="00540654" w:rsidRPr="00C31888" w:rsidRDefault="00540654" w:rsidP="00EC2F04">
            <w:pPr>
              <w:spacing w:before="100"/>
              <w:rPr>
                <w:bCs/>
              </w:rPr>
            </w:pPr>
            <w:r w:rsidRPr="00C31888">
              <w:rPr>
                <w:bCs/>
              </w:rPr>
              <w:t xml:space="preserve">Justice and </w:t>
            </w:r>
            <w:r>
              <w:rPr>
                <w:bCs/>
              </w:rPr>
              <w:t>Community Safety</w:t>
            </w:r>
          </w:p>
        </w:tc>
      </w:tr>
      <w:tr w:rsidR="00540654" w:rsidRPr="00C31888" w14:paraId="00D737FC" w14:textId="77777777" w:rsidTr="00EC2F04">
        <w:tc>
          <w:tcPr>
            <w:tcW w:w="2307" w:type="pct"/>
          </w:tcPr>
          <w:p w14:paraId="02656E73" w14:textId="77777777" w:rsidR="00540654" w:rsidRPr="00540654" w:rsidRDefault="00540654" w:rsidP="00540654">
            <w:pPr>
              <w:pStyle w:val="Tablebullet"/>
              <w:spacing w:before="100"/>
            </w:pPr>
            <w:r w:rsidRPr="00540654">
              <w:t>Labour Hire Authority</w:t>
            </w:r>
          </w:p>
          <w:p w14:paraId="084AD0BA" w14:textId="77777777" w:rsidR="00540654" w:rsidRPr="00540654" w:rsidRDefault="00540654" w:rsidP="00540654">
            <w:pPr>
              <w:pStyle w:val="Tablebullet"/>
              <w:spacing w:before="100"/>
            </w:pPr>
            <w:r w:rsidRPr="00540654">
              <w:t>Portable Long Service Authority</w:t>
            </w:r>
          </w:p>
          <w:p w14:paraId="393623B9" w14:textId="77777777" w:rsidR="00540654" w:rsidRPr="00183113" w:rsidRDefault="00540654" w:rsidP="00540654">
            <w:pPr>
              <w:pStyle w:val="Tablebullet"/>
              <w:spacing w:before="100"/>
              <w:rPr>
                <w:color w:val="000000"/>
              </w:rPr>
            </w:pPr>
            <w:r w:rsidRPr="00540654">
              <w:t>Wage Inspectorate Victoria</w:t>
            </w:r>
          </w:p>
        </w:tc>
        <w:tc>
          <w:tcPr>
            <w:tcW w:w="1550" w:type="pct"/>
          </w:tcPr>
          <w:p w14:paraId="6D054ADC" w14:textId="77777777" w:rsidR="00540654" w:rsidRPr="00183113" w:rsidRDefault="00540654" w:rsidP="00EC2F04">
            <w:pPr>
              <w:spacing w:before="100"/>
              <w:rPr>
                <w:bCs/>
              </w:rPr>
            </w:pPr>
            <w:r w:rsidRPr="00C31888">
              <w:t xml:space="preserve">Minister for </w:t>
            </w:r>
            <w:r>
              <w:t>Industrial Relations</w:t>
            </w:r>
          </w:p>
        </w:tc>
        <w:tc>
          <w:tcPr>
            <w:tcW w:w="1143" w:type="pct"/>
          </w:tcPr>
          <w:p w14:paraId="7F15C298" w14:textId="77777777" w:rsidR="00540654" w:rsidRPr="00C31888" w:rsidRDefault="00540654" w:rsidP="00EC2F04">
            <w:pPr>
              <w:spacing w:before="100"/>
              <w:rPr>
                <w:rFonts w:eastAsia="Calibri"/>
              </w:rPr>
            </w:pPr>
            <w:r>
              <w:t>Premier and Cabinet</w:t>
            </w:r>
          </w:p>
        </w:tc>
      </w:tr>
      <w:tr w:rsidR="00540654" w:rsidRPr="00C31888" w14:paraId="30BD47CB" w14:textId="77777777" w:rsidTr="00EC2F04">
        <w:tc>
          <w:tcPr>
            <w:tcW w:w="2307" w:type="pct"/>
          </w:tcPr>
          <w:p w14:paraId="5B8B6E46" w14:textId="77777777" w:rsidR="00540654" w:rsidRPr="00C31888" w:rsidRDefault="00540654" w:rsidP="00EC2F04">
            <w:pPr>
              <w:keepNext/>
              <w:spacing w:before="100"/>
              <w:rPr>
                <w:color w:val="000000"/>
              </w:rPr>
            </w:pPr>
            <w:r>
              <w:rPr>
                <w:color w:val="000000"/>
              </w:rPr>
              <w:lastRenderedPageBreak/>
              <w:t>First Peoples- State Relations</w:t>
            </w:r>
          </w:p>
        </w:tc>
        <w:tc>
          <w:tcPr>
            <w:tcW w:w="1550" w:type="pct"/>
          </w:tcPr>
          <w:p w14:paraId="0F126853" w14:textId="77777777" w:rsidR="00540654" w:rsidRPr="00C31888" w:rsidRDefault="00540654" w:rsidP="00EC2F04">
            <w:pPr>
              <w:spacing w:before="100"/>
            </w:pPr>
            <w:r w:rsidRPr="004D38DB">
              <w:rPr>
                <w:bCs/>
              </w:rPr>
              <w:t>Minister for Treaty and First Peoples</w:t>
            </w:r>
          </w:p>
        </w:tc>
        <w:tc>
          <w:tcPr>
            <w:tcW w:w="1143" w:type="pct"/>
          </w:tcPr>
          <w:p w14:paraId="5038DE84" w14:textId="77777777" w:rsidR="00540654" w:rsidRPr="00C31888" w:rsidRDefault="00540654" w:rsidP="00EC2F04">
            <w:pPr>
              <w:spacing w:before="100"/>
              <w:rPr>
                <w:bCs/>
              </w:rPr>
            </w:pPr>
            <w:r w:rsidRPr="00C31888">
              <w:rPr>
                <w:bCs/>
              </w:rPr>
              <w:t>Premier and Cabinet</w:t>
            </w:r>
          </w:p>
        </w:tc>
      </w:tr>
      <w:tr w:rsidR="00540654" w:rsidRPr="00C31888" w14:paraId="30C806E0" w14:textId="77777777" w:rsidTr="00EC2F04">
        <w:tc>
          <w:tcPr>
            <w:tcW w:w="2307" w:type="pct"/>
          </w:tcPr>
          <w:p w14:paraId="6878086A" w14:textId="77777777" w:rsidR="00540654" w:rsidRPr="00C31888" w:rsidRDefault="00540654" w:rsidP="0098784B">
            <w:pPr>
              <w:pStyle w:val="Tablebullet"/>
              <w:spacing w:before="100"/>
            </w:pPr>
            <w:r w:rsidRPr="00C31888">
              <w:t>Architects Registration Board of Victoria</w:t>
            </w:r>
          </w:p>
          <w:p w14:paraId="5FE7CA42" w14:textId="77777777" w:rsidR="00540654" w:rsidRDefault="00540654" w:rsidP="0098784B">
            <w:pPr>
              <w:pStyle w:val="Tablebullet"/>
            </w:pPr>
            <w:r w:rsidRPr="00C31888">
              <w:t>Heritage Victoria</w:t>
            </w:r>
          </w:p>
          <w:p w14:paraId="5A473A90" w14:textId="77777777" w:rsidR="00540654" w:rsidRPr="00C31888" w:rsidRDefault="00540654" w:rsidP="0098784B">
            <w:pPr>
              <w:pStyle w:val="Tablebullet"/>
            </w:pPr>
            <w:r w:rsidRPr="00C31888">
              <w:t>Heritage Council of Victoria</w:t>
            </w:r>
          </w:p>
          <w:p w14:paraId="799E986D" w14:textId="77777777" w:rsidR="00540654" w:rsidRPr="00C31888" w:rsidRDefault="00540654" w:rsidP="0098784B">
            <w:pPr>
              <w:pStyle w:val="Tablebullet"/>
            </w:pPr>
            <w:r w:rsidRPr="00C31888">
              <w:t>Surveyors Registration Board</w:t>
            </w:r>
          </w:p>
          <w:p w14:paraId="544A7FF0" w14:textId="77777777" w:rsidR="00540654" w:rsidRPr="00C31888" w:rsidRDefault="00540654" w:rsidP="0098784B">
            <w:pPr>
              <w:pStyle w:val="Tablebullet"/>
              <w:rPr>
                <w:rFonts w:eastAsia="Calibri"/>
              </w:rPr>
            </w:pPr>
            <w:r w:rsidRPr="00C31888">
              <w:t>Victorian Building Authority</w:t>
            </w:r>
          </w:p>
        </w:tc>
        <w:tc>
          <w:tcPr>
            <w:tcW w:w="1550" w:type="pct"/>
          </w:tcPr>
          <w:p w14:paraId="491AFB38" w14:textId="77777777" w:rsidR="00540654" w:rsidRPr="00183113" w:rsidRDefault="00540654" w:rsidP="00EC2F04">
            <w:pPr>
              <w:spacing w:before="100"/>
              <w:rPr>
                <w:bCs/>
              </w:rPr>
            </w:pPr>
            <w:r w:rsidRPr="00C31888">
              <w:rPr>
                <w:bCs/>
              </w:rPr>
              <w:t>Minister for Pla</w:t>
            </w:r>
            <w:r>
              <w:rPr>
                <w:bCs/>
              </w:rPr>
              <w:t>nning</w:t>
            </w:r>
          </w:p>
        </w:tc>
        <w:tc>
          <w:tcPr>
            <w:tcW w:w="1143" w:type="pct"/>
          </w:tcPr>
          <w:p w14:paraId="2B2475CD" w14:textId="77777777" w:rsidR="00540654" w:rsidRPr="00C31888" w:rsidRDefault="00540654" w:rsidP="00EC2F04">
            <w:pPr>
              <w:spacing w:before="100"/>
              <w:rPr>
                <w:rFonts w:eastAsia="Calibri"/>
                <w:bCs/>
              </w:rPr>
            </w:pPr>
            <w:r w:rsidRPr="00C31888">
              <w:t>Transport</w:t>
            </w:r>
            <w:r>
              <w:t xml:space="preserve"> and Planning</w:t>
            </w:r>
          </w:p>
        </w:tc>
      </w:tr>
      <w:tr w:rsidR="00540654" w:rsidRPr="00C31888" w14:paraId="39259BC2" w14:textId="77777777" w:rsidTr="00EC2F04">
        <w:tc>
          <w:tcPr>
            <w:tcW w:w="2307" w:type="pct"/>
          </w:tcPr>
          <w:p w14:paraId="04BC8B35" w14:textId="77777777" w:rsidR="00540654" w:rsidRPr="00183113" w:rsidRDefault="00540654" w:rsidP="00EC2F04">
            <w:pPr>
              <w:spacing w:before="100"/>
              <w:rPr>
                <w:color w:val="000000"/>
              </w:rPr>
            </w:pPr>
            <w:r>
              <w:rPr>
                <w:color w:val="000000"/>
              </w:rPr>
              <w:t>Victorian Ports Melbourne</w:t>
            </w:r>
          </w:p>
        </w:tc>
        <w:tc>
          <w:tcPr>
            <w:tcW w:w="1550" w:type="pct"/>
          </w:tcPr>
          <w:p w14:paraId="50351CD6" w14:textId="77777777" w:rsidR="00540654" w:rsidRPr="00183113" w:rsidRDefault="00540654" w:rsidP="00EC2F04">
            <w:pPr>
              <w:spacing w:before="100"/>
              <w:rPr>
                <w:bCs/>
              </w:rPr>
            </w:pPr>
            <w:r>
              <w:rPr>
                <w:bCs/>
              </w:rPr>
              <w:t>Minister for Ports and Freight</w:t>
            </w:r>
          </w:p>
        </w:tc>
        <w:tc>
          <w:tcPr>
            <w:tcW w:w="1143" w:type="pct"/>
          </w:tcPr>
          <w:p w14:paraId="20A01A81" w14:textId="77777777" w:rsidR="00540654" w:rsidRPr="00C31888" w:rsidRDefault="00540654" w:rsidP="00EC2F04">
            <w:pPr>
              <w:spacing w:before="100"/>
              <w:rPr>
                <w:rFonts w:eastAsia="Calibri"/>
              </w:rPr>
            </w:pPr>
            <w:r w:rsidRPr="00C31888">
              <w:t>Transport</w:t>
            </w:r>
            <w:r>
              <w:t xml:space="preserve"> and Planning</w:t>
            </w:r>
          </w:p>
        </w:tc>
      </w:tr>
      <w:tr w:rsidR="00540654" w:rsidRPr="00C31888" w14:paraId="06C0473F" w14:textId="77777777" w:rsidTr="00EC2F04">
        <w:tc>
          <w:tcPr>
            <w:tcW w:w="2307" w:type="pct"/>
          </w:tcPr>
          <w:p w14:paraId="72D53398" w14:textId="77777777" w:rsidR="00540654" w:rsidRPr="00183113" w:rsidRDefault="00540654" w:rsidP="00EC2F04">
            <w:pPr>
              <w:spacing w:before="100"/>
              <w:rPr>
                <w:color w:val="000000"/>
              </w:rPr>
            </w:pPr>
            <w:r>
              <w:rPr>
                <w:color w:val="000000"/>
              </w:rPr>
              <w:t>Commercial Passenger Vehicles Victoria</w:t>
            </w:r>
          </w:p>
        </w:tc>
        <w:tc>
          <w:tcPr>
            <w:tcW w:w="1550" w:type="pct"/>
          </w:tcPr>
          <w:p w14:paraId="7829516A" w14:textId="77777777" w:rsidR="00540654" w:rsidRPr="00183113" w:rsidRDefault="00540654" w:rsidP="00EC2F04">
            <w:pPr>
              <w:spacing w:before="100"/>
              <w:rPr>
                <w:bCs/>
              </w:rPr>
            </w:pPr>
            <w:r>
              <w:rPr>
                <w:bCs/>
              </w:rPr>
              <w:t>Minister for Public Transport</w:t>
            </w:r>
          </w:p>
        </w:tc>
        <w:tc>
          <w:tcPr>
            <w:tcW w:w="1143" w:type="pct"/>
          </w:tcPr>
          <w:p w14:paraId="642551CE" w14:textId="77777777" w:rsidR="00540654" w:rsidRPr="00C31888" w:rsidRDefault="00540654" w:rsidP="00EC2F04">
            <w:pPr>
              <w:spacing w:before="100"/>
              <w:rPr>
                <w:rFonts w:eastAsia="Calibri"/>
              </w:rPr>
            </w:pPr>
            <w:r w:rsidRPr="00C31888">
              <w:t>Transport</w:t>
            </w:r>
            <w:r>
              <w:t xml:space="preserve"> and Planning</w:t>
            </w:r>
          </w:p>
        </w:tc>
      </w:tr>
      <w:tr w:rsidR="00540654" w:rsidRPr="00C31888" w14:paraId="4FF4913F" w14:textId="77777777" w:rsidTr="00EC2F04">
        <w:tc>
          <w:tcPr>
            <w:tcW w:w="2307" w:type="pct"/>
          </w:tcPr>
          <w:p w14:paraId="1979F596" w14:textId="77777777" w:rsidR="00540654" w:rsidRPr="00C31888" w:rsidRDefault="00540654" w:rsidP="00664078">
            <w:pPr>
              <w:pStyle w:val="Tablebullet"/>
              <w:numPr>
                <w:ilvl w:val="0"/>
                <w:numId w:val="0"/>
              </w:numPr>
              <w:rPr>
                <w:rFonts w:eastAsia="Calibri"/>
                <w:color w:val="000000"/>
              </w:rPr>
            </w:pPr>
            <w:r w:rsidRPr="00C31888">
              <w:rPr>
                <w:color w:val="000000"/>
              </w:rPr>
              <w:t>VicRoads</w:t>
            </w:r>
          </w:p>
        </w:tc>
        <w:tc>
          <w:tcPr>
            <w:tcW w:w="1550" w:type="pct"/>
          </w:tcPr>
          <w:p w14:paraId="76CF29B8" w14:textId="77777777" w:rsidR="00540654" w:rsidRPr="00C31888" w:rsidRDefault="00540654" w:rsidP="00EC2F04">
            <w:pPr>
              <w:spacing w:before="100"/>
              <w:rPr>
                <w:rFonts w:eastAsia="Calibri"/>
              </w:rPr>
            </w:pPr>
            <w:r w:rsidRPr="00C31888">
              <w:rPr>
                <w:bCs/>
              </w:rPr>
              <w:t xml:space="preserve">Minister for </w:t>
            </w:r>
            <w:r>
              <w:rPr>
                <w:bCs/>
              </w:rPr>
              <w:t xml:space="preserve">Roads and </w:t>
            </w:r>
            <w:r w:rsidRPr="00C31888">
              <w:rPr>
                <w:bCs/>
              </w:rPr>
              <w:t>Road Safety</w:t>
            </w:r>
            <w:r>
              <w:rPr>
                <w:bCs/>
              </w:rPr>
              <w:t xml:space="preserve"> </w:t>
            </w:r>
          </w:p>
        </w:tc>
        <w:tc>
          <w:tcPr>
            <w:tcW w:w="1143" w:type="pct"/>
          </w:tcPr>
          <w:p w14:paraId="04807AD3" w14:textId="77777777" w:rsidR="00540654" w:rsidRPr="00C31888" w:rsidRDefault="00540654" w:rsidP="00EC2F04">
            <w:pPr>
              <w:spacing w:before="100"/>
              <w:rPr>
                <w:rFonts w:eastAsia="Calibri"/>
              </w:rPr>
            </w:pPr>
            <w:r w:rsidRPr="00C31888">
              <w:t>Transport</w:t>
            </w:r>
            <w:r>
              <w:t xml:space="preserve"> and Planning</w:t>
            </w:r>
          </w:p>
        </w:tc>
      </w:tr>
      <w:tr w:rsidR="00540654" w:rsidRPr="00C31888" w14:paraId="246AB106" w14:textId="77777777" w:rsidTr="00EC2F04">
        <w:tc>
          <w:tcPr>
            <w:tcW w:w="2307" w:type="pct"/>
          </w:tcPr>
          <w:p w14:paraId="7474F83F" w14:textId="77777777" w:rsidR="00540654" w:rsidRPr="00C31888" w:rsidRDefault="00540654" w:rsidP="0098784B">
            <w:pPr>
              <w:pStyle w:val="Tablebullet"/>
              <w:spacing w:before="100"/>
            </w:pPr>
            <w:r w:rsidRPr="00C31888">
              <w:t>Essential Services Commission</w:t>
            </w:r>
          </w:p>
          <w:p w14:paraId="46648B56" w14:textId="77777777" w:rsidR="00540654" w:rsidRPr="00EA4C59" w:rsidRDefault="00540654" w:rsidP="0098784B">
            <w:pPr>
              <w:pStyle w:val="Tablebullet"/>
            </w:pPr>
            <w:r>
              <w:t>Housing Registrar</w:t>
            </w:r>
          </w:p>
        </w:tc>
        <w:tc>
          <w:tcPr>
            <w:tcW w:w="1550" w:type="pct"/>
          </w:tcPr>
          <w:p w14:paraId="1A42453A" w14:textId="77777777" w:rsidR="00540654" w:rsidRPr="00C31888" w:rsidRDefault="00540654" w:rsidP="00EC2F04">
            <w:pPr>
              <w:spacing w:before="100"/>
              <w:rPr>
                <w:bCs/>
              </w:rPr>
            </w:pPr>
            <w:r>
              <w:rPr>
                <w:bCs/>
              </w:rPr>
              <w:t>Assistant Treasurer</w:t>
            </w:r>
          </w:p>
        </w:tc>
        <w:tc>
          <w:tcPr>
            <w:tcW w:w="1143" w:type="pct"/>
          </w:tcPr>
          <w:p w14:paraId="7B667385" w14:textId="77777777" w:rsidR="00540654" w:rsidRPr="00C31888" w:rsidRDefault="00540654" w:rsidP="00EC2F04">
            <w:pPr>
              <w:spacing w:before="100"/>
              <w:rPr>
                <w:bCs/>
              </w:rPr>
            </w:pPr>
            <w:r w:rsidRPr="00C31888">
              <w:rPr>
                <w:bCs/>
              </w:rPr>
              <w:t>Treasury and Finance</w:t>
            </w:r>
          </w:p>
        </w:tc>
      </w:tr>
      <w:tr w:rsidR="00540654" w:rsidRPr="00C31888" w14:paraId="2B34D958" w14:textId="77777777" w:rsidTr="00EC2F04">
        <w:tc>
          <w:tcPr>
            <w:tcW w:w="2307" w:type="pct"/>
          </w:tcPr>
          <w:p w14:paraId="2C1608D3" w14:textId="77777777" w:rsidR="00540654" w:rsidRDefault="00540654" w:rsidP="00EC2F04">
            <w:pPr>
              <w:pStyle w:val="Tablebullet"/>
              <w:numPr>
                <w:ilvl w:val="0"/>
                <w:numId w:val="0"/>
              </w:numPr>
              <w:ind w:left="288" w:hanging="288"/>
            </w:pPr>
            <w:r>
              <w:t>WorkSafe Victoria</w:t>
            </w:r>
          </w:p>
        </w:tc>
        <w:tc>
          <w:tcPr>
            <w:tcW w:w="1550" w:type="pct"/>
          </w:tcPr>
          <w:p w14:paraId="645D51BB" w14:textId="77777777" w:rsidR="00540654" w:rsidRPr="00C31888" w:rsidRDefault="00540654" w:rsidP="00EC2F04">
            <w:pPr>
              <w:spacing w:before="100"/>
              <w:rPr>
                <w:bCs/>
              </w:rPr>
            </w:pPr>
            <w:r>
              <w:rPr>
                <w:bCs/>
              </w:rPr>
              <w:t>Minister for WorkSafe and the TAC</w:t>
            </w:r>
          </w:p>
        </w:tc>
        <w:tc>
          <w:tcPr>
            <w:tcW w:w="1143" w:type="pct"/>
          </w:tcPr>
          <w:p w14:paraId="6B154CEC" w14:textId="77777777" w:rsidR="00540654" w:rsidRPr="00C31888" w:rsidRDefault="00540654" w:rsidP="00EC2F04">
            <w:pPr>
              <w:spacing w:before="100"/>
              <w:rPr>
                <w:bCs/>
              </w:rPr>
            </w:pPr>
            <w:r>
              <w:rPr>
                <w:bCs/>
              </w:rPr>
              <w:t>Treasury and Finance</w:t>
            </w:r>
          </w:p>
        </w:tc>
      </w:tr>
      <w:tr w:rsidR="00540654" w:rsidRPr="00C31888" w14:paraId="29D5F620" w14:textId="77777777" w:rsidTr="00EC2F04">
        <w:tc>
          <w:tcPr>
            <w:tcW w:w="2307" w:type="pct"/>
          </w:tcPr>
          <w:p w14:paraId="2582D61E" w14:textId="77777777" w:rsidR="00540654" w:rsidRPr="00C31888" w:rsidRDefault="00540654" w:rsidP="00EC2F04">
            <w:pPr>
              <w:spacing w:before="100"/>
              <w:rPr>
                <w:color w:val="000000"/>
              </w:rPr>
            </w:pPr>
            <w:r w:rsidRPr="00C31888">
              <w:rPr>
                <w:color w:val="000000"/>
              </w:rPr>
              <w:t>State Revenue Office</w:t>
            </w:r>
          </w:p>
        </w:tc>
        <w:tc>
          <w:tcPr>
            <w:tcW w:w="1550" w:type="pct"/>
          </w:tcPr>
          <w:p w14:paraId="275D0BE0" w14:textId="77777777" w:rsidR="00540654" w:rsidRPr="00C31888" w:rsidRDefault="00540654" w:rsidP="00EC2F04">
            <w:pPr>
              <w:spacing w:before="100"/>
              <w:rPr>
                <w:bCs/>
              </w:rPr>
            </w:pPr>
            <w:r>
              <w:rPr>
                <w:bCs/>
              </w:rPr>
              <w:t>Treasurer</w:t>
            </w:r>
          </w:p>
        </w:tc>
        <w:tc>
          <w:tcPr>
            <w:tcW w:w="1143" w:type="pct"/>
          </w:tcPr>
          <w:p w14:paraId="379D5516" w14:textId="77777777" w:rsidR="00540654" w:rsidRPr="00C31888" w:rsidRDefault="00540654" w:rsidP="00EC2F04">
            <w:pPr>
              <w:spacing w:before="100"/>
              <w:rPr>
                <w:bCs/>
              </w:rPr>
            </w:pPr>
            <w:r w:rsidRPr="00C31888">
              <w:rPr>
                <w:bCs/>
              </w:rPr>
              <w:t>Treasury and Finance</w:t>
            </w:r>
          </w:p>
        </w:tc>
      </w:tr>
    </w:tbl>
    <w:p w14:paraId="5B3D022D" w14:textId="6F7198A1" w:rsidR="0098784B" w:rsidRDefault="0098784B" w:rsidP="00CC67AB"/>
    <w:p w14:paraId="73F93F83" w14:textId="749CBFEC" w:rsidR="009D7B50" w:rsidRDefault="009D7B50">
      <w:pPr>
        <w:spacing w:before="0" w:after="200" w:line="276" w:lineRule="auto"/>
      </w:pPr>
      <w:r>
        <w:br w:type="page"/>
      </w:r>
    </w:p>
    <w:p w14:paraId="16E9B7D5" w14:textId="20D2DD54" w:rsidR="009D7B50" w:rsidRPr="00C31888" w:rsidRDefault="009D7B50" w:rsidP="009D7B50">
      <w:pPr>
        <w:pStyle w:val="Heading1"/>
      </w:pPr>
      <w:bookmarkStart w:id="13" w:name="_Toc483905996"/>
      <w:r>
        <w:lastRenderedPageBreak/>
        <w:t>Attachment 2 – Example of</w:t>
      </w:r>
      <w:r w:rsidRPr="00C31888">
        <w:t xml:space="preserve"> </w:t>
      </w:r>
      <w:r>
        <w:t>Ministe</w:t>
      </w:r>
      <w:r w:rsidR="00A62492">
        <w:t>r’s</w:t>
      </w:r>
      <w:r w:rsidRPr="00C31888">
        <w:t xml:space="preserve"> letter</w:t>
      </w:r>
      <w:bookmarkEnd w:id="13"/>
    </w:p>
    <w:p w14:paraId="1F3E2998" w14:textId="77777777" w:rsidR="009D7B50" w:rsidRPr="00C31888" w:rsidRDefault="009D7B50" w:rsidP="009D7B50"/>
    <w:p w14:paraId="3DD565DD" w14:textId="77777777" w:rsidR="009D7B50" w:rsidRPr="00C31888" w:rsidRDefault="009D7B50" w:rsidP="009D7B50"/>
    <w:p w14:paraId="3EB19F75" w14:textId="77777777" w:rsidR="009D7B50" w:rsidRPr="00C31888" w:rsidRDefault="009D7B50" w:rsidP="009D7B50">
      <w:r w:rsidRPr="00C31888">
        <w:t>XXXXX</w:t>
      </w:r>
      <w:r w:rsidRPr="00C31888">
        <w:br/>
        <w:t>Chief Executive</w:t>
      </w:r>
      <w:r w:rsidRPr="00C31888">
        <w:br/>
        <w:t>Regulator X</w:t>
      </w:r>
      <w:r w:rsidRPr="00C31888">
        <w:br/>
        <w:t>MELBOURNE</w:t>
      </w:r>
      <w:r>
        <w:t xml:space="preserve"> </w:t>
      </w:r>
      <w:r w:rsidRPr="00C31888">
        <w:t>VIC</w:t>
      </w:r>
      <w:r>
        <w:t xml:space="preserve"> </w:t>
      </w:r>
      <w:r w:rsidRPr="00C31888">
        <w:t>3000</w:t>
      </w:r>
    </w:p>
    <w:p w14:paraId="3F3F32FB" w14:textId="77777777" w:rsidR="009D7B50" w:rsidRPr="00C31888" w:rsidRDefault="009D7B50" w:rsidP="009D7B50"/>
    <w:p w14:paraId="76939B1A" w14:textId="77777777" w:rsidR="009D7B50" w:rsidRPr="00C31888" w:rsidRDefault="009D7B50" w:rsidP="009D7B50"/>
    <w:p w14:paraId="17B21F12" w14:textId="77777777" w:rsidR="009D7B50" w:rsidRPr="00C31888" w:rsidRDefault="009D7B50" w:rsidP="009D7B50">
      <w:r w:rsidRPr="00C31888">
        <w:t>Dear XXXX</w:t>
      </w:r>
    </w:p>
    <w:p w14:paraId="275EBB4D" w14:textId="77777777" w:rsidR="009D7B50" w:rsidRPr="00842C93" w:rsidRDefault="009D7B50" w:rsidP="009D7B50">
      <w:pPr>
        <w:rPr>
          <w:b/>
        </w:rPr>
      </w:pPr>
      <w:r w:rsidRPr="00842C93">
        <w:rPr>
          <w:b/>
        </w:rPr>
        <w:t>STATEMENT OF EXPECTATIONS FOR REGULATOR X</w:t>
      </w:r>
    </w:p>
    <w:p w14:paraId="5805EA85" w14:textId="77777777" w:rsidR="009D7B50" w:rsidRPr="009D7B50" w:rsidRDefault="009D7B50" w:rsidP="009D7B50">
      <w:r w:rsidRPr="009D7B50">
        <w:rPr>
          <w:b/>
          <w:bCs/>
        </w:rPr>
        <w:t>MINISTERIAL GUIDANCE FOR REGULATOR X</w:t>
      </w:r>
    </w:p>
    <w:p w14:paraId="7602CA01" w14:textId="77777777" w:rsidR="009D7B50" w:rsidRPr="009D7B50" w:rsidRDefault="009D7B50" w:rsidP="00FE2895">
      <w:pPr>
        <w:jc w:val="both"/>
      </w:pPr>
      <w:r w:rsidRPr="009D7B50">
        <w:t>I am pleased to provide you with my expectations for Regulator X to guide the regulator’s business planning processes.</w:t>
      </w:r>
    </w:p>
    <w:p w14:paraId="640C7276" w14:textId="3F7C7EFD" w:rsidR="009D7B50" w:rsidRPr="009D7B50" w:rsidRDefault="009D7B50" w:rsidP="00FE2895">
      <w:pPr>
        <w:jc w:val="both"/>
      </w:pPr>
      <w:r w:rsidRPr="009D7B50">
        <w:rPr>
          <w:b/>
          <w:bCs/>
        </w:rPr>
        <w:t xml:space="preserve">Legislative framework (context setting) </w:t>
      </w:r>
    </w:p>
    <w:p w14:paraId="4C8FFA80" w14:textId="22B3E905" w:rsidR="009D7B50" w:rsidRPr="009D7B50" w:rsidRDefault="009D7B50" w:rsidP="00FE2895">
      <w:pPr>
        <w:jc w:val="both"/>
      </w:pPr>
      <w:r w:rsidRPr="009D7B50">
        <w:t>As Minister for X, I am responsible for administering the XXX Act [and XXX Act/s] and this guidance should be read in the context of the objectives, obligations and functions outlined in this/these Act/s as amended.</w:t>
      </w:r>
    </w:p>
    <w:p w14:paraId="4A89CDFA" w14:textId="77777777" w:rsidR="009D7B50" w:rsidRPr="009D7B50" w:rsidRDefault="009D7B50" w:rsidP="00FE2895">
      <w:pPr>
        <w:jc w:val="both"/>
      </w:pPr>
      <w:r w:rsidRPr="009D7B50">
        <w:t>This guidance should also be read in the context of any other legislative and non-legislative obligations on Regulator X.</w:t>
      </w:r>
    </w:p>
    <w:p w14:paraId="21813BB0" w14:textId="77777777" w:rsidR="009D7B50" w:rsidRPr="009D7B50" w:rsidRDefault="009D7B50" w:rsidP="00FE2895">
      <w:pPr>
        <w:jc w:val="both"/>
      </w:pPr>
      <w:r w:rsidRPr="009D7B50">
        <w:rPr>
          <w:b/>
          <w:bCs/>
        </w:rPr>
        <w:t>Emerging risks and priorities (critical component)</w:t>
      </w:r>
    </w:p>
    <w:p w14:paraId="75DB991D" w14:textId="6A9761A4" w:rsidR="009D7B50" w:rsidRPr="009D7B50" w:rsidRDefault="009D7B50" w:rsidP="00FE2895">
      <w:pPr>
        <w:jc w:val="both"/>
      </w:pPr>
      <w:r w:rsidRPr="009D7B50">
        <w:t>Based on consultation with Department X and Regulator X, about the government’s priorities and emerging risks, my expectations for Regulator X are as follows.</w:t>
      </w:r>
    </w:p>
    <w:p w14:paraId="048DE6FF" w14:textId="569A838E" w:rsidR="009D7B50" w:rsidRPr="009D7B50" w:rsidRDefault="009D7B50" w:rsidP="00FE2895">
      <w:pPr>
        <w:jc w:val="both"/>
      </w:pPr>
      <w:r w:rsidRPr="009D7B50">
        <w:rPr>
          <w:i/>
          <w:iCs/>
        </w:rPr>
        <w:t>[Outline Minister’s expectations.]</w:t>
      </w:r>
    </w:p>
    <w:p w14:paraId="52E3890C" w14:textId="50943D28" w:rsidR="009D7B50" w:rsidRPr="009D7B50" w:rsidRDefault="009D7B50" w:rsidP="00FE2895">
      <w:pPr>
        <w:jc w:val="both"/>
      </w:pPr>
      <w:r w:rsidRPr="009D7B50">
        <w:t xml:space="preserve">I request Regulator X to incorporate these expectations into their </w:t>
      </w:r>
      <w:r w:rsidR="00C825BD">
        <w:t>business</w:t>
      </w:r>
      <w:r w:rsidR="00C825BD" w:rsidRPr="009D7B50">
        <w:t xml:space="preserve"> </w:t>
      </w:r>
      <w:r w:rsidRPr="009D7B50">
        <w:t>plans</w:t>
      </w:r>
      <w:r w:rsidR="002267E5">
        <w:t xml:space="preserve"> and include milestones for when Regulator X will m</w:t>
      </w:r>
      <w:r w:rsidR="00932F68">
        <w:t>e</w:t>
      </w:r>
      <w:r w:rsidR="002267E5">
        <w:t xml:space="preserve">et these </w:t>
      </w:r>
      <w:r w:rsidR="00932F68">
        <w:t>expectations</w:t>
      </w:r>
      <w:r w:rsidR="002267E5">
        <w:t>.</w:t>
      </w:r>
      <w:r w:rsidRPr="009D7B50">
        <w:t xml:space="preserve"> Their </w:t>
      </w:r>
      <w:r w:rsidR="00932F68">
        <w:t>business</w:t>
      </w:r>
      <w:r w:rsidR="00932F68" w:rsidRPr="009D7B50">
        <w:t xml:space="preserve"> </w:t>
      </w:r>
      <w:r w:rsidRPr="009D7B50">
        <w:t>plans should also include appropriate milestones to review the content of this letter and to advise me when it needs to be updated or renewed.</w:t>
      </w:r>
    </w:p>
    <w:p w14:paraId="7E0D64FA" w14:textId="329EC7F3" w:rsidR="009D7B50" w:rsidRDefault="009D7B50" w:rsidP="00FE2895">
      <w:pPr>
        <w:jc w:val="both"/>
      </w:pPr>
      <w:r w:rsidRPr="009D7B50">
        <w:t>I further request Regulator X</w:t>
      </w:r>
      <w:r w:rsidR="00750E4C">
        <w:t xml:space="preserve">, </w:t>
      </w:r>
      <w:r w:rsidR="00750E4C" w:rsidRPr="001C0525">
        <w:t>in conjunction with the Department X,</w:t>
      </w:r>
      <w:r w:rsidRPr="001C0525">
        <w:t xml:space="preserve"> to un</w:t>
      </w:r>
      <w:r w:rsidRPr="009D7B50">
        <w:t>dertake a light touch review of the expectations in this letter as part of their annual reporting obligations and to advise me if there are any refinements they would recommend.</w:t>
      </w:r>
    </w:p>
    <w:p w14:paraId="3F2918DC" w14:textId="77777777" w:rsidR="009D7B50" w:rsidRPr="009D7B50" w:rsidRDefault="009D7B50" w:rsidP="009D7B50"/>
    <w:p w14:paraId="62E7BFEE" w14:textId="124C9974" w:rsidR="009D7B50" w:rsidRDefault="009D7B50" w:rsidP="009D7B50">
      <w:r w:rsidRPr="009D7B50">
        <w:t>Yours sincerely</w:t>
      </w:r>
    </w:p>
    <w:p w14:paraId="1FA7A30D" w14:textId="03DFA7AF" w:rsidR="009D7B50" w:rsidRDefault="009D7B50" w:rsidP="009D7B50"/>
    <w:p w14:paraId="6FBB0A10" w14:textId="77777777" w:rsidR="009D7B50" w:rsidRPr="009D7B50" w:rsidRDefault="009D7B50" w:rsidP="009D7B50">
      <w:r w:rsidRPr="009D7B50">
        <w:t>Minister responsible for Regulator X</w:t>
      </w:r>
    </w:p>
    <w:p w14:paraId="3CF97184" w14:textId="77777777" w:rsidR="00D12E74" w:rsidRDefault="00D12E74" w:rsidP="004F7954"/>
    <w:p w14:paraId="2B6DF9BF" w14:textId="60776A67" w:rsidR="0098784B" w:rsidRDefault="0098784B" w:rsidP="004F7954">
      <w:pPr>
        <w:sectPr w:rsidR="0098784B" w:rsidSect="00204A0B">
          <w:headerReference w:type="even" r:id="rId32"/>
          <w:headerReference w:type="default" r:id="rId33"/>
          <w:footerReference w:type="even" r:id="rId34"/>
          <w:footerReference w:type="default" r:id="rId35"/>
          <w:type w:val="oddPage"/>
          <w:pgSz w:w="11906" w:h="16838" w:code="9"/>
          <w:pgMar w:top="2160" w:right="1440" w:bottom="1987" w:left="1440" w:header="706" w:footer="461" w:gutter="0"/>
          <w:pgNumType w:start="1"/>
          <w:cols w:space="708"/>
          <w:docGrid w:linePitch="360"/>
        </w:sectPr>
      </w:pPr>
    </w:p>
    <w:p w14:paraId="26D6208A" w14:textId="77777777" w:rsidR="00014213" w:rsidRPr="00D2312F" w:rsidRDefault="00014213" w:rsidP="004F7954"/>
    <w:sectPr w:rsidR="00014213" w:rsidRPr="00D2312F" w:rsidSect="00470962">
      <w:headerReference w:type="even" r:id="rId36"/>
      <w:headerReference w:type="default" r:id="rId37"/>
      <w:footerReference w:type="even" r:id="rId38"/>
      <w:footerReference w:type="default" r:id="rId39"/>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731C" w14:textId="77777777" w:rsidR="0035649A" w:rsidRDefault="0035649A" w:rsidP="004F7954">
      <w:r>
        <w:separator/>
      </w:r>
    </w:p>
    <w:p w14:paraId="1ACAB232" w14:textId="77777777" w:rsidR="0035649A" w:rsidRDefault="0035649A" w:rsidP="004F7954"/>
    <w:p w14:paraId="6D22E467" w14:textId="77777777" w:rsidR="0035649A" w:rsidRDefault="0035649A" w:rsidP="004F7954"/>
  </w:endnote>
  <w:endnote w:type="continuationSeparator" w:id="0">
    <w:p w14:paraId="3BE579EC" w14:textId="77777777" w:rsidR="0035649A" w:rsidRDefault="0035649A" w:rsidP="004F7954">
      <w:r>
        <w:continuationSeparator/>
      </w:r>
    </w:p>
    <w:p w14:paraId="6D832D78" w14:textId="77777777" w:rsidR="0035649A" w:rsidRDefault="0035649A" w:rsidP="004F7954"/>
    <w:p w14:paraId="5C745385" w14:textId="77777777" w:rsidR="0035649A" w:rsidRDefault="0035649A" w:rsidP="004F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1736" w14:textId="77777777" w:rsidR="002267E5" w:rsidRDefault="002267E5" w:rsidP="004F7954">
    <w:pPr>
      <w:pStyle w:val="Spacer"/>
    </w:pPr>
  </w:p>
  <w:p w14:paraId="2B2A4C28" w14:textId="77777777" w:rsidR="002267E5" w:rsidRDefault="002267E5" w:rsidP="004F79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1ED1" w14:textId="5F54E705" w:rsidR="002267E5" w:rsidRDefault="002267E5" w:rsidP="004F7954">
    <w:pPr>
      <w:pStyle w:val="Spacer"/>
    </w:pPr>
    <w:r>
      <w:rPr>
        <w:noProof/>
      </w:rPr>
      <w:drawing>
        <wp:anchor distT="0" distB="0" distL="114300" distR="114300" simplePos="0" relativeHeight="251657216" behindDoc="0" locked="0" layoutInCell="1" allowOverlap="1" wp14:anchorId="4E8B9A2B" wp14:editId="5CA64D0B">
          <wp:simplePos x="0" y="0"/>
          <wp:positionH relativeFrom="page">
            <wp:posOffset>5314820</wp:posOffset>
          </wp:positionH>
          <wp:positionV relativeFrom="page">
            <wp:posOffset>9827812</wp:posOffset>
          </wp:positionV>
          <wp:extent cx="1684941" cy="502920"/>
          <wp:effectExtent l="0" t="0" r="0" b="0"/>
          <wp:wrapNone/>
          <wp:docPr id="6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684941" cy="502920"/>
                  </a:xfrm>
                  <a:prstGeom prst="rect">
                    <a:avLst/>
                  </a:prstGeom>
                </pic:spPr>
              </pic:pic>
            </a:graphicData>
          </a:graphic>
          <wp14:sizeRelH relativeFrom="margin">
            <wp14:pctWidth>0</wp14:pctWidth>
          </wp14:sizeRelH>
          <wp14:sizeRelV relativeFrom="margin">
            <wp14:pctHeight>0</wp14:pctHeight>
          </wp14:sizeRelV>
        </wp:anchor>
      </w:drawing>
    </w:r>
  </w:p>
  <w:p w14:paraId="706F4790" w14:textId="77777777" w:rsidR="002267E5" w:rsidRPr="00CB3976" w:rsidRDefault="002267E5" w:rsidP="004F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4E2D" w14:textId="58930994" w:rsidR="002267E5" w:rsidRDefault="002267E5" w:rsidP="004F7954">
    <w:pPr>
      <w:pStyle w:val="Spacer"/>
    </w:pPr>
    <w:r>
      <w:rPr>
        <w:noProof/>
      </w:rPr>
      <w:drawing>
        <wp:anchor distT="0" distB="0" distL="114300" distR="114300" simplePos="0" relativeHeight="251656192" behindDoc="0" locked="0" layoutInCell="1" allowOverlap="1" wp14:anchorId="72E747E7" wp14:editId="2DBE5AE3">
          <wp:simplePos x="0" y="0"/>
          <wp:positionH relativeFrom="page">
            <wp:posOffset>5314820</wp:posOffset>
          </wp:positionH>
          <wp:positionV relativeFrom="page">
            <wp:posOffset>9811910</wp:posOffset>
          </wp:positionV>
          <wp:extent cx="1536192" cy="457200"/>
          <wp:effectExtent l="0" t="0" r="6985" b="0"/>
          <wp:wrapNone/>
          <wp:docPr id="5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14:sizeRelH relativeFrom="margin">
            <wp14:pctWidth>0</wp14:pctWidth>
          </wp14:sizeRelH>
          <wp14:sizeRelV relativeFrom="margin">
            <wp14:pctHeight>0</wp14:pctHeight>
          </wp14:sizeRelV>
        </wp:anchor>
      </w:drawing>
    </w:r>
  </w:p>
  <w:p w14:paraId="2CF9E113" w14:textId="77777777" w:rsidR="002267E5" w:rsidRDefault="002267E5" w:rsidP="004F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2E7B" w14:textId="77777777" w:rsidR="000D2C19" w:rsidRDefault="000D2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DA63" w14:textId="32B831A2" w:rsidR="002267E5" w:rsidRDefault="002267E5" w:rsidP="004F7954">
    <w:pPr>
      <w:pStyle w:val="Spacer"/>
    </w:pPr>
  </w:p>
  <w:p w14:paraId="2263DAB0" w14:textId="77777777" w:rsidR="002267E5" w:rsidRDefault="002267E5" w:rsidP="004F79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C719" w14:textId="77777777" w:rsidR="002267E5" w:rsidRDefault="002267E5" w:rsidP="004F7954">
    <w:pPr>
      <w:pStyle w:val="Spacer"/>
    </w:pPr>
  </w:p>
  <w:p w14:paraId="1640C85A" w14:textId="77777777" w:rsidR="002267E5" w:rsidRPr="00297281" w:rsidRDefault="002267E5"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90E8" w14:textId="4B7716F2" w:rsidR="002267E5" w:rsidRDefault="002267E5" w:rsidP="00D833BE">
    <w:pPr>
      <w:pStyle w:val="Footer"/>
      <w:jc w:val="right"/>
    </w:pPr>
    <w:r>
      <w:fldChar w:fldCharType="begin"/>
    </w:r>
    <w:r>
      <w:instrText xml:space="preserve"> page </w:instrText>
    </w:r>
    <w:r>
      <w:fldChar w:fldCharType="separate"/>
    </w:r>
    <w:r>
      <w:t>i</w:t>
    </w:r>
    <w:r>
      <w:fldChar w:fldCharType="end"/>
    </w:r>
  </w:p>
  <w:p w14:paraId="270C00C7" w14:textId="77777777" w:rsidR="002267E5" w:rsidRDefault="002267E5" w:rsidP="00D833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5FCF" w14:textId="77777777" w:rsidR="002267E5" w:rsidRDefault="002267E5" w:rsidP="004F7954">
    <w:pPr>
      <w:pStyle w:val="Spacer"/>
    </w:pPr>
  </w:p>
  <w:p w14:paraId="452858AC" w14:textId="3D234EB0" w:rsidR="002267E5" w:rsidRPr="00297281" w:rsidRDefault="002267E5"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ab/>
    </w:r>
    <w:r w:rsidRPr="0054503A">
      <w:rPr>
        <w:noProof w:val="0"/>
      </w:rPr>
      <w:fldChar w:fldCharType="begin"/>
    </w:r>
    <w:r w:rsidRPr="0054503A">
      <w:instrText xml:space="preserve"> StyleRef “Title” </w:instrText>
    </w:r>
    <w:r w:rsidRPr="0054503A">
      <w:rPr>
        <w:noProof w:val="0"/>
      </w:rPr>
      <w:fldChar w:fldCharType="separate"/>
    </w:r>
    <w:r w:rsidR="00E26EBB">
      <w:t>Statement of Expectations Framework for Regulators</w:t>
    </w:r>
    <w:r w:rsidRPr="0054503A">
      <w:fldChar w:fldCharType="end"/>
    </w:r>
    <w:r w:rsidRPr="00C022F9">
      <w:rPr>
        <w:color w:val="0072CE" w:themeColor="accent1"/>
      </w:rPr>
      <w:t xml:space="preserve"> – </w:t>
    </w:r>
    <w:r w:rsidRPr="00C022F9">
      <w:rPr>
        <w:noProof w:val="0"/>
      </w:rPr>
      <w:fldChar w:fldCharType="begin"/>
    </w:r>
    <w:r w:rsidRPr="00C022F9">
      <w:instrText xml:space="preserve"> StyleRef “Subtitle” </w:instrText>
    </w:r>
    <w:r w:rsidRPr="00C022F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3464" w14:textId="0B96C889" w:rsidR="002267E5" w:rsidRDefault="002267E5" w:rsidP="004F7954">
    <w:pPr>
      <w:pStyle w:val="Footer"/>
      <w:rPr>
        <w:rStyle w:val="PageNumber"/>
      </w:rPr>
    </w:pPr>
    <w:r w:rsidRPr="0054503A">
      <w:rPr>
        <w:b/>
        <w:bCs/>
        <w:noProof w:val="0"/>
      </w:rPr>
      <w:fldChar w:fldCharType="begin"/>
    </w:r>
    <w:r w:rsidRPr="0054503A">
      <w:rPr>
        <w:b/>
        <w:bCs/>
      </w:rPr>
      <w:instrText xml:space="preserve"> StyleRef “Title” </w:instrText>
    </w:r>
    <w:r w:rsidRPr="0054503A">
      <w:rPr>
        <w:b/>
        <w:bCs/>
        <w:noProof w:val="0"/>
      </w:rPr>
      <w:fldChar w:fldCharType="separate"/>
    </w:r>
    <w:r w:rsidR="00E42CBD">
      <w:rPr>
        <w:b/>
        <w:bCs/>
      </w:rPr>
      <w:t>Statement of Expectations Framework for Regulators</w:t>
    </w:r>
    <w:r w:rsidRPr="0054503A">
      <w:rPr>
        <w:b/>
        <w:bCs/>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6689CC73" w14:textId="77777777" w:rsidR="002267E5" w:rsidRPr="00C022F9" w:rsidRDefault="002267E5" w:rsidP="004F79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8F1E" w14:textId="77777777" w:rsidR="002267E5" w:rsidRPr="00014213" w:rsidRDefault="002267E5" w:rsidP="004F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983E" w14:textId="77777777" w:rsidR="0035649A" w:rsidRDefault="0035649A" w:rsidP="004F7954">
      <w:r>
        <w:separator/>
      </w:r>
    </w:p>
    <w:p w14:paraId="207066EE" w14:textId="77777777" w:rsidR="0035649A" w:rsidRDefault="0035649A" w:rsidP="004F7954"/>
  </w:footnote>
  <w:footnote w:type="continuationSeparator" w:id="0">
    <w:p w14:paraId="39690D7A" w14:textId="77777777" w:rsidR="0035649A" w:rsidRDefault="0035649A" w:rsidP="004F7954">
      <w:r>
        <w:continuationSeparator/>
      </w:r>
    </w:p>
  </w:footnote>
  <w:footnote w:type="continuationNotice" w:id="1">
    <w:p w14:paraId="69EFC0A6" w14:textId="77777777" w:rsidR="0035649A" w:rsidRDefault="0035649A">
      <w:pPr>
        <w:spacing w:before="0" w:after="0" w:line="240" w:lineRule="auto"/>
      </w:pPr>
    </w:p>
  </w:footnote>
  <w:footnote w:id="2">
    <w:p w14:paraId="5998B0A4" w14:textId="77777777" w:rsidR="002267E5" w:rsidRPr="00363AD8" w:rsidRDefault="002267E5" w:rsidP="00D11EAB">
      <w:pPr>
        <w:pStyle w:val="FootnoteText"/>
      </w:pPr>
      <w:r w:rsidRPr="00363AD8">
        <w:rPr>
          <w:rStyle w:val="FootnoteReference"/>
          <w:rFonts w:cstheme="minorHAnsi"/>
        </w:rPr>
        <w:footnoteRef/>
      </w:r>
      <w:r w:rsidRPr="00363AD8">
        <w:t xml:space="preserve"> The </w:t>
      </w:r>
      <w:r>
        <w:t>F</w:t>
      </w:r>
      <w:r w:rsidRPr="00363AD8">
        <w:t>ramework does not apply to local government.</w:t>
      </w:r>
    </w:p>
  </w:footnote>
  <w:footnote w:id="3">
    <w:p w14:paraId="51BD6AFA" w14:textId="36CC8A80" w:rsidR="002267E5" w:rsidRPr="00363AD8" w:rsidRDefault="002267E5" w:rsidP="00D11EAB">
      <w:pPr>
        <w:pStyle w:val="FootnoteText"/>
      </w:pPr>
      <w:r w:rsidRPr="00363AD8">
        <w:rPr>
          <w:rStyle w:val="FootnoteReference"/>
          <w:rFonts w:cstheme="minorHAnsi"/>
        </w:rPr>
        <w:footnoteRef/>
      </w:r>
      <w:r w:rsidRPr="00363AD8">
        <w:t xml:space="preserve"> V</w:t>
      </w:r>
      <w:r w:rsidR="00474D06">
        <w:t xml:space="preserve">ictorian </w:t>
      </w:r>
      <w:r w:rsidRPr="00363AD8">
        <w:t>C</w:t>
      </w:r>
      <w:r w:rsidR="00474D06">
        <w:t xml:space="preserve">ompetition and </w:t>
      </w:r>
      <w:r w:rsidRPr="00363AD8">
        <w:t>E</w:t>
      </w:r>
      <w:r w:rsidR="00474D06">
        <w:t xml:space="preserve">fficiency </w:t>
      </w:r>
      <w:r w:rsidRPr="00363AD8">
        <w:t>C</w:t>
      </w:r>
      <w:r w:rsidR="00474D06">
        <w:t>ommission</w:t>
      </w:r>
      <w:r w:rsidRPr="00363AD8">
        <w:t>, The Victorian Reg</w:t>
      </w:r>
      <w:r>
        <w:t>ulatory System, September 2013, p. 2</w:t>
      </w:r>
      <w:r w:rsidRPr="00363A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31D2" w14:textId="77777777" w:rsidR="000D2C19" w:rsidRDefault="000D2C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2F0A" w14:textId="77777777" w:rsidR="002267E5" w:rsidRDefault="002267E5" w:rsidP="004F7954">
    <w:pPr>
      <w:pStyle w:val="Header"/>
    </w:pPr>
    <w:r>
      <w:rPr>
        <w:noProof/>
      </w:rPr>
      <mc:AlternateContent>
        <mc:Choice Requires="wpg">
          <w:drawing>
            <wp:anchor distT="0" distB="0" distL="114300" distR="114300" simplePos="0" relativeHeight="251655168" behindDoc="0" locked="0" layoutInCell="1" allowOverlap="1" wp14:anchorId="2AC1E854" wp14:editId="6BFAAB64">
              <wp:simplePos x="0" y="0"/>
              <wp:positionH relativeFrom="page">
                <wp:align>left</wp:align>
              </wp:positionH>
              <wp:positionV relativeFrom="page">
                <wp:posOffset>895033</wp:posOffset>
              </wp:positionV>
              <wp:extent cx="7560945" cy="7580312"/>
              <wp:effectExtent l="0" t="0" r="1905" b="1905"/>
              <wp:wrapNone/>
              <wp:docPr id="8" name="Back page graphi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945" cy="7580312"/>
                        <a:chOff x="914400" y="914400"/>
                        <a:chExt cx="5429250" cy="5438775"/>
                      </a:xfrm>
                    </wpg:grpSpPr>
                    <wps:wsp>
                      <wps:cNvPr id="9" name="Shape 2"/>
                      <wps:cNvSpPr/>
                      <wps:spPr>
                        <a:xfrm>
                          <a:off x="4105941" y="1619250"/>
                          <a:ext cx="2237708" cy="4733925"/>
                        </a:xfrm>
                        <a:custGeom>
                          <a:avLst/>
                          <a:gdLst>
                            <a:gd name="connsiteX0" fmla="*/ 2237708 w 2237708"/>
                            <a:gd name="connsiteY0" fmla="*/ 0 h 4733925"/>
                            <a:gd name="connsiteX1" fmla="*/ 0 w 2237708"/>
                            <a:gd name="connsiteY1" fmla="*/ 4733925 h 4733925"/>
                            <a:gd name="connsiteX2" fmla="*/ 2237708 w 2237708"/>
                            <a:gd name="connsiteY2" fmla="*/ 4733925 h 4733925"/>
                          </a:gdLst>
                          <a:ahLst/>
                          <a:cxnLst>
                            <a:cxn ang="0">
                              <a:pos x="connsiteX0" y="connsiteY0"/>
                            </a:cxn>
                            <a:cxn ang="0">
                              <a:pos x="connsiteX1" y="connsiteY1"/>
                            </a:cxn>
                            <a:cxn ang="0">
                              <a:pos x="connsiteX2" y="connsiteY2"/>
                            </a:cxn>
                          </a:cxnLst>
                          <a:rect l="l" t="t" r="r" b="b"/>
                          <a:pathLst>
                            <a:path w="2237708" h="4733925">
                              <a:moveTo>
                                <a:pt x="2237708" y="0"/>
                              </a:moveTo>
                              <a:lnTo>
                                <a:pt x="0" y="4733925"/>
                              </a:lnTo>
                              <a:lnTo>
                                <a:pt x="2237708" y="4733925"/>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1"/>
                      <wps:cNvSpPr/>
                      <wps:spPr>
                        <a:xfrm>
                          <a:off x="914400" y="914400"/>
                          <a:ext cx="5429250" cy="5438775"/>
                        </a:xfrm>
                        <a:custGeom>
                          <a:avLst/>
                          <a:gdLst>
                            <a:gd name="connsiteX0" fmla="*/ 4115181 w 5429250"/>
                            <a:gd name="connsiteY0" fmla="*/ 0 h 5438775"/>
                            <a:gd name="connsiteX1" fmla="*/ 0 w 5429250"/>
                            <a:gd name="connsiteY1" fmla="*/ 0 h 5438775"/>
                            <a:gd name="connsiteX2" fmla="*/ 0 w 5429250"/>
                            <a:gd name="connsiteY2" fmla="*/ 2717673 h 5438775"/>
                            <a:gd name="connsiteX3" fmla="*/ 1286256 w 5429250"/>
                            <a:gd name="connsiteY3" fmla="*/ 5438775 h 5438775"/>
                            <a:gd name="connsiteX4" fmla="*/ 5429250 w 5429250"/>
                            <a:gd name="connsiteY4" fmla="*/ 5438775 h 5438775"/>
                            <a:gd name="connsiteX5" fmla="*/ 5429250 w 5429250"/>
                            <a:gd name="connsiteY5" fmla="*/ 2779871 h 5438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29250" h="5438775">
                              <a:moveTo>
                                <a:pt x="4115181" y="0"/>
                              </a:moveTo>
                              <a:lnTo>
                                <a:pt x="0" y="0"/>
                              </a:lnTo>
                              <a:lnTo>
                                <a:pt x="0" y="2717673"/>
                              </a:lnTo>
                              <a:lnTo>
                                <a:pt x="1286256" y="5438775"/>
                              </a:lnTo>
                              <a:lnTo>
                                <a:pt x="5429250" y="5438775"/>
                              </a:lnTo>
                              <a:lnTo>
                                <a:pt x="5429250" y="277987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7DDA9D" id="Back page graphic" o:spid="_x0000_s1026" alt="&quot;&quot;" style="position:absolute;margin-left:0;margin-top:70.5pt;width:595.35pt;height:596.85pt;z-index:251658752;mso-position-horizontal:left;mso-position-horizontal-relative:page;mso-position-vertical-relative:page;mso-width-relative:margin;mso-height-relative:margin" coordorigin="9144,9144" coordsize="54292,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">
              <v:shape id="Shape 2" o:spid="_x0000_s1027" style="position:absolute;left:41059;top:16192;width:22377;height:47339;visibility:visible;mso-wrap-style:square;v-text-anchor:middle" coordsize="2237708,473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" path="m2237708,l,4733925r2237708,l2237708,xe" fillcolor="#232b39 [3213]" stroked="f">
                <v:stroke joinstyle="miter"/>
                <v:path arrowok="t" o:connecttype="custom" o:connectlocs="2237708,0;0,4733925;2237708,4733925" o:connectangles="0,0,0"/>
              </v:shape>
              <v:shape id="Shape 1" o:spid="_x0000_s1028" style="position:absolute;left:9144;top:9144;width:54292;height:54387;visibility:visible;mso-wrap-style:square;v-text-anchor:middle" coordsize="5429250,54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" path="m4115181,l,,,2717673,1286256,5438775r4142994,l5429250,2779871,4115181,xe" fillcolor="#0072ce [3204]" stroked="f">
                <v:stroke joinstyle="miter"/>
                <v:path arrowok="t" o:connecttype="custom" o:connectlocs="4115181,0;0,0;0,2717673;1286256,5438775;5429250,5438775;5429250,2779871" o:connectangles="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1B63" w14:textId="270FC2D7" w:rsidR="002267E5" w:rsidRDefault="002267E5" w:rsidP="004F7954">
    <w:pPr>
      <w:pStyle w:val="Header"/>
    </w:pPr>
    <w:r>
      <w:rPr>
        <w:noProof/>
      </w:rPr>
      <mc:AlternateContent>
        <mc:Choice Requires="wpg">
          <w:drawing>
            <wp:anchor distT="0" distB="0" distL="114300" distR="114300" simplePos="0" relativeHeight="251658240" behindDoc="1" locked="1" layoutInCell="1" allowOverlap="1" wp14:anchorId="5117EFDA" wp14:editId="1E5950B2">
              <wp:simplePos x="0" y="0"/>
              <wp:positionH relativeFrom="page">
                <wp:posOffset>-19050</wp:posOffset>
              </wp:positionH>
              <wp:positionV relativeFrom="page">
                <wp:posOffset>1110615</wp:posOffset>
              </wp:positionV>
              <wp:extent cx="7077075" cy="7292340"/>
              <wp:effectExtent l="0" t="0" r="9525" b="3810"/>
              <wp:wrapNone/>
              <wp:docPr id="2" name="Page graphi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77075" cy="7292340"/>
                        <a:chOff x="914400" y="909655"/>
                        <a:chExt cx="5297042" cy="5449043"/>
                      </a:xfrm>
                    </wpg:grpSpPr>
                    <wps:wsp>
                      <wps:cNvPr id="16" name="Freeform: Shape 16"/>
                      <wps:cNvSpPr/>
                      <wps:spPr>
                        <a:xfrm>
                          <a:off x="923925" y="909655"/>
                          <a:ext cx="5010816" cy="5445251"/>
                        </a:xfrm>
                        <a:custGeom>
                          <a:avLst/>
                          <a:gdLst>
                            <a:gd name="connsiteX0" fmla="*/ 5010817 w 5010816"/>
                            <a:gd name="connsiteY0" fmla="*/ 0 h 5445251"/>
                            <a:gd name="connsiteX1" fmla="*/ 943165 w 5010816"/>
                            <a:gd name="connsiteY1" fmla="*/ 0 h 5445251"/>
                            <a:gd name="connsiteX2" fmla="*/ 0 w 5010816"/>
                            <a:gd name="connsiteY2" fmla="*/ 1995297 h 5445251"/>
                            <a:gd name="connsiteX3" fmla="*/ 0 w 5010816"/>
                            <a:gd name="connsiteY3" fmla="*/ 5445252 h 5445251"/>
                            <a:gd name="connsiteX4" fmla="*/ 2436876 w 5010816"/>
                            <a:gd name="connsiteY4" fmla="*/ 5445252 h 54452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10816" h="5445251">
                              <a:moveTo>
                                <a:pt x="5010817" y="0"/>
                              </a:moveTo>
                              <a:lnTo>
                                <a:pt x="943165" y="0"/>
                              </a:lnTo>
                              <a:lnTo>
                                <a:pt x="0" y="1995297"/>
                              </a:lnTo>
                              <a:lnTo>
                                <a:pt x="0" y="5445252"/>
                              </a:lnTo>
                              <a:lnTo>
                                <a:pt x="2436876" y="5445252"/>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923925" y="2142362"/>
                          <a:ext cx="5287517" cy="4216336"/>
                        </a:xfrm>
                        <a:custGeom>
                          <a:avLst/>
                          <a:gdLst>
                            <a:gd name="connsiteX0" fmla="*/ 5287518 w 5287517"/>
                            <a:gd name="connsiteY0" fmla="*/ 4216337 h 4216336"/>
                            <a:gd name="connsiteX1" fmla="*/ 3294507 w 5287517"/>
                            <a:gd name="connsiteY1" fmla="*/ 0 h 4216336"/>
                            <a:gd name="connsiteX2" fmla="*/ 0 w 5287517"/>
                            <a:gd name="connsiteY2" fmla="*/ 0 h 4216336"/>
                            <a:gd name="connsiteX3" fmla="*/ 0 w 5287517"/>
                            <a:gd name="connsiteY3" fmla="*/ 4216337 h 4216336"/>
                          </a:gdLst>
                          <a:ahLst/>
                          <a:cxnLst>
                            <a:cxn ang="0">
                              <a:pos x="connsiteX0" y="connsiteY0"/>
                            </a:cxn>
                            <a:cxn ang="0">
                              <a:pos x="connsiteX1" y="connsiteY1"/>
                            </a:cxn>
                            <a:cxn ang="0">
                              <a:pos x="connsiteX2" y="connsiteY2"/>
                            </a:cxn>
                            <a:cxn ang="0">
                              <a:pos x="connsiteX3" y="connsiteY3"/>
                            </a:cxn>
                          </a:cxnLst>
                          <a:rect l="l" t="t" r="r" b="b"/>
                          <a:pathLst>
                            <a:path w="5287517" h="4216336">
                              <a:moveTo>
                                <a:pt x="5287518" y="4216337"/>
                              </a:moveTo>
                              <a:lnTo>
                                <a:pt x="3294507" y="0"/>
                              </a:lnTo>
                              <a:lnTo>
                                <a:pt x="0" y="0"/>
                              </a:lnTo>
                              <a:lnTo>
                                <a:pt x="0" y="4216337"/>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914400" y="1468278"/>
                          <a:ext cx="3861244" cy="4110894"/>
                        </a:xfrm>
                        <a:custGeom>
                          <a:avLst/>
                          <a:gdLst>
                            <a:gd name="connsiteX0" fmla="*/ 0 w 3861244"/>
                            <a:gd name="connsiteY0" fmla="*/ 0 h 4110894"/>
                            <a:gd name="connsiteX1" fmla="*/ 0 w 3861244"/>
                            <a:gd name="connsiteY1" fmla="*/ 2650712 h 4110894"/>
                            <a:gd name="connsiteX2" fmla="*/ 690182 w 3861244"/>
                            <a:gd name="connsiteY2" fmla="*/ 4110895 h 4110894"/>
                            <a:gd name="connsiteX3" fmla="*/ 3861245 w 3861244"/>
                            <a:gd name="connsiteY3" fmla="*/ 4110895 h 4110894"/>
                            <a:gd name="connsiteX4" fmla="*/ 3861245 w 3861244"/>
                            <a:gd name="connsiteY4" fmla="*/ 0 h 4110894"/>
                            <a:gd name="connsiteX5" fmla="*/ 0 w 3861244"/>
                            <a:gd name="connsiteY5" fmla="*/ 0 h 4110894"/>
                            <a:gd name="connsiteX6" fmla="*/ 3590925 w 3861244"/>
                            <a:gd name="connsiteY6" fmla="*/ 3055144 h 4110894"/>
                            <a:gd name="connsiteX7" fmla="*/ 3038475 w 3861244"/>
                            <a:gd name="connsiteY7" fmla="*/ 3055144 h 4110894"/>
                            <a:gd name="connsiteX8" fmla="*/ 3038475 w 3861244"/>
                            <a:gd name="connsiteY8" fmla="*/ 3026569 h 4110894"/>
                            <a:gd name="connsiteX9" fmla="*/ 3590925 w 3861244"/>
                            <a:gd name="connsiteY9" fmla="*/ 3026569 h 4110894"/>
                            <a:gd name="connsiteX10" fmla="*/ 3590925 w 3861244"/>
                            <a:gd name="connsiteY10" fmla="*/ 3055144 h 4110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61244" h="4110894">
                              <a:moveTo>
                                <a:pt x="0" y="0"/>
                              </a:moveTo>
                              <a:lnTo>
                                <a:pt x="0" y="2650712"/>
                              </a:lnTo>
                              <a:lnTo>
                                <a:pt x="690182" y="4110895"/>
                              </a:lnTo>
                              <a:lnTo>
                                <a:pt x="3861245" y="4110895"/>
                              </a:lnTo>
                              <a:lnTo>
                                <a:pt x="3861245" y="0"/>
                              </a:lnTo>
                              <a:lnTo>
                                <a:pt x="0" y="0"/>
                              </a:lnTo>
                              <a:close/>
                              <a:moveTo>
                                <a:pt x="3590925" y="3055144"/>
                              </a:moveTo>
                              <a:lnTo>
                                <a:pt x="3038475" y="3055144"/>
                              </a:lnTo>
                              <a:lnTo>
                                <a:pt x="3038475" y="3026569"/>
                              </a:lnTo>
                              <a:lnTo>
                                <a:pt x="3590925" y="3026569"/>
                              </a:lnTo>
                              <a:lnTo>
                                <a:pt x="3590925" y="3055144"/>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CCC6FA" id="Page graphic" o:spid="_x0000_s1026" alt="&quot;&quot;" style="position:absolute;margin-left:-1.5pt;margin-top:87.45pt;width:557.25pt;height:574.2pt;z-index:-251637760;mso-position-horizontal-relative:page;mso-position-vertical-relative:page;mso-width-relative:margin;mso-height-relative:margin" coordorigin="9144,9096" coordsize="52970,5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">
              <v:shape id="Freeform: Shape 16" o:spid="_x0000_s1027" style="position:absolute;left:9239;top:9096;width:50108;height:54453;visibility:visible;mso-wrap-style:square;v-text-anchor:middle" coordsize="5010816,54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" path="m5010817,l943165,,,1995297,,5445252r2436876,l5010817,xe" fillcolor="#232b39 [3213]" stroked="f">
                <v:stroke joinstyle="miter"/>
                <v:path arrowok="t" o:connecttype="custom" o:connectlocs="5010817,0;943165,0;0,1995297;0,5445252;2436876,5445252" o:connectangles="0,0,0,0,0"/>
              </v:shape>
              <v:shape id="Freeform: Shape 17" o:spid="_x0000_s1028" style="position:absolute;left:9239;top:21423;width:52875;height:42163;visibility:visible;mso-wrap-style:square;v-text-anchor:middle" coordsize="5287517,42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" path="m5287518,4216337l3294507,,,,,4216337r5287518,xe" fillcolor="#0072ce [3204]" stroked="f">
                <v:stroke joinstyle="miter"/>
                <v:path arrowok="t" o:connecttype="custom" o:connectlocs="5287518,4216337;3294507,0;0,0;0,4216337" o:connectangles="0,0,0,0"/>
              </v:shape>
              <v:shape id="Freeform: Shape 18" o:spid="_x0000_s1029" style="position:absolute;left:9144;top:14682;width:38612;height:41109;visibility:visible;mso-wrap-style:square;v-text-anchor:middle" coordsize="3861244,41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" path="m,l,2650712,690182,4110895r3171063,l3861245,,,xm3590925,3055144r-552450,l3038475,3026569r552450,l3590925,3055144xe" stroked="f">
                <v:stroke joinstyle="miter"/>
                <v:path arrowok="t" o:connecttype="custom" o:connectlocs="0,0;0,2650712;690182,4110895;3861245,4110895;3861245,0;0,0;3590925,3055144;3038475,3055144;3038475,3026569;3590925,3026569;3590925,3055144" o:connectangles="0,0,0,0,0,0,0,0,0,0,0"/>
              </v:shape>
              <w10:wrap anchorx="page" anchory="page"/>
              <w10:anchorlock/>
            </v:group>
          </w:pict>
        </mc:Fallback>
      </mc:AlternateConten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1A81" w14:textId="77777777" w:rsidR="000D2C19" w:rsidRDefault="000D2C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9DB1" w14:textId="77777777" w:rsidR="002267E5" w:rsidRDefault="002267E5" w:rsidP="004F7954">
    <w:pPr>
      <w:pStyle w:val="Header"/>
    </w:pPr>
    <w:r>
      <w:rPr>
        <w:noProof/>
      </w:rPr>
      <w:t xml:space="preserve"> </w:t>
    </w:r>
    <w:r>
      <w:rPr>
        <w:noProof/>
      </w:rPr>
      <w:drawing>
        <wp:anchor distT="0" distB="0" distL="114300" distR="114300" simplePos="0" relativeHeight="251654144" behindDoc="0" locked="0" layoutInCell="1" allowOverlap="1" wp14:anchorId="7AB17494" wp14:editId="04D241DD">
          <wp:simplePos x="0" y="0"/>
          <wp:positionH relativeFrom="column">
            <wp:posOffset>-909902</wp:posOffset>
          </wp:positionH>
          <wp:positionV relativeFrom="page">
            <wp:posOffset>-264</wp:posOffset>
          </wp:positionV>
          <wp:extent cx="7562088" cy="10698480"/>
          <wp:effectExtent l="0" t="0" r="1270" b="7620"/>
          <wp:wrapNone/>
          <wp:docPr id="22" name="Alternative cove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A201" w14:textId="77777777" w:rsidR="002267E5" w:rsidRDefault="002267E5" w:rsidP="004F7954">
    <w:pPr>
      <w:pStyle w:val="Header"/>
    </w:pPr>
    <w:r>
      <w:rPr>
        <w:noProof/>
      </w:rPr>
      <mc:AlternateContent>
        <mc:Choice Requires="wpg">
          <w:drawing>
            <wp:anchor distT="0" distB="0" distL="114300" distR="114300" simplePos="0" relativeHeight="251650048" behindDoc="0" locked="0" layoutInCell="1" allowOverlap="1" wp14:anchorId="28A339DA" wp14:editId="18EF21D6">
              <wp:simplePos x="0" y="0"/>
              <wp:positionH relativeFrom="page">
                <wp:posOffset>180340</wp:posOffset>
              </wp:positionH>
              <wp:positionV relativeFrom="page">
                <wp:posOffset>180340</wp:posOffset>
              </wp:positionV>
              <wp:extent cx="7214616" cy="612648"/>
              <wp:effectExtent l="0" t="0" r="5715" b="0"/>
              <wp:wrapNone/>
              <wp:docPr id="6" name="Graphic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7" name="Freeform: Shape 7"/>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FF0B76" id="Graphic 49" o:spid="_x0000_s1026" alt="&quot;&quot;" style="position:absolute;margin-left:14.2pt;margin-top:14.2pt;width:568.1pt;height:48.25pt;z-index:251640832;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">
              <v:shape id="Freeform: Shape 7"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11"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12"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" path="m1176658,l289694,,,612140r1176658,l1176658,xe" fillcolor="#0072ce [3204]" stroked="f" strokeweight=".34711mm">
                <v:stroke joinstyle="miter"/>
                <v:path arrowok="t" o:connecttype="custom" o:connectlocs="1176658,0;289694,0;0,612140;1176658,612140" o:connectangles="0,0,0,0"/>
              </v:shape>
              <v:shape id="Freeform: Shape 14"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" path="m885713,l,,289570,612140r596143,l885713,xe" fillcolor="#232b39 [3213]" stroked="f" strokeweight=".34711mm">
                <v:stroke joinstyle="miter"/>
                <v:path arrowok="t" o:connecttype="custom" o:connectlocs="885713,0;0,0;289570,612140;885713,612140" o:connectangles="0,0,0,0"/>
              </v:shape>
              <v:shape id="Freeform: Shape 15"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5D90" w14:textId="7CBE1699" w:rsidR="002267E5" w:rsidRDefault="002267E5" w:rsidP="004F7954">
    <w:pPr>
      <w:pStyle w:val="Header"/>
    </w:pPr>
    <w:r>
      <w:rPr>
        <w:noProof/>
      </w:rPr>
      <mc:AlternateContent>
        <mc:Choice Requires="wpg">
          <w:drawing>
            <wp:anchor distT="0" distB="0" distL="114300" distR="114300" simplePos="0" relativeHeight="251652096" behindDoc="0" locked="0" layoutInCell="1" allowOverlap="1" wp14:anchorId="28F1C6B7" wp14:editId="5E612841">
              <wp:simplePos x="0" y="0"/>
              <wp:positionH relativeFrom="page">
                <wp:posOffset>0</wp:posOffset>
              </wp:positionH>
              <wp:positionV relativeFrom="page">
                <wp:posOffset>0</wp:posOffset>
              </wp:positionV>
              <wp:extent cx="7562088" cy="758952"/>
              <wp:effectExtent l="0" t="0" r="1270" b="3175"/>
              <wp:wrapNone/>
              <wp:docPr id="19"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20"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D3DADD" id="Page banner" o:spid="_x0000_s1026" alt="&quot;&quot;" style="position:absolute;margin-left:0;margin-top:0;width:595.45pt;height:59.75pt;z-index:251653120;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64FD" w14:textId="77777777" w:rsidR="002267E5" w:rsidRDefault="002267E5" w:rsidP="004F7954">
    <w:pPr>
      <w:pStyle w:val="Header"/>
    </w:pPr>
    <w:r>
      <w:rPr>
        <w:noProof/>
      </w:rPr>
      <mc:AlternateContent>
        <mc:Choice Requires="wpg">
          <w:drawing>
            <wp:anchor distT="0" distB="0" distL="114300" distR="114300" simplePos="0" relativeHeight="251653120" behindDoc="0" locked="0" layoutInCell="1" allowOverlap="1" wp14:anchorId="038AE08F" wp14:editId="01D59150">
              <wp:simplePos x="0" y="0"/>
              <wp:positionH relativeFrom="page">
                <wp:posOffset>180340</wp:posOffset>
              </wp:positionH>
              <wp:positionV relativeFrom="page">
                <wp:posOffset>180340</wp:posOffset>
              </wp:positionV>
              <wp:extent cx="7214616" cy="612648"/>
              <wp:effectExtent l="0" t="0" r="5715" b="0"/>
              <wp:wrapNone/>
              <wp:docPr id="35" name="Graphic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36" name="Freeform: Shape 36"/>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24BB9A" id="Graphic 49" o:spid="_x0000_s1026" alt="&quot;&quot;" style="position:absolute;margin-left:14.2pt;margin-top:14.2pt;width:568.1pt;height:48.25pt;z-index:251656192;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">
              <v:shape id="Freeform: Shape 36"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37"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38"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" path="m1176658,l289694,,,612140r1176658,l1176658,xe" fillcolor="#0072ce [3204]" stroked="f" strokeweight=".34711mm">
                <v:stroke joinstyle="miter"/>
                <v:path arrowok="t" o:connecttype="custom" o:connectlocs="1176658,0;289694,0;0,612140;1176658,612140" o:connectangles="0,0,0,0"/>
              </v:shape>
              <v:shape id="Freeform: Shape 39"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" path="m885713,l,,289570,612140r596143,l885713,xe" fillcolor="#232b39 [3213]" stroked="f" strokeweight=".34711mm">
                <v:stroke joinstyle="miter"/>
                <v:path arrowok="t" o:connecttype="custom" o:connectlocs="885713,0;0,0;289570,612140;885713,612140" o:connectangles="0,0,0,0"/>
              </v:shape>
              <v:shape id="Freeform: Shape 40"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A9E2" w14:textId="62B250EA" w:rsidR="002267E5" w:rsidRDefault="002267E5" w:rsidP="004F7954">
    <w:pPr>
      <w:pStyle w:val="Header"/>
    </w:pPr>
    <w:r>
      <w:rPr>
        <w:noProof/>
      </w:rPr>
      <mc:AlternateContent>
        <mc:Choice Requires="wpg">
          <w:drawing>
            <wp:anchor distT="0" distB="0" distL="114300" distR="114300" simplePos="0" relativeHeight="251659264" behindDoc="0" locked="0" layoutInCell="1" allowOverlap="1" wp14:anchorId="793468D9" wp14:editId="6AA75547">
              <wp:simplePos x="0" y="0"/>
              <wp:positionH relativeFrom="page">
                <wp:posOffset>0</wp:posOffset>
              </wp:positionH>
              <wp:positionV relativeFrom="page">
                <wp:posOffset>0</wp:posOffset>
              </wp:positionV>
              <wp:extent cx="7562088" cy="758952"/>
              <wp:effectExtent l="0" t="0" r="1270" b="3175"/>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3"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E6BA11" id="Page banner" o:spid="_x0000_s1026" alt="&quot;&quot;" style="position:absolute;margin-left:0;margin-top:0;width:595.45pt;height:59.75pt;z-index:251680768;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44D4" w14:textId="77777777" w:rsidR="002267E5" w:rsidRDefault="002267E5" w:rsidP="004F7954">
    <w:pPr>
      <w:pStyle w:val="Header"/>
    </w:pPr>
    <w:r>
      <w:rPr>
        <w:noProof/>
      </w:rPr>
      <w:drawing>
        <wp:anchor distT="0" distB="0" distL="114300" distR="114300" simplePos="0" relativeHeight="251651072" behindDoc="1" locked="0" layoutInCell="1" allowOverlap="1" wp14:anchorId="33473784" wp14:editId="4E298AE2">
          <wp:simplePos x="0" y="0"/>
          <wp:positionH relativeFrom="column">
            <wp:posOffset>-914400</wp:posOffset>
          </wp:positionH>
          <wp:positionV relativeFrom="page">
            <wp:posOffset>0</wp:posOffset>
          </wp:positionV>
          <wp:extent cx="7562088" cy="10698480"/>
          <wp:effectExtent l="0" t="0" r="1270" b="7620"/>
          <wp:wrapNone/>
          <wp:docPr id="65" name="Alternative back cove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6E6"/>
    <w:multiLevelType w:val="hybridMultilevel"/>
    <w:tmpl w:val="A9861E14"/>
    <w:lvl w:ilvl="0" w:tplc="6D605B7E">
      <w:start w:val="1"/>
      <w:numFmt w:val="bullet"/>
      <w:lvlText w:val="−"/>
      <w:lvlJc w:val="left"/>
      <w:pPr>
        <w:tabs>
          <w:tab w:val="num" w:pos="720"/>
        </w:tabs>
        <w:ind w:left="720" w:hanging="360"/>
      </w:pPr>
      <w:rPr>
        <w:rFonts w:ascii="VIC" w:hAnsi="VIC" w:hint="default"/>
      </w:rPr>
    </w:lvl>
    <w:lvl w:ilvl="1" w:tplc="4606DE82">
      <w:start w:val="1"/>
      <w:numFmt w:val="bullet"/>
      <w:lvlText w:val="−"/>
      <w:lvlJc w:val="left"/>
      <w:pPr>
        <w:tabs>
          <w:tab w:val="num" w:pos="1440"/>
        </w:tabs>
        <w:ind w:left="1440" w:hanging="360"/>
      </w:pPr>
      <w:rPr>
        <w:rFonts w:ascii="VIC" w:hAnsi="VIC" w:hint="default"/>
      </w:rPr>
    </w:lvl>
    <w:lvl w:ilvl="2" w:tplc="C4A0B696">
      <w:start w:val="1"/>
      <w:numFmt w:val="bullet"/>
      <w:lvlText w:val="−"/>
      <w:lvlJc w:val="left"/>
      <w:pPr>
        <w:tabs>
          <w:tab w:val="num" w:pos="2160"/>
        </w:tabs>
        <w:ind w:left="2160" w:hanging="360"/>
      </w:pPr>
      <w:rPr>
        <w:rFonts w:ascii="VIC" w:hAnsi="VIC" w:hint="default"/>
      </w:rPr>
    </w:lvl>
    <w:lvl w:ilvl="3" w:tplc="21E6E7BC">
      <w:start w:val="1"/>
      <w:numFmt w:val="bullet"/>
      <w:lvlText w:val="−"/>
      <w:lvlJc w:val="left"/>
      <w:pPr>
        <w:tabs>
          <w:tab w:val="num" w:pos="2880"/>
        </w:tabs>
        <w:ind w:left="2880" w:hanging="360"/>
      </w:pPr>
      <w:rPr>
        <w:rFonts w:ascii="VIC" w:hAnsi="VIC" w:hint="default"/>
      </w:rPr>
    </w:lvl>
    <w:lvl w:ilvl="4" w:tplc="9FECB0FA" w:tentative="1">
      <w:start w:val="1"/>
      <w:numFmt w:val="bullet"/>
      <w:lvlText w:val="−"/>
      <w:lvlJc w:val="left"/>
      <w:pPr>
        <w:tabs>
          <w:tab w:val="num" w:pos="3600"/>
        </w:tabs>
        <w:ind w:left="3600" w:hanging="360"/>
      </w:pPr>
      <w:rPr>
        <w:rFonts w:ascii="VIC" w:hAnsi="VIC" w:hint="default"/>
      </w:rPr>
    </w:lvl>
    <w:lvl w:ilvl="5" w:tplc="D81A199C" w:tentative="1">
      <w:start w:val="1"/>
      <w:numFmt w:val="bullet"/>
      <w:lvlText w:val="−"/>
      <w:lvlJc w:val="left"/>
      <w:pPr>
        <w:tabs>
          <w:tab w:val="num" w:pos="4320"/>
        </w:tabs>
        <w:ind w:left="4320" w:hanging="360"/>
      </w:pPr>
      <w:rPr>
        <w:rFonts w:ascii="VIC" w:hAnsi="VIC" w:hint="default"/>
      </w:rPr>
    </w:lvl>
    <w:lvl w:ilvl="6" w:tplc="E9B6B238" w:tentative="1">
      <w:start w:val="1"/>
      <w:numFmt w:val="bullet"/>
      <w:lvlText w:val="−"/>
      <w:lvlJc w:val="left"/>
      <w:pPr>
        <w:tabs>
          <w:tab w:val="num" w:pos="5040"/>
        </w:tabs>
        <w:ind w:left="5040" w:hanging="360"/>
      </w:pPr>
      <w:rPr>
        <w:rFonts w:ascii="VIC" w:hAnsi="VIC" w:hint="default"/>
      </w:rPr>
    </w:lvl>
    <w:lvl w:ilvl="7" w:tplc="8A42AADE" w:tentative="1">
      <w:start w:val="1"/>
      <w:numFmt w:val="bullet"/>
      <w:lvlText w:val="−"/>
      <w:lvlJc w:val="left"/>
      <w:pPr>
        <w:tabs>
          <w:tab w:val="num" w:pos="5760"/>
        </w:tabs>
        <w:ind w:left="5760" w:hanging="360"/>
      </w:pPr>
      <w:rPr>
        <w:rFonts w:ascii="VIC" w:hAnsi="VIC" w:hint="default"/>
      </w:rPr>
    </w:lvl>
    <w:lvl w:ilvl="8" w:tplc="B98486CA" w:tentative="1">
      <w:start w:val="1"/>
      <w:numFmt w:val="bullet"/>
      <w:lvlText w:val="−"/>
      <w:lvlJc w:val="left"/>
      <w:pPr>
        <w:tabs>
          <w:tab w:val="num" w:pos="6480"/>
        </w:tabs>
        <w:ind w:left="6480" w:hanging="360"/>
      </w:pPr>
      <w:rPr>
        <w:rFonts w:ascii="VIC" w:hAnsi="VIC" w:hint="default"/>
      </w:rPr>
    </w:lvl>
  </w:abstractNum>
  <w:abstractNum w:abstractNumId="1" w15:restartNumberingAfterBreak="0">
    <w:nsid w:val="10ED0BE6"/>
    <w:multiLevelType w:val="hybridMultilevel"/>
    <w:tmpl w:val="573E4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A11150"/>
    <w:multiLevelType w:val="hybridMultilevel"/>
    <w:tmpl w:val="94AE5772"/>
    <w:lvl w:ilvl="0" w:tplc="24EAB09C">
      <w:start w:val="1"/>
      <w:numFmt w:val="bullet"/>
      <w:lvlText w:val="•"/>
      <w:lvlJc w:val="left"/>
      <w:pPr>
        <w:tabs>
          <w:tab w:val="num" w:pos="1080"/>
        </w:tabs>
        <w:ind w:left="1080" w:hanging="360"/>
      </w:pPr>
      <w:rPr>
        <w:rFonts w:ascii="Arial" w:hAnsi="Arial" w:hint="default"/>
      </w:rPr>
    </w:lvl>
    <w:lvl w:ilvl="1" w:tplc="E022F62A" w:tentative="1">
      <w:start w:val="1"/>
      <w:numFmt w:val="bullet"/>
      <w:lvlText w:val="•"/>
      <w:lvlJc w:val="left"/>
      <w:pPr>
        <w:tabs>
          <w:tab w:val="num" w:pos="1800"/>
        </w:tabs>
        <w:ind w:left="1800" w:hanging="360"/>
      </w:pPr>
      <w:rPr>
        <w:rFonts w:ascii="Arial" w:hAnsi="Arial" w:hint="default"/>
      </w:rPr>
    </w:lvl>
    <w:lvl w:ilvl="2" w:tplc="6A9C6136" w:tentative="1">
      <w:start w:val="1"/>
      <w:numFmt w:val="bullet"/>
      <w:lvlText w:val="•"/>
      <w:lvlJc w:val="left"/>
      <w:pPr>
        <w:tabs>
          <w:tab w:val="num" w:pos="2520"/>
        </w:tabs>
        <w:ind w:left="2520" w:hanging="360"/>
      </w:pPr>
      <w:rPr>
        <w:rFonts w:ascii="Arial" w:hAnsi="Arial" w:hint="default"/>
      </w:rPr>
    </w:lvl>
    <w:lvl w:ilvl="3" w:tplc="F1BECB52" w:tentative="1">
      <w:start w:val="1"/>
      <w:numFmt w:val="bullet"/>
      <w:lvlText w:val="•"/>
      <w:lvlJc w:val="left"/>
      <w:pPr>
        <w:tabs>
          <w:tab w:val="num" w:pos="3240"/>
        </w:tabs>
        <w:ind w:left="3240" w:hanging="360"/>
      </w:pPr>
      <w:rPr>
        <w:rFonts w:ascii="Arial" w:hAnsi="Arial" w:hint="default"/>
      </w:rPr>
    </w:lvl>
    <w:lvl w:ilvl="4" w:tplc="A3DE1746" w:tentative="1">
      <w:start w:val="1"/>
      <w:numFmt w:val="bullet"/>
      <w:lvlText w:val="•"/>
      <w:lvlJc w:val="left"/>
      <w:pPr>
        <w:tabs>
          <w:tab w:val="num" w:pos="3960"/>
        </w:tabs>
        <w:ind w:left="3960" w:hanging="360"/>
      </w:pPr>
      <w:rPr>
        <w:rFonts w:ascii="Arial" w:hAnsi="Arial" w:hint="default"/>
      </w:rPr>
    </w:lvl>
    <w:lvl w:ilvl="5" w:tplc="621C65E4" w:tentative="1">
      <w:start w:val="1"/>
      <w:numFmt w:val="bullet"/>
      <w:lvlText w:val="•"/>
      <w:lvlJc w:val="left"/>
      <w:pPr>
        <w:tabs>
          <w:tab w:val="num" w:pos="4680"/>
        </w:tabs>
        <w:ind w:left="4680" w:hanging="360"/>
      </w:pPr>
      <w:rPr>
        <w:rFonts w:ascii="Arial" w:hAnsi="Arial" w:hint="default"/>
      </w:rPr>
    </w:lvl>
    <w:lvl w:ilvl="6" w:tplc="45A2D3A4" w:tentative="1">
      <w:start w:val="1"/>
      <w:numFmt w:val="bullet"/>
      <w:lvlText w:val="•"/>
      <w:lvlJc w:val="left"/>
      <w:pPr>
        <w:tabs>
          <w:tab w:val="num" w:pos="5400"/>
        </w:tabs>
        <w:ind w:left="5400" w:hanging="360"/>
      </w:pPr>
      <w:rPr>
        <w:rFonts w:ascii="Arial" w:hAnsi="Arial" w:hint="default"/>
      </w:rPr>
    </w:lvl>
    <w:lvl w:ilvl="7" w:tplc="C986A502" w:tentative="1">
      <w:start w:val="1"/>
      <w:numFmt w:val="bullet"/>
      <w:lvlText w:val="•"/>
      <w:lvlJc w:val="left"/>
      <w:pPr>
        <w:tabs>
          <w:tab w:val="num" w:pos="6120"/>
        </w:tabs>
        <w:ind w:left="6120" w:hanging="360"/>
      </w:pPr>
      <w:rPr>
        <w:rFonts w:ascii="Arial" w:hAnsi="Arial" w:hint="default"/>
      </w:rPr>
    </w:lvl>
    <w:lvl w:ilvl="8" w:tplc="CE1C7D7C"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1D824E06"/>
    <w:multiLevelType w:val="hybridMultilevel"/>
    <w:tmpl w:val="0812D92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05F0DAF"/>
    <w:multiLevelType w:val="hybridMultilevel"/>
    <w:tmpl w:val="591626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4C000CD"/>
    <w:multiLevelType w:val="hybridMultilevel"/>
    <w:tmpl w:val="47725A5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4A1A85"/>
    <w:multiLevelType w:val="hybridMultilevel"/>
    <w:tmpl w:val="2B2824E8"/>
    <w:lvl w:ilvl="0" w:tplc="46766BAC">
      <w:start w:val="1"/>
      <w:numFmt w:val="bullet"/>
      <w:lvlText w:val="•"/>
      <w:lvlJc w:val="left"/>
      <w:pPr>
        <w:tabs>
          <w:tab w:val="num" w:pos="720"/>
        </w:tabs>
        <w:ind w:left="720" w:hanging="360"/>
      </w:pPr>
      <w:rPr>
        <w:rFonts w:ascii="Arial" w:hAnsi="Arial" w:hint="default"/>
      </w:rPr>
    </w:lvl>
    <w:lvl w:ilvl="1" w:tplc="275C5590">
      <w:start w:val="1"/>
      <w:numFmt w:val="bullet"/>
      <w:lvlText w:val="•"/>
      <w:lvlJc w:val="left"/>
      <w:pPr>
        <w:tabs>
          <w:tab w:val="num" w:pos="1440"/>
        </w:tabs>
        <w:ind w:left="1440" w:hanging="360"/>
      </w:pPr>
      <w:rPr>
        <w:rFonts w:ascii="Arial" w:hAnsi="Arial" w:hint="default"/>
      </w:rPr>
    </w:lvl>
    <w:lvl w:ilvl="2" w:tplc="FF1C6902" w:tentative="1">
      <w:start w:val="1"/>
      <w:numFmt w:val="bullet"/>
      <w:lvlText w:val="•"/>
      <w:lvlJc w:val="left"/>
      <w:pPr>
        <w:tabs>
          <w:tab w:val="num" w:pos="2160"/>
        </w:tabs>
        <w:ind w:left="2160" w:hanging="360"/>
      </w:pPr>
      <w:rPr>
        <w:rFonts w:ascii="Arial" w:hAnsi="Arial" w:hint="default"/>
      </w:rPr>
    </w:lvl>
    <w:lvl w:ilvl="3" w:tplc="D15C3468" w:tentative="1">
      <w:start w:val="1"/>
      <w:numFmt w:val="bullet"/>
      <w:lvlText w:val="•"/>
      <w:lvlJc w:val="left"/>
      <w:pPr>
        <w:tabs>
          <w:tab w:val="num" w:pos="2880"/>
        </w:tabs>
        <w:ind w:left="2880" w:hanging="360"/>
      </w:pPr>
      <w:rPr>
        <w:rFonts w:ascii="Arial" w:hAnsi="Arial" w:hint="default"/>
      </w:rPr>
    </w:lvl>
    <w:lvl w:ilvl="4" w:tplc="F1722F34" w:tentative="1">
      <w:start w:val="1"/>
      <w:numFmt w:val="bullet"/>
      <w:lvlText w:val="•"/>
      <w:lvlJc w:val="left"/>
      <w:pPr>
        <w:tabs>
          <w:tab w:val="num" w:pos="3600"/>
        </w:tabs>
        <w:ind w:left="3600" w:hanging="360"/>
      </w:pPr>
      <w:rPr>
        <w:rFonts w:ascii="Arial" w:hAnsi="Arial" w:hint="default"/>
      </w:rPr>
    </w:lvl>
    <w:lvl w:ilvl="5" w:tplc="692640FA" w:tentative="1">
      <w:start w:val="1"/>
      <w:numFmt w:val="bullet"/>
      <w:lvlText w:val="•"/>
      <w:lvlJc w:val="left"/>
      <w:pPr>
        <w:tabs>
          <w:tab w:val="num" w:pos="4320"/>
        </w:tabs>
        <w:ind w:left="4320" w:hanging="360"/>
      </w:pPr>
      <w:rPr>
        <w:rFonts w:ascii="Arial" w:hAnsi="Arial" w:hint="default"/>
      </w:rPr>
    </w:lvl>
    <w:lvl w:ilvl="6" w:tplc="1A60545C" w:tentative="1">
      <w:start w:val="1"/>
      <w:numFmt w:val="bullet"/>
      <w:lvlText w:val="•"/>
      <w:lvlJc w:val="left"/>
      <w:pPr>
        <w:tabs>
          <w:tab w:val="num" w:pos="5040"/>
        </w:tabs>
        <w:ind w:left="5040" w:hanging="360"/>
      </w:pPr>
      <w:rPr>
        <w:rFonts w:ascii="Arial" w:hAnsi="Arial" w:hint="default"/>
      </w:rPr>
    </w:lvl>
    <w:lvl w:ilvl="7" w:tplc="A000CEC8" w:tentative="1">
      <w:start w:val="1"/>
      <w:numFmt w:val="bullet"/>
      <w:lvlText w:val="•"/>
      <w:lvlJc w:val="left"/>
      <w:pPr>
        <w:tabs>
          <w:tab w:val="num" w:pos="5760"/>
        </w:tabs>
        <w:ind w:left="5760" w:hanging="360"/>
      </w:pPr>
      <w:rPr>
        <w:rFonts w:ascii="Arial" w:hAnsi="Arial" w:hint="default"/>
      </w:rPr>
    </w:lvl>
    <w:lvl w:ilvl="8" w:tplc="82F696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6D3A6A"/>
    <w:multiLevelType w:val="multilevel"/>
    <w:tmpl w:val="4F002AC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45EF306D"/>
    <w:multiLevelType w:val="hybridMultilevel"/>
    <w:tmpl w:val="FB7EAD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77A5BB0"/>
    <w:multiLevelType w:val="hybridMultilevel"/>
    <w:tmpl w:val="72B28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642BE1"/>
    <w:multiLevelType w:val="hybridMultilevel"/>
    <w:tmpl w:val="2966A742"/>
    <w:lvl w:ilvl="0" w:tplc="126C1978">
      <w:start w:val="1"/>
      <w:numFmt w:val="bullet"/>
      <w:lvlText w:val="•"/>
      <w:lvlJc w:val="left"/>
      <w:pPr>
        <w:tabs>
          <w:tab w:val="num" w:pos="1080"/>
        </w:tabs>
        <w:ind w:left="1080" w:hanging="360"/>
      </w:pPr>
      <w:rPr>
        <w:rFonts w:ascii="Arial" w:hAnsi="Arial" w:hint="default"/>
      </w:rPr>
    </w:lvl>
    <w:lvl w:ilvl="1" w:tplc="54FE16F8">
      <w:numFmt w:val="bullet"/>
      <w:lvlText w:val="o"/>
      <w:lvlJc w:val="left"/>
      <w:pPr>
        <w:tabs>
          <w:tab w:val="num" w:pos="1800"/>
        </w:tabs>
        <w:ind w:left="1800" w:hanging="360"/>
      </w:pPr>
      <w:rPr>
        <w:rFonts w:ascii="Courier New" w:hAnsi="Courier New" w:hint="default"/>
      </w:rPr>
    </w:lvl>
    <w:lvl w:ilvl="2" w:tplc="A6906B04" w:tentative="1">
      <w:start w:val="1"/>
      <w:numFmt w:val="bullet"/>
      <w:lvlText w:val="•"/>
      <w:lvlJc w:val="left"/>
      <w:pPr>
        <w:tabs>
          <w:tab w:val="num" w:pos="2520"/>
        </w:tabs>
        <w:ind w:left="2520" w:hanging="360"/>
      </w:pPr>
      <w:rPr>
        <w:rFonts w:ascii="Arial" w:hAnsi="Arial" w:hint="default"/>
      </w:rPr>
    </w:lvl>
    <w:lvl w:ilvl="3" w:tplc="0D4CA1F6" w:tentative="1">
      <w:start w:val="1"/>
      <w:numFmt w:val="bullet"/>
      <w:lvlText w:val="•"/>
      <w:lvlJc w:val="left"/>
      <w:pPr>
        <w:tabs>
          <w:tab w:val="num" w:pos="3240"/>
        </w:tabs>
        <w:ind w:left="3240" w:hanging="360"/>
      </w:pPr>
      <w:rPr>
        <w:rFonts w:ascii="Arial" w:hAnsi="Arial" w:hint="default"/>
      </w:rPr>
    </w:lvl>
    <w:lvl w:ilvl="4" w:tplc="CE981DA4" w:tentative="1">
      <w:start w:val="1"/>
      <w:numFmt w:val="bullet"/>
      <w:lvlText w:val="•"/>
      <w:lvlJc w:val="left"/>
      <w:pPr>
        <w:tabs>
          <w:tab w:val="num" w:pos="3960"/>
        </w:tabs>
        <w:ind w:left="3960" w:hanging="360"/>
      </w:pPr>
      <w:rPr>
        <w:rFonts w:ascii="Arial" w:hAnsi="Arial" w:hint="default"/>
      </w:rPr>
    </w:lvl>
    <w:lvl w:ilvl="5" w:tplc="8878E720" w:tentative="1">
      <w:start w:val="1"/>
      <w:numFmt w:val="bullet"/>
      <w:lvlText w:val="•"/>
      <w:lvlJc w:val="left"/>
      <w:pPr>
        <w:tabs>
          <w:tab w:val="num" w:pos="4680"/>
        </w:tabs>
        <w:ind w:left="4680" w:hanging="360"/>
      </w:pPr>
      <w:rPr>
        <w:rFonts w:ascii="Arial" w:hAnsi="Arial" w:hint="default"/>
      </w:rPr>
    </w:lvl>
    <w:lvl w:ilvl="6" w:tplc="3AD8BAF8" w:tentative="1">
      <w:start w:val="1"/>
      <w:numFmt w:val="bullet"/>
      <w:lvlText w:val="•"/>
      <w:lvlJc w:val="left"/>
      <w:pPr>
        <w:tabs>
          <w:tab w:val="num" w:pos="5400"/>
        </w:tabs>
        <w:ind w:left="5400" w:hanging="360"/>
      </w:pPr>
      <w:rPr>
        <w:rFonts w:ascii="Arial" w:hAnsi="Arial" w:hint="default"/>
      </w:rPr>
    </w:lvl>
    <w:lvl w:ilvl="7" w:tplc="560EF058" w:tentative="1">
      <w:start w:val="1"/>
      <w:numFmt w:val="bullet"/>
      <w:lvlText w:val="•"/>
      <w:lvlJc w:val="left"/>
      <w:pPr>
        <w:tabs>
          <w:tab w:val="num" w:pos="6120"/>
        </w:tabs>
        <w:ind w:left="6120" w:hanging="360"/>
      </w:pPr>
      <w:rPr>
        <w:rFonts w:ascii="Arial" w:hAnsi="Arial" w:hint="default"/>
      </w:rPr>
    </w:lvl>
    <w:lvl w:ilvl="8" w:tplc="22DA572C"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582A0D50"/>
    <w:multiLevelType w:val="hybridMultilevel"/>
    <w:tmpl w:val="F2A6758C"/>
    <w:lvl w:ilvl="0" w:tplc="18245C0A">
      <w:start w:val="1"/>
      <w:numFmt w:val="bullet"/>
      <w:lvlText w:val="•"/>
      <w:lvlJc w:val="left"/>
      <w:pPr>
        <w:tabs>
          <w:tab w:val="num" w:pos="720"/>
        </w:tabs>
        <w:ind w:left="720" w:hanging="360"/>
      </w:pPr>
      <w:rPr>
        <w:rFonts w:ascii="Arial" w:hAnsi="Arial" w:hint="default"/>
      </w:rPr>
    </w:lvl>
    <w:lvl w:ilvl="1" w:tplc="515C8A44" w:tentative="1">
      <w:start w:val="1"/>
      <w:numFmt w:val="bullet"/>
      <w:lvlText w:val="•"/>
      <w:lvlJc w:val="left"/>
      <w:pPr>
        <w:tabs>
          <w:tab w:val="num" w:pos="1440"/>
        </w:tabs>
        <w:ind w:left="1440" w:hanging="360"/>
      </w:pPr>
      <w:rPr>
        <w:rFonts w:ascii="Arial" w:hAnsi="Arial" w:hint="default"/>
      </w:rPr>
    </w:lvl>
    <w:lvl w:ilvl="2" w:tplc="FDE295DA" w:tentative="1">
      <w:start w:val="1"/>
      <w:numFmt w:val="bullet"/>
      <w:lvlText w:val="•"/>
      <w:lvlJc w:val="left"/>
      <w:pPr>
        <w:tabs>
          <w:tab w:val="num" w:pos="2160"/>
        </w:tabs>
        <w:ind w:left="2160" w:hanging="360"/>
      </w:pPr>
      <w:rPr>
        <w:rFonts w:ascii="Arial" w:hAnsi="Arial" w:hint="default"/>
      </w:rPr>
    </w:lvl>
    <w:lvl w:ilvl="3" w:tplc="6EB451C6" w:tentative="1">
      <w:start w:val="1"/>
      <w:numFmt w:val="bullet"/>
      <w:lvlText w:val="•"/>
      <w:lvlJc w:val="left"/>
      <w:pPr>
        <w:tabs>
          <w:tab w:val="num" w:pos="2880"/>
        </w:tabs>
        <w:ind w:left="2880" w:hanging="360"/>
      </w:pPr>
      <w:rPr>
        <w:rFonts w:ascii="Arial" w:hAnsi="Arial" w:hint="default"/>
      </w:rPr>
    </w:lvl>
    <w:lvl w:ilvl="4" w:tplc="AB86A0AE" w:tentative="1">
      <w:start w:val="1"/>
      <w:numFmt w:val="bullet"/>
      <w:lvlText w:val="•"/>
      <w:lvlJc w:val="left"/>
      <w:pPr>
        <w:tabs>
          <w:tab w:val="num" w:pos="3600"/>
        </w:tabs>
        <w:ind w:left="3600" w:hanging="360"/>
      </w:pPr>
      <w:rPr>
        <w:rFonts w:ascii="Arial" w:hAnsi="Arial" w:hint="default"/>
      </w:rPr>
    </w:lvl>
    <w:lvl w:ilvl="5" w:tplc="E1B2FCA2" w:tentative="1">
      <w:start w:val="1"/>
      <w:numFmt w:val="bullet"/>
      <w:lvlText w:val="•"/>
      <w:lvlJc w:val="left"/>
      <w:pPr>
        <w:tabs>
          <w:tab w:val="num" w:pos="4320"/>
        </w:tabs>
        <w:ind w:left="4320" w:hanging="360"/>
      </w:pPr>
      <w:rPr>
        <w:rFonts w:ascii="Arial" w:hAnsi="Arial" w:hint="default"/>
      </w:rPr>
    </w:lvl>
    <w:lvl w:ilvl="6" w:tplc="8870D71C" w:tentative="1">
      <w:start w:val="1"/>
      <w:numFmt w:val="bullet"/>
      <w:lvlText w:val="•"/>
      <w:lvlJc w:val="left"/>
      <w:pPr>
        <w:tabs>
          <w:tab w:val="num" w:pos="5040"/>
        </w:tabs>
        <w:ind w:left="5040" w:hanging="360"/>
      </w:pPr>
      <w:rPr>
        <w:rFonts w:ascii="Arial" w:hAnsi="Arial" w:hint="default"/>
      </w:rPr>
    </w:lvl>
    <w:lvl w:ilvl="7" w:tplc="0CF6B30A" w:tentative="1">
      <w:start w:val="1"/>
      <w:numFmt w:val="bullet"/>
      <w:lvlText w:val="•"/>
      <w:lvlJc w:val="left"/>
      <w:pPr>
        <w:tabs>
          <w:tab w:val="num" w:pos="5760"/>
        </w:tabs>
        <w:ind w:left="5760" w:hanging="360"/>
      </w:pPr>
      <w:rPr>
        <w:rFonts w:ascii="Arial" w:hAnsi="Arial" w:hint="default"/>
      </w:rPr>
    </w:lvl>
    <w:lvl w:ilvl="8" w:tplc="F85462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AE5923"/>
    <w:multiLevelType w:val="hybridMultilevel"/>
    <w:tmpl w:val="AF40DF3A"/>
    <w:lvl w:ilvl="0" w:tplc="34CAADC2">
      <w:start w:val="1"/>
      <w:numFmt w:val="bullet"/>
      <w:lvlText w:val="•"/>
      <w:lvlJc w:val="left"/>
      <w:pPr>
        <w:tabs>
          <w:tab w:val="num" w:pos="360"/>
        </w:tabs>
        <w:ind w:left="360" w:hanging="360"/>
      </w:pPr>
      <w:rPr>
        <w:rFonts w:ascii="Arial" w:hAnsi="Arial" w:hint="default"/>
      </w:rPr>
    </w:lvl>
    <w:lvl w:ilvl="1" w:tplc="5ACA59E2" w:tentative="1">
      <w:start w:val="1"/>
      <w:numFmt w:val="bullet"/>
      <w:lvlText w:val="•"/>
      <w:lvlJc w:val="left"/>
      <w:pPr>
        <w:tabs>
          <w:tab w:val="num" w:pos="1080"/>
        </w:tabs>
        <w:ind w:left="1080" w:hanging="360"/>
      </w:pPr>
      <w:rPr>
        <w:rFonts w:ascii="Arial" w:hAnsi="Arial" w:hint="default"/>
      </w:rPr>
    </w:lvl>
    <w:lvl w:ilvl="2" w:tplc="A4AE38DE" w:tentative="1">
      <w:start w:val="1"/>
      <w:numFmt w:val="bullet"/>
      <w:lvlText w:val="•"/>
      <w:lvlJc w:val="left"/>
      <w:pPr>
        <w:tabs>
          <w:tab w:val="num" w:pos="1800"/>
        </w:tabs>
        <w:ind w:left="1800" w:hanging="360"/>
      </w:pPr>
      <w:rPr>
        <w:rFonts w:ascii="Arial" w:hAnsi="Arial" w:hint="default"/>
      </w:rPr>
    </w:lvl>
    <w:lvl w:ilvl="3" w:tplc="19C86FEE" w:tentative="1">
      <w:start w:val="1"/>
      <w:numFmt w:val="bullet"/>
      <w:lvlText w:val="•"/>
      <w:lvlJc w:val="left"/>
      <w:pPr>
        <w:tabs>
          <w:tab w:val="num" w:pos="2520"/>
        </w:tabs>
        <w:ind w:left="2520" w:hanging="360"/>
      </w:pPr>
      <w:rPr>
        <w:rFonts w:ascii="Arial" w:hAnsi="Arial" w:hint="default"/>
      </w:rPr>
    </w:lvl>
    <w:lvl w:ilvl="4" w:tplc="7FDE06C2" w:tentative="1">
      <w:start w:val="1"/>
      <w:numFmt w:val="bullet"/>
      <w:lvlText w:val="•"/>
      <w:lvlJc w:val="left"/>
      <w:pPr>
        <w:tabs>
          <w:tab w:val="num" w:pos="3240"/>
        </w:tabs>
        <w:ind w:left="3240" w:hanging="360"/>
      </w:pPr>
      <w:rPr>
        <w:rFonts w:ascii="Arial" w:hAnsi="Arial" w:hint="default"/>
      </w:rPr>
    </w:lvl>
    <w:lvl w:ilvl="5" w:tplc="8FD8CFC8" w:tentative="1">
      <w:start w:val="1"/>
      <w:numFmt w:val="bullet"/>
      <w:lvlText w:val="•"/>
      <w:lvlJc w:val="left"/>
      <w:pPr>
        <w:tabs>
          <w:tab w:val="num" w:pos="3960"/>
        </w:tabs>
        <w:ind w:left="3960" w:hanging="360"/>
      </w:pPr>
      <w:rPr>
        <w:rFonts w:ascii="Arial" w:hAnsi="Arial" w:hint="default"/>
      </w:rPr>
    </w:lvl>
    <w:lvl w:ilvl="6" w:tplc="E796E696" w:tentative="1">
      <w:start w:val="1"/>
      <w:numFmt w:val="bullet"/>
      <w:lvlText w:val="•"/>
      <w:lvlJc w:val="left"/>
      <w:pPr>
        <w:tabs>
          <w:tab w:val="num" w:pos="4680"/>
        </w:tabs>
        <w:ind w:left="4680" w:hanging="360"/>
      </w:pPr>
      <w:rPr>
        <w:rFonts w:ascii="Arial" w:hAnsi="Arial" w:hint="default"/>
      </w:rPr>
    </w:lvl>
    <w:lvl w:ilvl="7" w:tplc="8B64DC1E" w:tentative="1">
      <w:start w:val="1"/>
      <w:numFmt w:val="bullet"/>
      <w:lvlText w:val="•"/>
      <w:lvlJc w:val="left"/>
      <w:pPr>
        <w:tabs>
          <w:tab w:val="num" w:pos="5400"/>
        </w:tabs>
        <w:ind w:left="5400" w:hanging="360"/>
      </w:pPr>
      <w:rPr>
        <w:rFonts w:ascii="Arial" w:hAnsi="Arial" w:hint="default"/>
      </w:rPr>
    </w:lvl>
    <w:lvl w:ilvl="8" w:tplc="F6D4C03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1041545"/>
    <w:multiLevelType w:val="hybridMultilevel"/>
    <w:tmpl w:val="61C2CD5A"/>
    <w:lvl w:ilvl="0" w:tplc="A99AE3E2">
      <w:start w:val="1"/>
      <w:numFmt w:val="bullet"/>
      <w:lvlText w:val="•"/>
      <w:lvlJc w:val="left"/>
      <w:pPr>
        <w:tabs>
          <w:tab w:val="num" w:pos="720"/>
        </w:tabs>
        <w:ind w:left="720" w:hanging="360"/>
      </w:pPr>
      <w:rPr>
        <w:rFonts w:ascii="Arial" w:hAnsi="Arial" w:hint="default"/>
      </w:rPr>
    </w:lvl>
    <w:lvl w:ilvl="1" w:tplc="FC18D11C" w:tentative="1">
      <w:start w:val="1"/>
      <w:numFmt w:val="bullet"/>
      <w:lvlText w:val="•"/>
      <w:lvlJc w:val="left"/>
      <w:pPr>
        <w:tabs>
          <w:tab w:val="num" w:pos="1440"/>
        </w:tabs>
        <w:ind w:left="1440" w:hanging="360"/>
      </w:pPr>
      <w:rPr>
        <w:rFonts w:ascii="Arial" w:hAnsi="Arial" w:hint="default"/>
      </w:rPr>
    </w:lvl>
    <w:lvl w:ilvl="2" w:tplc="942A8AA6" w:tentative="1">
      <w:start w:val="1"/>
      <w:numFmt w:val="bullet"/>
      <w:lvlText w:val="•"/>
      <w:lvlJc w:val="left"/>
      <w:pPr>
        <w:tabs>
          <w:tab w:val="num" w:pos="2160"/>
        </w:tabs>
        <w:ind w:left="2160" w:hanging="360"/>
      </w:pPr>
      <w:rPr>
        <w:rFonts w:ascii="Arial" w:hAnsi="Arial" w:hint="default"/>
      </w:rPr>
    </w:lvl>
    <w:lvl w:ilvl="3" w:tplc="9B8232A8" w:tentative="1">
      <w:start w:val="1"/>
      <w:numFmt w:val="bullet"/>
      <w:lvlText w:val="•"/>
      <w:lvlJc w:val="left"/>
      <w:pPr>
        <w:tabs>
          <w:tab w:val="num" w:pos="2880"/>
        </w:tabs>
        <w:ind w:left="2880" w:hanging="360"/>
      </w:pPr>
      <w:rPr>
        <w:rFonts w:ascii="Arial" w:hAnsi="Arial" w:hint="default"/>
      </w:rPr>
    </w:lvl>
    <w:lvl w:ilvl="4" w:tplc="B1F69DA6" w:tentative="1">
      <w:start w:val="1"/>
      <w:numFmt w:val="bullet"/>
      <w:lvlText w:val="•"/>
      <w:lvlJc w:val="left"/>
      <w:pPr>
        <w:tabs>
          <w:tab w:val="num" w:pos="3600"/>
        </w:tabs>
        <w:ind w:left="3600" w:hanging="360"/>
      </w:pPr>
      <w:rPr>
        <w:rFonts w:ascii="Arial" w:hAnsi="Arial" w:hint="default"/>
      </w:rPr>
    </w:lvl>
    <w:lvl w:ilvl="5" w:tplc="640A2A4E" w:tentative="1">
      <w:start w:val="1"/>
      <w:numFmt w:val="bullet"/>
      <w:lvlText w:val="•"/>
      <w:lvlJc w:val="left"/>
      <w:pPr>
        <w:tabs>
          <w:tab w:val="num" w:pos="4320"/>
        </w:tabs>
        <w:ind w:left="4320" w:hanging="360"/>
      </w:pPr>
      <w:rPr>
        <w:rFonts w:ascii="Arial" w:hAnsi="Arial" w:hint="default"/>
      </w:rPr>
    </w:lvl>
    <w:lvl w:ilvl="6" w:tplc="62D62E88" w:tentative="1">
      <w:start w:val="1"/>
      <w:numFmt w:val="bullet"/>
      <w:lvlText w:val="•"/>
      <w:lvlJc w:val="left"/>
      <w:pPr>
        <w:tabs>
          <w:tab w:val="num" w:pos="5040"/>
        </w:tabs>
        <w:ind w:left="5040" w:hanging="360"/>
      </w:pPr>
      <w:rPr>
        <w:rFonts w:ascii="Arial" w:hAnsi="Arial" w:hint="default"/>
      </w:rPr>
    </w:lvl>
    <w:lvl w:ilvl="7" w:tplc="79705D9E" w:tentative="1">
      <w:start w:val="1"/>
      <w:numFmt w:val="bullet"/>
      <w:lvlText w:val="•"/>
      <w:lvlJc w:val="left"/>
      <w:pPr>
        <w:tabs>
          <w:tab w:val="num" w:pos="5760"/>
        </w:tabs>
        <w:ind w:left="5760" w:hanging="360"/>
      </w:pPr>
      <w:rPr>
        <w:rFonts w:ascii="Arial" w:hAnsi="Arial" w:hint="default"/>
      </w:rPr>
    </w:lvl>
    <w:lvl w:ilvl="8" w:tplc="095E96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AC0E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934506"/>
    <w:multiLevelType w:val="hybridMultilevel"/>
    <w:tmpl w:val="90CE909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EF57DF4"/>
    <w:multiLevelType w:val="hybridMultilevel"/>
    <w:tmpl w:val="B274983C"/>
    <w:lvl w:ilvl="0" w:tplc="0C090005">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1642"/>
        </w:tabs>
        <w:ind w:left="164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405368983">
    <w:abstractNumId w:val="9"/>
  </w:num>
  <w:num w:numId="2" w16cid:durableId="2049141091">
    <w:abstractNumId w:val="9"/>
  </w:num>
  <w:num w:numId="3" w16cid:durableId="1395275392">
    <w:abstractNumId w:val="9"/>
  </w:num>
  <w:num w:numId="4" w16cid:durableId="1057123815">
    <w:abstractNumId w:val="20"/>
  </w:num>
  <w:num w:numId="5" w16cid:durableId="1686863680">
    <w:abstractNumId w:val="6"/>
  </w:num>
  <w:num w:numId="6" w16cid:durableId="2133476489">
    <w:abstractNumId w:val="8"/>
  </w:num>
  <w:num w:numId="7" w16cid:durableId="570431621">
    <w:abstractNumId w:val="19"/>
  </w:num>
  <w:num w:numId="8" w16cid:durableId="772019789">
    <w:abstractNumId w:val="11"/>
  </w:num>
  <w:num w:numId="9" w16cid:durableId="398481240">
    <w:abstractNumId w:val="20"/>
  </w:num>
  <w:num w:numId="10" w16cid:durableId="1730574326">
    <w:abstractNumId w:val="12"/>
  </w:num>
  <w:num w:numId="11" w16cid:durableId="2054840482">
    <w:abstractNumId w:val="1"/>
  </w:num>
  <w:num w:numId="12" w16cid:durableId="1673750739">
    <w:abstractNumId w:val="5"/>
  </w:num>
  <w:num w:numId="13" w16cid:durableId="1896042213">
    <w:abstractNumId w:val="18"/>
  </w:num>
  <w:num w:numId="14" w16cid:durableId="1053774265">
    <w:abstractNumId w:val="20"/>
  </w:num>
  <w:num w:numId="15" w16cid:durableId="532307156">
    <w:abstractNumId w:val="20"/>
  </w:num>
  <w:num w:numId="16" w16cid:durableId="198317611">
    <w:abstractNumId w:val="7"/>
  </w:num>
  <w:num w:numId="17" w16cid:durableId="321931435">
    <w:abstractNumId w:val="0"/>
  </w:num>
  <w:num w:numId="18" w16cid:durableId="1912160014">
    <w:abstractNumId w:val="13"/>
  </w:num>
  <w:num w:numId="19" w16cid:durableId="949243071">
    <w:abstractNumId w:val="14"/>
  </w:num>
  <w:num w:numId="20" w16cid:durableId="538393201">
    <w:abstractNumId w:val="2"/>
  </w:num>
  <w:num w:numId="21" w16cid:durableId="1539316618">
    <w:abstractNumId w:val="17"/>
  </w:num>
  <w:num w:numId="22" w16cid:durableId="364253576">
    <w:abstractNumId w:val="10"/>
  </w:num>
  <w:num w:numId="23" w16cid:durableId="1237933898">
    <w:abstractNumId w:val="3"/>
  </w:num>
  <w:num w:numId="24" w16cid:durableId="183058985">
    <w:abstractNumId w:val="15"/>
  </w:num>
  <w:num w:numId="25" w16cid:durableId="328871977">
    <w:abstractNumId w:val="16"/>
  </w:num>
  <w:num w:numId="26" w16cid:durableId="1255168138">
    <w:abstractNumId w:val="4"/>
  </w:num>
  <w:num w:numId="27" w16cid:durableId="335039654">
    <w:abstractNumId w:val="6"/>
  </w:num>
  <w:num w:numId="28" w16cid:durableId="376319577">
    <w:abstractNumId w:val="6"/>
  </w:num>
  <w:num w:numId="29" w16cid:durableId="1727490285">
    <w:abstractNumId w:val="6"/>
  </w:num>
  <w:num w:numId="30" w16cid:durableId="1415975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CE"/>
    <w:rsid w:val="00010621"/>
    <w:rsid w:val="00012F6F"/>
    <w:rsid w:val="00014213"/>
    <w:rsid w:val="00014B55"/>
    <w:rsid w:val="00020E3E"/>
    <w:rsid w:val="00023BF3"/>
    <w:rsid w:val="00023C25"/>
    <w:rsid w:val="00026811"/>
    <w:rsid w:val="000308D3"/>
    <w:rsid w:val="000318C9"/>
    <w:rsid w:val="000331A5"/>
    <w:rsid w:val="0004185E"/>
    <w:rsid w:val="00044AA6"/>
    <w:rsid w:val="00056988"/>
    <w:rsid w:val="00056EC9"/>
    <w:rsid w:val="00057EE6"/>
    <w:rsid w:val="000726F0"/>
    <w:rsid w:val="00072B26"/>
    <w:rsid w:val="00073EE0"/>
    <w:rsid w:val="00075E6C"/>
    <w:rsid w:val="00076EDB"/>
    <w:rsid w:val="00081669"/>
    <w:rsid w:val="00081C12"/>
    <w:rsid w:val="00086370"/>
    <w:rsid w:val="00087283"/>
    <w:rsid w:val="000B1F6A"/>
    <w:rsid w:val="000B2197"/>
    <w:rsid w:val="000B2375"/>
    <w:rsid w:val="000B29AD"/>
    <w:rsid w:val="000C6372"/>
    <w:rsid w:val="000C679A"/>
    <w:rsid w:val="000D1A78"/>
    <w:rsid w:val="000D2C19"/>
    <w:rsid w:val="000D4985"/>
    <w:rsid w:val="000E392D"/>
    <w:rsid w:val="000E3D05"/>
    <w:rsid w:val="000E59A4"/>
    <w:rsid w:val="000F4288"/>
    <w:rsid w:val="000F4FA2"/>
    <w:rsid w:val="000F7165"/>
    <w:rsid w:val="00100974"/>
    <w:rsid w:val="00102379"/>
    <w:rsid w:val="00103722"/>
    <w:rsid w:val="001065D6"/>
    <w:rsid w:val="001068D5"/>
    <w:rsid w:val="00106E08"/>
    <w:rsid w:val="00110F11"/>
    <w:rsid w:val="00113DC0"/>
    <w:rsid w:val="00121252"/>
    <w:rsid w:val="00122684"/>
    <w:rsid w:val="00123AAD"/>
    <w:rsid w:val="00124609"/>
    <w:rsid w:val="001254CE"/>
    <w:rsid w:val="001408B6"/>
    <w:rsid w:val="00140AC2"/>
    <w:rsid w:val="001422CC"/>
    <w:rsid w:val="00143891"/>
    <w:rsid w:val="00143DCA"/>
    <w:rsid w:val="00151C1A"/>
    <w:rsid w:val="00156671"/>
    <w:rsid w:val="00157C52"/>
    <w:rsid w:val="001617B6"/>
    <w:rsid w:val="00165E66"/>
    <w:rsid w:val="001815E6"/>
    <w:rsid w:val="00186C8D"/>
    <w:rsid w:val="00187D4B"/>
    <w:rsid w:val="00192669"/>
    <w:rsid w:val="00195103"/>
    <w:rsid w:val="00196143"/>
    <w:rsid w:val="001A065B"/>
    <w:rsid w:val="001A24FC"/>
    <w:rsid w:val="001B4AD7"/>
    <w:rsid w:val="001C0525"/>
    <w:rsid w:val="001C4213"/>
    <w:rsid w:val="001C7BAE"/>
    <w:rsid w:val="001D1A0C"/>
    <w:rsid w:val="001D4036"/>
    <w:rsid w:val="001D5CAE"/>
    <w:rsid w:val="001E1AAA"/>
    <w:rsid w:val="001E31FA"/>
    <w:rsid w:val="001E48F9"/>
    <w:rsid w:val="001E64F6"/>
    <w:rsid w:val="001E65B7"/>
    <w:rsid w:val="001E7AEB"/>
    <w:rsid w:val="001F0C6B"/>
    <w:rsid w:val="001F5E8F"/>
    <w:rsid w:val="001F65A5"/>
    <w:rsid w:val="00204A0B"/>
    <w:rsid w:val="00204B82"/>
    <w:rsid w:val="00204F54"/>
    <w:rsid w:val="00212720"/>
    <w:rsid w:val="002226C9"/>
    <w:rsid w:val="00222BEB"/>
    <w:rsid w:val="00225E60"/>
    <w:rsid w:val="002267E5"/>
    <w:rsid w:val="0023202C"/>
    <w:rsid w:val="00242543"/>
    <w:rsid w:val="00245043"/>
    <w:rsid w:val="00246C82"/>
    <w:rsid w:val="00255958"/>
    <w:rsid w:val="00255F48"/>
    <w:rsid w:val="00261EA8"/>
    <w:rsid w:val="002635A9"/>
    <w:rsid w:val="00265962"/>
    <w:rsid w:val="002701BA"/>
    <w:rsid w:val="002733C9"/>
    <w:rsid w:val="00284FA2"/>
    <w:rsid w:val="00292A58"/>
    <w:rsid w:val="00292D36"/>
    <w:rsid w:val="00295B43"/>
    <w:rsid w:val="00296FC3"/>
    <w:rsid w:val="00297281"/>
    <w:rsid w:val="002A3840"/>
    <w:rsid w:val="002A49E3"/>
    <w:rsid w:val="002B03F1"/>
    <w:rsid w:val="002B5E2B"/>
    <w:rsid w:val="002B6DAA"/>
    <w:rsid w:val="002D410E"/>
    <w:rsid w:val="002D523F"/>
    <w:rsid w:val="002D54EB"/>
    <w:rsid w:val="002D711A"/>
    <w:rsid w:val="002D7336"/>
    <w:rsid w:val="002E3396"/>
    <w:rsid w:val="002E35F5"/>
    <w:rsid w:val="002F2953"/>
    <w:rsid w:val="003012CE"/>
    <w:rsid w:val="00302D28"/>
    <w:rsid w:val="0031149C"/>
    <w:rsid w:val="0033000B"/>
    <w:rsid w:val="00330581"/>
    <w:rsid w:val="00335CCB"/>
    <w:rsid w:val="00341D97"/>
    <w:rsid w:val="00342D86"/>
    <w:rsid w:val="00350F00"/>
    <w:rsid w:val="00354377"/>
    <w:rsid w:val="00354A56"/>
    <w:rsid w:val="0035649A"/>
    <w:rsid w:val="00357A60"/>
    <w:rsid w:val="0036294A"/>
    <w:rsid w:val="00366A51"/>
    <w:rsid w:val="0036778F"/>
    <w:rsid w:val="003707E3"/>
    <w:rsid w:val="003741DF"/>
    <w:rsid w:val="00376CA7"/>
    <w:rsid w:val="00385352"/>
    <w:rsid w:val="0038771C"/>
    <w:rsid w:val="00392484"/>
    <w:rsid w:val="00393B56"/>
    <w:rsid w:val="00393DDD"/>
    <w:rsid w:val="003956CB"/>
    <w:rsid w:val="00396EC9"/>
    <w:rsid w:val="003A416A"/>
    <w:rsid w:val="003A430B"/>
    <w:rsid w:val="003A4A54"/>
    <w:rsid w:val="003A541A"/>
    <w:rsid w:val="003A6923"/>
    <w:rsid w:val="003A7D9B"/>
    <w:rsid w:val="003B1742"/>
    <w:rsid w:val="003C0A4F"/>
    <w:rsid w:val="003C2C67"/>
    <w:rsid w:val="003C2D4C"/>
    <w:rsid w:val="003C3B3A"/>
    <w:rsid w:val="003C5BA4"/>
    <w:rsid w:val="003D0E5C"/>
    <w:rsid w:val="003D14D1"/>
    <w:rsid w:val="003D50BC"/>
    <w:rsid w:val="003E36ED"/>
    <w:rsid w:val="003E3E26"/>
    <w:rsid w:val="003E494D"/>
    <w:rsid w:val="003F1295"/>
    <w:rsid w:val="003F46E4"/>
    <w:rsid w:val="003F50F0"/>
    <w:rsid w:val="003F5102"/>
    <w:rsid w:val="003F76FC"/>
    <w:rsid w:val="004002EB"/>
    <w:rsid w:val="00400DDC"/>
    <w:rsid w:val="0040247E"/>
    <w:rsid w:val="004027B5"/>
    <w:rsid w:val="00407A79"/>
    <w:rsid w:val="0041438F"/>
    <w:rsid w:val="00416E48"/>
    <w:rsid w:val="00422DDC"/>
    <w:rsid w:val="004231B5"/>
    <w:rsid w:val="004236C8"/>
    <w:rsid w:val="00425558"/>
    <w:rsid w:val="00427681"/>
    <w:rsid w:val="00431924"/>
    <w:rsid w:val="00433DB7"/>
    <w:rsid w:val="00441038"/>
    <w:rsid w:val="00453750"/>
    <w:rsid w:val="00456941"/>
    <w:rsid w:val="0045715D"/>
    <w:rsid w:val="0046309D"/>
    <w:rsid w:val="00467E2E"/>
    <w:rsid w:val="004702EA"/>
    <w:rsid w:val="00470962"/>
    <w:rsid w:val="0047121F"/>
    <w:rsid w:val="00474D06"/>
    <w:rsid w:val="0048013A"/>
    <w:rsid w:val="0048259C"/>
    <w:rsid w:val="00482709"/>
    <w:rsid w:val="00482D02"/>
    <w:rsid w:val="0048610A"/>
    <w:rsid w:val="00490369"/>
    <w:rsid w:val="004A0E8D"/>
    <w:rsid w:val="004A2ADB"/>
    <w:rsid w:val="004A58FE"/>
    <w:rsid w:val="004A6330"/>
    <w:rsid w:val="004A7519"/>
    <w:rsid w:val="004B1A35"/>
    <w:rsid w:val="004B575E"/>
    <w:rsid w:val="004B6360"/>
    <w:rsid w:val="004C0EC0"/>
    <w:rsid w:val="004C289E"/>
    <w:rsid w:val="004D01AC"/>
    <w:rsid w:val="004D0687"/>
    <w:rsid w:val="004D3518"/>
    <w:rsid w:val="004D38DB"/>
    <w:rsid w:val="004D5DD9"/>
    <w:rsid w:val="004D62D6"/>
    <w:rsid w:val="004E7F29"/>
    <w:rsid w:val="004F3F4E"/>
    <w:rsid w:val="004F54D2"/>
    <w:rsid w:val="004F565C"/>
    <w:rsid w:val="004F7954"/>
    <w:rsid w:val="00501977"/>
    <w:rsid w:val="0050757A"/>
    <w:rsid w:val="00507670"/>
    <w:rsid w:val="00507C25"/>
    <w:rsid w:val="00510167"/>
    <w:rsid w:val="0051526F"/>
    <w:rsid w:val="00524D2F"/>
    <w:rsid w:val="005306A2"/>
    <w:rsid w:val="0053416C"/>
    <w:rsid w:val="00540654"/>
    <w:rsid w:val="00541C2F"/>
    <w:rsid w:val="0054503A"/>
    <w:rsid w:val="005474E3"/>
    <w:rsid w:val="005478BD"/>
    <w:rsid w:val="0055500A"/>
    <w:rsid w:val="00560250"/>
    <w:rsid w:val="00563527"/>
    <w:rsid w:val="0056598D"/>
    <w:rsid w:val="005660A4"/>
    <w:rsid w:val="00571149"/>
    <w:rsid w:val="00571177"/>
    <w:rsid w:val="00573618"/>
    <w:rsid w:val="00573F9C"/>
    <w:rsid w:val="00575AD9"/>
    <w:rsid w:val="00576FEC"/>
    <w:rsid w:val="0058124E"/>
    <w:rsid w:val="005817DA"/>
    <w:rsid w:val="00584239"/>
    <w:rsid w:val="005875A3"/>
    <w:rsid w:val="00590D69"/>
    <w:rsid w:val="00595261"/>
    <w:rsid w:val="005962D7"/>
    <w:rsid w:val="005A1D28"/>
    <w:rsid w:val="005A3416"/>
    <w:rsid w:val="005A5828"/>
    <w:rsid w:val="005A5AFB"/>
    <w:rsid w:val="005A754A"/>
    <w:rsid w:val="005B27FE"/>
    <w:rsid w:val="005B76DF"/>
    <w:rsid w:val="005B79CB"/>
    <w:rsid w:val="005C2E10"/>
    <w:rsid w:val="005C3864"/>
    <w:rsid w:val="005D54D3"/>
    <w:rsid w:val="005D5950"/>
    <w:rsid w:val="005E09E7"/>
    <w:rsid w:val="005E34B5"/>
    <w:rsid w:val="005E4C16"/>
    <w:rsid w:val="005F03ED"/>
    <w:rsid w:val="005F61DF"/>
    <w:rsid w:val="006010E3"/>
    <w:rsid w:val="0060163A"/>
    <w:rsid w:val="00601836"/>
    <w:rsid w:val="006020E3"/>
    <w:rsid w:val="006023F9"/>
    <w:rsid w:val="00602AF7"/>
    <w:rsid w:val="006050F2"/>
    <w:rsid w:val="00606F43"/>
    <w:rsid w:val="006077A3"/>
    <w:rsid w:val="00610559"/>
    <w:rsid w:val="00614076"/>
    <w:rsid w:val="006268E7"/>
    <w:rsid w:val="00630270"/>
    <w:rsid w:val="00632F2E"/>
    <w:rsid w:val="006332F6"/>
    <w:rsid w:val="00637EAD"/>
    <w:rsid w:val="00640E33"/>
    <w:rsid w:val="006413F2"/>
    <w:rsid w:val="00650037"/>
    <w:rsid w:val="006534B2"/>
    <w:rsid w:val="0065352B"/>
    <w:rsid w:val="0065615D"/>
    <w:rsid w:val="00657011"/>
    <w:rsid w:val="00660635"/>
    <w:rsid w:val="00664078"/>
    <w:rsid w:val="006650B5"/>
    <w:rsid w:val="006651B1"/>
    <w:rsid w:val="00665778"/>
    <w:rsid w:val="00670195"/>
    <w:rsid w:val="00676E5F"/>
    <w:rsid w:val="00683F78"/>
    <w:rsid w:val="006A24DD"/>
    <w:rsid w:val="006A3309"/>
    <w:rsid w:val="006A5B34"/>
    <w:rsid w:val="006B2EC9"/>
    <w:rsid w:val="006B7626"/>
    <w:rsid w:val="006C1756"/>
    <w:rsid w:val="006C1B98"/>
    <w:rsid w:val="006C77A9"/>
    <w:rsid w:val="006D3C25"/>
    <w:rsid w:val="006D4720"/>
    <w:rsid w:val="006E6CDF"/>
    <w:rsid w:val="006E7690"/>
    <w:rsid w:val="006F0436"/>
    <w:rsid w:val="006F37F2"/>
    <w:rsid w:val="006F6693"/>
    <w:rsid w:val="00700D19"/>
    <w:rsid w:val="007021E0"/>
    <w:rsid w:val="0070264F"/>
    <w:rsid w:val="00703816"/>
    <w:rsid w:val="0070408D"/>
    <w:rsid w:val="007053A8"/>
    <w:rsid w:val="00707FE8"/>
    <w:rsid w:val="00714AAE"/>
    <w:rsid w:val="00720FE8"/>
    <w:rsid w:val="0072464A"/>
    <w:rsid w:val="00724962"/>
    <w:rsid w:val="00724A0F"/>
    <w:rsid w:val="00726D2F"/>
    <w:rsid w:val="00727F9F"/>
    <w:rsid w:val="00733539"/>
    <w:rsid w:val="00736732"/>
    <w:rsid w:val="00736982"/>
    <w:rsid w:val="00746426"/>
    <w:rsid w:val="00750BF9"/>
    <w:rsid w:val="00750CBE"/>
    <w:rsid w:val="00750E4C"/>
    <w:rsid w:val="007534D2"/>
    <w:rsid w:val="0076172C"/>
    <w:rsid w:val="00761A7E"/>
    <w:rsid w:val="007650D2"/>
    <w:rsid w:val="0076586C"/>
    <w:rsid w:val="00766B5A"/>
    <w:rsid w:val="007770A5"/>
    <w:rsid w:val="007834F2"/>
    <w:rsid w:val="00783532"/>
    <w:rsid w:val="00790A7D"/>
    <w:rsid w:val="00791020"/>
    <w:rsid w:val="00797720"/>
    <w:rsid w:val="007A04D2"/>
    <w:rsid w:val="007A32F8"/>
    <w:rsid w:val="007A3AFA"/>
    <w:rsid w:val="007A5F82"/>
    <w:rsid w:val="007B541C"/>
    <w:rsid w:val="007D18EA"/>
    <w:rsid w:val="007D5F9E"/>
    <w:rsid w:val="007E4D49"/>
    <w:rsid w:val="007F1A4C"/>
    <w:rsid w:val="007F27C2"/>
    <w:rsid w:val="007F36D3"/>
    <w:rsid w:val="007F623F"/>
    <w:rsid w:val="007F723F"/>
    <w:rsid w:val="007F7A76"/>
    <w:rsid w:val="008022C3"/>
    <w:rsid w:val="008041E6"/>
    <w:rsid w:val="008065D2"/>
    <w:rsid w:val="00811FBF"/>
    <w:rsid w:val="00813E74"/>
    <w:rsid w:val="00815337"/>
    <w:rsid w:val="00817EEA"/>
    <w:rsid w:val="0082194C"/>
    <w:rsid w:val="008222FF"/>
    <w:rsid w:val="00822407"/>
    <w:rsid w:val="008241FF"/>
    <w:rsid w:val="008252E4"/>
    <w:rsid w:val="00826BF1"/>
    <w:rsid w:val="008411E9"/>
    <w:rsid w:val="00841485"/>
    <w:rsid w:val="00841617"/>
    <w:rsid w:val="0084200F"/>
    <w:rsid w:val="00843B2C"/>
    <w:rsid w:val="0085600D"/>
    <w:rsid w:val="008668A8"/>
    <w:rsid w:val="00867BC2"/>
    <w:rsid w:val="008730DA"/>
    <w:rsid w:val="0087310A"/>
    <w:rsid w:val="00873BA9"/>
    <w:rsid w:val="008761AF"/>
    <w:rsid w:val="00880AC4"/>
    <w:rsid w:val="00897447"/>
    <w:rsid w:val="008A071F"/>
    <w:rsid w:val="008A40D4"/>
    <w:rsid w:val="008A4900"/>
    <w:rsid w:val="008A55FE"/>
    <w:rsid w:val="008A7CCA"/>
    <w:rsid w:val="008B146D"/>
    <w:rsid w:val="008B42AD"/>
    <w:rsid w:val="008B5666"/>
    <w:rsid w:val="008C36CB"/>
    <w:rsid w:val="008C7DC0"/>
    <w:rsid w:val="008D0281"/>
    <w:rsid w:val="008E16C9"/>
    <w:rsid w:val="008E2348"/>
    <w:rsid w:val="008E47BF"/>
    <w:rsid w:val="008E585A"/>
    <w:rsid w:val="008F0369"/>
    <w:rsid w:val="008F186F"/>
    <w:rsid w:val="008F6D45"/>
    <w:rsid w:val="008F7260"/>
    <w:rsid w:val="009029C2"/>
    <w:rsid w:val="00907244"/>
    <w:rsid w:val="00911461"/>
    <w:rsid w:val="0091326B"/>
    <w:rsid w:val="00914A68"/>
    <w:rsid w:val="00917571"/>
    <w:rsid w:val="00922944"/>
    <w:rsid w:val="0092476B"/>
    <w:rsid w:val="00930292"/>
    <w:rsid w:val="00932F68"/>
    <w:rsid w:val="0093746F"/>
    <w:rsid w:val="00937A10"/>
    <w:rsid w:val="00944E18"/>
    <w:rsid w:val="00952610"/>
    <w:rsid w:val="00953D59"/>
    <w:rsid w:val="009572B6"/>
    <w:rsid w:val="00960051"/>
    <w:rsid w:val="00966115"/>
    <w:rsid w:val="009710B1"/>
    <w:rsid w:val="009834C0"/>
    <w:rsid w:val="00986AAC"/>
    <w:rsid w:val="0098784B"/>
    <w:rsid w:val="00991FD1"/>
    <w:rsid w:val="0099389C"/>
    <w:rsid w:val="00995526"/>
    <w:rsid w:val="009A1DA2"/>
    <w:rsid w:val="009A3704"/>
    <w:rsid w:val="009A4037"/>
    <w:rsid w:val="009A4739"/>
    <w:rsid w:val="009A4B9A"/>
    <w:rsid w:val="009A674F"/>
    <w:rsid w:val="009A6D22"/>
    <w:rsid w:val="009A72B1"/>
    <w:rsid w:val="009B1278"/>
    <w:rsid w:val="009B199C"/>
    <w:rsid w:val="009B579F"/>
    <w:rsid w:val="009B61F1"/>
    <w:rsid w:val="009B62E0"/>
    <w:rsid w:val="009C3D88"/>
    <w:rsid w:val="009C5B8C"/>
    <w:rsid w:val="009D169B"/>
    <w:rsid w:val="009D49A8"/>
    <w:rsid w:val="009D6F6D"/>
    <w:rsid w:val="009D7B50"/>
    <w:rsid w:val="009E3858"/>
    <w:rsid w:val="009E41C7"/>
    <w:rsid w:val="009E467D"/>
    <w:rsid w:val="009E6C49"/>
    <w:rsid w:val="009E70DD"/>
    <w:rsid w:val="009F2ED9"/>
    <w:rsid w:val="009F3231"/>
    <w:rsid w:val="009F4915"/>
    <w:rsid w:val="009F5C58"/>
    <w:rsid w:val="00A015CD"/>
    <w:rsid w:val="00A023A0"/>
    <w:rsid w:val="00A04688"/>
    <w:rsid w:val="00A04A4B"/>
    <w:rsid w:val="00A063F5"/>
    <w:rsid w:val="00A06C3C"/>
    <w:rsid w:val="00A1211F"/>
    <w:rsid w:val="00A12B37"/>
    <w:rsid w:val="00A13EB7"/>
    <w:rsid w:val="00A148C5"/>
    <w:rsid w:val="00A1562B"/>
    <w:rsid w:val="00A170F4"/>
    <w:rsid w:val="00A20013"/>
    <w:rsid w:val="00A202FE"/>
    <w:rsid w:val="00A21408"/>
    <w:rsid w:val="00A21CFD"/>
    <w:rsid w:val="00A25A55"/>
    <w:rsid w:val="00A25B78"/>
    <w:rsid w:val="00A317BD"/>
    <w:rsid w:val="00A35321"/>
    <w:rsid w:val="00A36BCD"/>
    <w:rsid w:val="00A44719"/>
    <w:rsid w:val="00A46BA8"/>
    <w:rsid w:val="00A47634"/>
    <w:rsid w:val="00A50ADF"/>
    <w:rsid w:val="00A612FE"/>
    <w:rsid w:val="00A62492"/>
    <w:rsid w:val="00A631E3"/>
    <w:rsid w:val="00A72763"/>
    <w:rsid w:val="00A72873"/>
    <w:rsid w:val="00A72D84"/>
    <w:rsid w:val="00A732C2"/>
    <w:rsid w:val="00A74D3E"/>
    <w:rsid w:val="00A75A58"/>
    <w:rsid w:val="00A8154A"/>
    <w:rsid w:val="00A9070E"/>
    <w:rsid w:val="00A921F9"/>
    <w:rsid w:val="00A93D21"/>
    <w:rsid w:val="00AA26B8"/>
    <w:rsid w:val="00AA296C"/>
    <w:rsid w:val="00AA6080"/>
    <w:rsid w:val="00AB0C97"/>
    <w:rsid w:val="00AB0E3E"/>
    <w:rsid w:val="00AB585A"/>
    <w:rsid w:val="00AB7E18"/>
    <w:rsid w:val="00AC0B87"/>
    <w:rsid w:val="00AC2559"/>
    <w:rsid w:val="00AC2624"/>
    <w:rsid w:val="00AC50E4"/>
    <w:rsid w:val="00AC70DA"/>
    <w:rsid w:val="00AD0BF0"/>
    <w:rsid w:val="00AD4F4E"/>
    <w:rsid w:val="00AD7E4E"/>
    <w:rsid w:val="00AE2973"/>
    <w:rsid w:val="00AE40D0"/>
    <w:rsid w:val="00AE7558"/>
    <w:rsid w:val="00AF133D"/>
    <w:rsid w:val="00AF18A5"/>
    <w:rsid w:val="00AF4D58"/>
    <w:rsid w:val="00AF6007"/>
    <w:rsid w:val="00AF6666"/>
    <w:rsid w:val="00AF7737"/>
    <w:rsid w:val="00AF7CB5"/>
    <w:rsid w:val="00B204A9"/>
    <w:rsid w:val="00B21FD0"/>
    <w:rsid w:val="00B24010"/>
    <w:rsid w:val="00B250B1"/>
    <w:rsid w:val="00B2671F"/>
    <w:rsid w:val="00B277FE"/>
    <w:rsid w:val="00B32B63"/>
    <w:rsid w:val="00B351CB"/>
    <w:rsid w:val="00B35BE8"/>
    <w:rsid w:val="00B37769"/>
    <w:rsid w:val="00B47ABE"/>
    <w:rsid w:val="00B51E4A"/>
    <w:rsid w:val="00B57BAA"/>
    <w:rsid w:val="00B669BC"/>
    <w:rsid w:val="00B72D27"/>
    <w:rsid w:val="00B740AE"/>
    <w:rsid w:val="00B75803"/>
    <w:rsid w:val="00B81B44"/>
    <w:rsid w:val="00B870CF"/>
    <w:rsid w:val="00B90434"/>
    <w:rsid w:val="00B9053B"/>
    <w:rsid w:val="00B9395F"/>
    <w:rsid w:val="00B95990"/>
    <w:rsid w:val="00BA0682"/>
    <w:rsid w:val="00BA0EC0"/>
    <w:rsid w:val="00BA5952"/>
    <w:rsid w:val="00BB4D98"/>
    <w:rsid w:val="00BB4EBF"/>
    <w:rsid w:val="00BB59E0"/>
    <w:rsid w:val="00BB62B3"/>
    <w:rsid w:val="00BB63F6"/>
    <w:rsid w:val="00BC2339"/>
    <w:rsid w:val="00BC3422"/>
    <w:rsid w:val="00BC6E19"/>
    <w:rsid w:val="00BD5D87"/>
    <w:rsid w:val="00BD7298"/>
    <w:rsid w:val="00BE03FB"/>
    <w:rsid w:val="00BF23BE"/>
    <w:rsid w:val="00BF3678"/>
    <w:rsid w:val="00BF383F"/>
    <w:rsid w:val="00BF4F96"/>
    <w:rsid w:val="00C015B9"/>
    <w:rsid w:val="00C022F9"/>
    <w:rsid w:val="00C023C4"/>
    <w:rsid w:val="00C032A5"/>
    <w:rsid w:val="00C032EA"/>
    <w:rsid w:val="00C06EB5"/>
    <w:rsid w:val="00C1145F"/>
    <w:rsid w:val="00C11CD1"/>
    <w:rsid w:val="00C150B5"/>
    <w:rsid w:val="00C20571"/>
    <w:rsid w:val="00C21966"/>
    <w:rsid w:val="00C26333"/>
    <w:rsid w:val="00C33AD3"/>
    <w:rsid w:val="00C40F9F"/>
    <w:rsid w:val="00C43F06"/>
    <w:rsid w:val="00C445C8"/>
    <w:rsid w:val="00C4794C"/>
    <w:rsid w:val="00C51ADA"/>
    <w:rsid w:val="00C51C01"/>
    <w:rsid w:val="00C637E1"/>
    <w:rsid w:val="00C67EAC"/>
    <w:rsid w:val="00C70D50"/>
    <w:rsid w:val="00C72252"/>
    <w:rsid w:val="00C825BD"/>
    <w:rsid w:val="00C82C97"/>
    <w:rsid w:val="00C86387"/>
    <w:rsid w:val="00C907D7"/>
    <w:rsid w:val="00C92338"/>
    <w:rsid w:val="00C9776E"/>
    <w:rsid w:val="00CA33FE"/>
    <w:rsid w:val="00CB15A1"/>
    <w:rsid w:val="00CB227C"/>
    <w:rsid w:val="00CB3900"/>
    <w:rsid w:val="00CB3976"/>
    <w:rsid w:val="00CC2E1F"/>
    <w:rsid w:val="00CC67AB"/>
    <w:rsid w:val="00CD0307"/>
    <w:rsid w:val="00CD223F"/>
    <w:rsid w:val="00CD24C2"/>
    <w:rsid w:val="00CD3D1B"/>
    <w:rsid w:val="00CD6C16"/>
    <w:rsid w:val="00CE3AC9"/>
    <w:rsid w:val="00CE4C07"/>
    <w:rsid w:val="00D00146"/>
    <w:rsid w:val="00D02663"/>
    <w:rsid w:val="00D0325F"/>
    <w:rsid w:val="00D0633E"/>
    <w:rsid w:val="00D11EAB"/>
    <w:rsid w:val="00D12E74"/>
    <w:rsid w:val="00D15E8B"/>
    <w:rsid w:val="00D2312F"/>
    <w:rsid w:val="00D269C1"/>
    <w:rsid w:val="00D325D6"/>
    <w:rsid w:val="00D36ED2"/>
    <w:rsid w:val="00D41B2F"/>
    <w:rsid w:val="00D44953"/>
    <w:rsid w:val="00D45F15"/>
    <w:rsid w:val="00D542F3"/>
    <w:rsid w:val="00D54513"/>
    <w:rsid w:val="00D54AAE"/>
    <w:rsid w:val="00D5644B"/>
    <w:rsid w:val="00D56E25"/>
    <w:rsid w:val="00D576B5"/>
    <w:rsid w:val="00D57E89"/>
    <w:rsid w:val="00D61C49"/>
    <w:rsid w:val="00D6560D"/>
    <w:rsid w:val="00D65D77"/>
    <w:rsid w:val="00D6739B"/>
    <w:rsid w:val="00D718D7"/>
    <w:rsid w:val="00D738E8"/>
    <w:rsid w:val="00D814B7"/>
    <w:rsid w:val="00D833BE"/>
    <w:rsid w:val="00D85998"/>
    <w:rsid w:val="00D90688"/>
    <w:rsid w:val="00D95610"/>
    <w:rsid w:val="00D95F2F"/>
    <w:rsid w:val="00D9663C"/>
    <w:rsid w:val="00DA3AAD"/>
    <w:rsid w:val="00DA63FC"/>
    <w:rsid w:val="00DB0C4F"/>
    <w:rsid w:val="00DB312B"/>
    <w:rsid w:val="00DB45FB"/>
    <w:rsid w:val="00DB6230"/>
    <w:rsid w:val="00DB6888"/>
    <w:rsid w:val="00DC5654"/>
    <w:rsid w:val="00DC658F"/>
    <w:rsid w:val="00DC674A"/>
    <w:rsid w:val="00DD39CF"/>
    <w:rsid w:val="00DE60CC"/>
    <w:rsid w:val="00DF3891"/>
    <w:rsid w:val="00DF3EFD"/>
    <w:rsid w:val="00DF409F"/>
    <w:rsid w:val="00E0379C"/>
    <w:rsid w:val="00E06D68"/>
    <w:rsid w:val="00E26B32"/>
    <w:rsid w:val="00E26EBB"/>
    <w:rsid w:val="00E308B4"/>
    <w:rsid w:val="00E32E50"/>
    <w:rsid w:val="00E364CE"/>
    <w:rsid w:val="00E407B6"/>
    <w:rsid w:val="00E41EF1"/>
    <w:rsid w:val="00E42942"/>
    <w:rsid w:val="00E42CBD"/>
    <w:rsid w:val="00E45A24"/>
    <w:rsid w:val="00E54631"/>
    <w:rsid w:val="00E56C47"/>
    <w:rsid w:val="00E65A0A"/>
    <w:rsid w:val="00E7077D"/>
    <w:rsid w:val="00E71BDF"/>
    <w:rsid w:val="00E72842"/>
    <w:rsid w:val="00E75CCB"/>
    <w:rsid w:val="00E7656F"/>
    <w:rsid w:val="00E8245B"/>
    <w:rsid w:val="00E82C21"/>
    <w:rsid w:val="00E82F59"/>
    <w:rsid w:val="00E83CA7"/>
    <w:rsid w:val="00E86D14"/>
    <w:rsid w:val="00E92192"/>
    <w:rsid w:val="00E95A71"/>
    <w:rsid w:val="00EA0158"/>
    <w:rsid w:val="00EA0D4C"/>
    <w:rsid w:val="00EA3178"/>
    <w:rsid w:val="00EB60DC"/>
    <w:rsid w:val="00EB7014"/>
    <w:rsid w:val="00EB7499"/>
    <w:rsid w:val="00EC2BD2"/>
    <w:rsid w:val="00EC2DDF"/>
    <w:rsid w:val="00EC2F04"/>
    <w:rsid w:val="00EC5CDE"/>
    <w:rsid w:val="00EC7914"/>
    <w:rsid w:val="00ED3703"/>
    <w:rsid w:val="00ED487E"/>
    <w:rsid w:val="00EE101E"/>
    <w:rsid w:val="00EE33A1"/>
    <w:rsid w:val="00EE3ABE"/>
    <w:rsid w:val="00EE7A0D"/>
    <w:rsid w:val="00EF2115"/>
    <w:rsid w:val="00F0222C"/>
    <w:rsid w:val="00F02EE5"/>
    <w:rsid w:val="00F046D4"/>
    <w:rsid w:val="00F071EA"/>
    <w:rsid w:val="00F07CE1"/>
    <w:rsid w:val="00F120B3"/>
    <w:rsid w:val="00F12312"/>
    <w:rsid w:val="00F125C8"/>
    <w:rsid w:val="00F1309D"/>
    <w:rsid w:val="00F14D97"/>
    <w:rsid w:val="00F176B7"/>
    <w:rsid w:val="00F17CE1"/>
    <w:rsid w:val="00F17ED9"/>
    <w:rsid w:val="00F2115C"/>
    <w:rsid w:val="00F2124C"/>
    <w:rsid w:val="00F22ABA"/>
    <w:rsid w:val="00F2563E"/>
    <w:rsid w:val="00F303A0"/>
    <w:rsid w:val="00F31220"/>
    <w:rsid w:val="00F356F5"/>
    <w:rsid w:val="00F36B12"/>
    <w:rsid w:val="00F42D25"/>
    <w:rsid w:val="00F468A2"/>
    <w:rsid w:val="00F50D94"/>
    <w:rsid w:val="00F52051"/>
    <w:rsid w:val="00F545B6"/>
    <w:rsid w:val="00F56526"/>
    <w:rsid w:val="00F60D0F"/>
    <w:rsid w:val="00F60F9F"/>
    <w:rsid w:val="00F6203D"/>
    <w:rsid w:val="00F64F08"/>
    <w:rsid w:val="00F66524"/>
    <w:rsid w:val="00F70055"/>
    <w:rsid w:val="00F734F5"/>
    <w:rsid w:val="00F73B5B"/>
    <w:rsid w:val="00F74076"/>
    <w:rsid w:val="00F86BF1"/>
    <w:rsid w:val="00F878F4"/>
    <w:rsid w:val="00F90CFF"/>
    <w:rsid w:val="00F91F5A"/>
    <w:rsid w:val="00F93FC4"/>
    <w:rsid w:val="00F966B1"/>
    <w:rsid w:val="00F97D48"/>
    <w:rsid w:val="00FA0311"/>
    <w:rsid w:val="00FA3375"/>
    <w:rsid w:val="00FB25C9"/>
    <w:rsid w:val="00FB273F"/>
    <w:rsid w:val="00FC1582"/>
    <w:rsid w:val="00FC217C"/>
    <w:rsid w:val="00FC5A65"/>
    <w:rsid w:val="00FD1110"/>
    <w:rsid w:val="00FD640F"/>
    <w:rsid w:val="00FD6B4C"/>
    <w:rsid w:val="00FE0553"/>
    <w:rsid w:val="00FE2895"/>
    <w:rsid w:val="00FE3ECC"/>
    <w:rsid w:val="00FE5491"/>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97564"/>
  <w15:docId w15:val="{AD758395-4054-45CC-96D8-7DA21920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0"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BE"/>
    <w:pPr>
      <w:spacing w:before="120" w:after="120" w:line="264" w:lineRule="auto"/>
    </w:pPr>
    <w:rPr>
      <w:color w:val="232B39" w:themeColor="text1"/>
    </w:rPr>
  </w:style>
  <w:style w:type="paragraph" w:styleId="Heading1">
    <w:name w:val="heading 1"/>
    <w:next w:val="Normal"/>
    <w:link w:val="Heading1Char"/>
    <w:qFormat/>
    <w:rsid w:val="00392484"/>
    <w:pPr>
      <w:keepNext/>
      <w:keepLines/>
      <w:spacing w:before="360" w:after="120"/>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392484"/>
    <w:pPr>
      <w:keepNext/>
      <w:keepLines/>
      <w:spacing w:before="28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4F7954"/>
    <w:pPr>
      <w:keepNext/>
      <w:keepLines/>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A631E3"/>
    <w:pPr>
      <w:keepNext/>
      <w:keepLines/>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rsid w:val="00A631E3"/>
    <w:pPr>
      <w:keepNext/>
      <w:keepLines/>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semiHidden/>
    <w:rsid w:val="00B35BE8"/>
    <w:pPr>
      <w:pBdr>
        <w:bottom w:val="single" w:sz="12" w:space="4" w:color="auto"/>
      </w:pBdr>
      <w:tabs>
        <w:tab w:val="right" w:pos="9000"/>
      </w:tabs>
      <w:ind w:right="26"/>
    </w:pPr>
    <w:rPr>
      <w:sz w:val="24"/>
      <w:szCs w:val="24"/>
    </w:rPr>
  </w:style>
  <w:style w:type="paragraph" w:styleId="TOC2">
    <w:name w:val="toc 2"/>
    <w:next w:val="Normal"/>
    <w:uiPriority w:val="39"/>
    <w:semiHidden/>
    <w:rsid w:val="00B35BE8"/>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B35BE8"/>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semiHidden/>
    <w:rsid w:val="0054503A"/>
    <w:rPr>
      <w:color w:val="656A6F" w:themeColor="accent4" w:themeShade="80"/>
      <w:u w:val="none"/>
    </w:rPr>
  </w:style>
  <w:style w:type="character" w:customStyle="1" w:styleId="Heading1Char">
    <w:name w:val="Heading 1 Char"/>
    <w:basedOn w:val="DefaultParagraphFont"/>
    <w:link w:val="Heading1"/>
    <w:rsid w:val="00392484"/>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392484"/>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3F46E4"/>
    <w:pPr>
      <w:numPr>
        <w:numId w:val="3"/>
      </w:numPr>
      <w:spacing w:before="100" w:after="100" w:line="264" w:lineRule="auto"/>
      <w:contextualSpacing/>
    </w:pPr>
    <w:rPr>
      <w:rFonts w:eastAsia="Times New Roman" w:cs="Calibri"/>
      <w:color w:val="232B39" w:themeColor="text1"/>
    </w:rPr>
  </w:style>
  <w:style w:type="paragraph" w:customStyle="1" w:styleId="Bullet2">
    <w:name w:val="Bullet 2"/>
    <w:basedOn w:val="Bullet1"/>
    <w:uiPriority w:val="1"/>
    <w:qFormat/>
    <w:rsid w:val="009E6C49"/>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4F7954"/>
    <w:pPr>
      <w:numPr>
        <w:ilvl w:val="2"/>
        <w:numId w:val="4"/>
      </w:numPr>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4F7954"/>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qFormat/>
    <w:rsid w:val="00366A51"/>
    <w:pPr>
      <w:numPr>
        <w:ilvl w:val="5"/>
        <w:numId w:val="4"/>
      </w:numPr>
    </w:pPr>
  </w:style>
  <w:style w:type="character" w:customStyle="1" w:styleId="Heading4Char">
    <w:name w:val="Heading 4 Char"/>
    <w:basedOn w:val="DefaultParagraphFont"/>
    <w:link w:val="Heading4"/>
    <w:rsid w:val="00A631E3"/>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255F48"/>
    <w:pPr>
      <w:ind w:left="792"/>
    </w:pPr>
  </w:style>
  <w:style w:type="paragraph" w:customStyle="1" w:styleId="NoteNormal">
    <w:name w:val="Note Normal"/>
    <w:basedOn w:val="Normal"/>
    <w:rsid w:val="00C032A5"/>
    <w:pPr>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8730DA"/>
    <w:pPr>
      <w:spacing w:before="1400" w:after="120" w:line="440" w:lineRule="exact"/>
      <w:ind w:right="2995"/>
      <w:jc w:val="right"/>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D833BE"/>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semiHidden/>
    <w:qFormat/>
    <w:rsid w:val="008F0369"/>
    <w:pPr>
      <w:spacing w:before="2200" w:after="300" w:line="264" w:lineRule="auto"/>
      <w:ind w:right="2909"/>
      <w:jc w:val="right"/>
    </w:pPr>
    <w:rPr>
      <w:rFonts w:asciiTheme="majorHAnsi" w:eastAsia="Times New Roman" w:hAnsiTheme="majorHAnsi" w:cstheme="majorHAnsi"/>
      <w:b/>
      <w:color w:val="3A3467" w:themeColor="text2"/>
      <w:sz w:val="56"/>
      <w:szCs w:val="56"/>
    </w:rPr>
  </w:style>
  <w:style w:type="character" w:customStyle="1" w:styleId="TitleChar">
    <w:name w:val="Title Char"/>
    <w:basedOn w:val="DefaultParagraphFont"/>
    <w:link w:val="Title"/>
    <w:uiPriority w:val="44"/>
    <w:semiHidden/>
    <w:rsid w:val="008F0369"/>
    <w:rPr>
      <w:rFonts w:asciiTheme="majorHAnsi" w:eastAsia="Times New Roman" w:hAnsiTheme="majorHAnsi" w:cstheme="majorHAnsi"/>
      <w:b/>
      <w:color w:val="3A3467" w:themeColor="text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99"/>
    <w:semiHidden/>
    <w:rsid w:val="0054503A"/>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54503A"/>
    <w:rPr>
      <w:noProof/>
      <w:color w:val="232B39" w:themeColor="text1"/>
      <w:sz w:val="18"/>
      <w:szCs w:val="18"/>
    </w:rPr>
  </w:style>
  <w:style w:type="character" w:styleId="PageNumber">
    <w:name w:val="page number"/>
    <w:uiPriority w:val="49"/>
    <w:semiHidden/>
    <w:rsid w:val="00BB59E0"/>
    <w:rPr>
      <w:rFonts w:asciiTheme="minorHAnsi" w:hAnsiTheme="minorHAnsi"/>
      <w:b w:val="0"/>
      <w:color w:val="232B39" w:themeColor="text1"/>
    </w:rPr>
  </w:style>
  <w:style w:type="paragraph" w:styleId="TOCHeading">
    <w:name w:val="TOC Heading"/>
    <w:basedOn w:val="Heading1"/>
    <w:next w:val="Normal"/>
    <w:uiPriority w:val="38"/>
    <w:semiHidden/>
    <w:rsid w:val="00BA0EC0"/>
    <w:pPr>
      <w:spacing w:before="440" w:after="44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1F0C6B"/>
    <w:pPr>
      <w:spacing w:before="3800"/>
      <w:ind w:right="1382"/>
    </w:pPr>
  </w:style>
  <w:style w:type="paragraph" w:styleId="TOC4">
    <w:name w:val="toc 4"/>
    <w:basedOn w:val="TOC1"/>
    <w:next w:val="Normal"/>
    <w:uiPriority w:val="39"/>
    <w:semiHidden/>
    <w:rsid w:val="00B35BE8"/>
    <w:pPr>
      <w:spacing w:before="280"/>
      <w:ind w:left="446" w:right="29" w:hanging="446"/>
    </w:pPr>
    <w:rPr>
      <w:noProof/>
      <w:lang w:eastAsia="en-US"/>
    </w:rPr>
  </w:style>
  <w:style w:type="paragraph" w:styleId="TOC5">
    <w:name w:val="toc 5"/>
    <w:basedOn w:val="TOC2"/>
    <w:next w:val="Normal"/>
    <w:uiPriority w:val="39"/>
    <w:semiHidden/>
    <w:rsid w:val="00CD3D1B"/>
    <w:pPr>
      <w:ind w:left="1080" w:hanging="634"/>
    </w:pPr>
    <w:rPr>
      <w:lang w:eastAsia="en-US"/>
    </w:rPr>
  </w:style>
  <w:style w:type="paragraph" w:styleId="TOC6">
    <w:name w:val="toc 6"/>
    <w:basedOn w:val="TOC3"/>
    <w:next w:val="Normal"/>
    <w:uiPriority w:val="39"/>
    <w:semiHidden/>
    <w:rsid w:val="00C06EB5"/>
    <w:pPr>
      <w:ind w:left="1800" w:hanging="720"/>
    </w:pPr>
    <w:rPr>
      <w:lang w:eastAsia="en-US"/>
    </w:rPr>
  </w:style>
  <w:style w:type="table" w:customStyle="1" w:styleId="DTFtexttable">
    <w:name w:val="DTF text table"/>
    <w:basedOn w:val="TableNormal"/>
    <w:uiPriority w:val="99"/>
    <w:rsid w:val="00242543"/>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242543"/>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C21966"/>
    <w:pPr>
      <w:keepNext/>
      <w:keepLines/>
      <w:spacing w:before="120"/>
    </w:pPr>
    <w:rPr>
      <w:rFonts w:eastAsiaTheme="minorHAnsi"/>
      <w:spacing w:val="2"/>
      <w:sz w:val="18"/>
      <w:szCs w:val="18"/>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rsid w:val="00BC6E19"/>
    <w:pPr>
      <w:spacing w:before="0" w:after="0" w:line="240" w:lineRule="auto"/>
    </w:pPr>
    <w:rPr>
      <w:sz w:val="17"/>
    </w:rPr>
  </w:style>
  <w:style w:type="character" w:customStyle="1" w:styleId="FootnoteTextChar">
    <w:name w:val="Footnote Text Char"/>
    <w:basedOn w:val="DefaultParagraphFont"/>
    <w:link w:val="FootnoteText"/>
    <w:uiPriority w:val="99"/>
    <w:rsid w:val="00BC6E19"/>
    <w:rPr>
      <w:spacing w:val="2"/>
      <w:sz w:val="17"/>
    </w:rPr>
  </w:style>
  <w:style w:type="character" w:styleId="FootnoteReference">
    <w:name w:val="footnote reference"/>
    <w:basedOn w:val="DefaultParagraphFont"/>
    <w:uiPriority w:val="99"/>
    <w:rsid w:val="00726D2F"/>
    <w:rPr>
      <w:vertAlign w:val="superscript"/>
    </w:rPr>
  </w:style>
  <w:style w:type="table" w:customStyle="1" w:styleId="DTFtexttableindent">
    <w:name w:val="DTF text table indent"/>
    <w:basedOn w:val="DTFtext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5"/>
    <w:rsid w:val="006E7690"/>
    <w:pPr>
      <w:keepNext/>
      <w:spacing w:before="200" w:after="60" w:line="240" w:lineRule="auto"/>
    </w:pPr>
    <w:rPr>
      <w:b/>
      <w:bCs/>
      <w:sz w:val="18"/>
      <w:szCs w:val="18"/>
    </w:rPr>
  </w:style>
  <w:style w:type="character" w:styleId="PlaceholderText">
    <w:name w:val="Placeholder Text"/>
    <w:basedOn w:val="DefaultParagraphFont"/>
    <w:uiPriority w:val="99"/>
    <w:semiHidden/>
    <w:rsid w:val="00966115"/>
    <w:rPr>
      <w:color w:val="808080"/>
    </w:rPr>
  </w:style>
  <w:style w:type="paragraph" w:customStyle="1" w:styleId="ReportDate">
    <w:name w:val="ReportDate"/>
    <w:uiPriority w:val="79"/>
    <w:semiHidden/>
    <w:rsid w:val="008730DA"/>
    <w:pPr>
      <w:spacing w:before="160" w:after="60" w:line="240" w:lineRule="auto"/>
      <w:ind w:right="2909"/>
      <w:jc w:val="right"/>
    </w:pPr>
    <w:rPr>
      <w:b/>
      <w:bCs/>
      <w:caps/>
    </w:rPr>
  </w:style>
  <w:style w:type="paragraph" w:customStyle="1" w:styleId="CM">
    <w:name w:val="CM"/>
    <w:next w:val="Title"/>
    <w:uiPriority w:val="79"/>
    <w:semiHidden/>
    <w:rsid w:val="008F0369"/>
    <w:pPr>
      <w:spacing w:after="2200" w:line="240" w:lineRule="auto"/>
      <w:ind w:right="2909"/>
      <w:jc w:val="right"/>
    </w:pPr>
    <w:rPr>
      <w:caps/>
    </w:rPr>
  </w:style>
  <w:style w:type="character" w:customStyle="1" w:styleId="Heading5Char">
    <w:name w:val="Heading 5 Char"/>
    <w:basedOn w:val="DefaultParagraphFont"/>
    <w:link w:val="Heading5"/>
    <w:rsid w:val="00A631E3"/>
    <w:rPr>
      <w:rFonts w:asciiTheme="majorHAnsi" w:eastAsiaTheme="majorEastAsia" w:hAnsiTheme="majorHAnsi" w:cstheme="majorBidi"/>
      <w:color w:val="3A3467" w:themeColor="text2"/>
    </w:rPr>
  </w:style>
  <w:style w:type="paragraph" w:customStyle="1" w:styleId="CoverSpacer">
    <w:name w:val="CoverSpacer"/>
    <w:basedOn w:val="Normal"/>
    <w:semiHidden/>
    <w:qFormat/>
    <w:rsid w:val="00B2671F"/>
    <w:pPr>
      <w:spacing w:before="4600" w:after="0"/>
    </w:pPr>
  </w:style>
  <w:style w:type="table" w:styleId="PlainTable4">
    <w:name w:val="Plain Table 4"/>
    <w:basedOn w:val="TableNormal"/>
    <w:uiPriority w:val="44"/>
    <w:rsid w:val="004027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indent">
    <w:name w:val="Caption indent"/>
    <w:basedOn w:val="Caption"/>
    <w:uiPriority w:val="7"/>
    <w:qFormat/>
    <w:rsid w:val="00A1211F"/>
    <w:pPr>
      <w:spacing w:before="240"/>
      <w:ind w:left="792"/>
    </w:pPr>
  </w:style>
  <w:style w:type="paragraph" w:styleId="Quote">
    <w:name w:val="Quote"/>
    <w:basedOn w:val="Normal"/>
    <w:next w:val="Normal"/>
    <w:link w:val="QuoteChar"/>
    <w:uiPriority w:val="14"/>
    <w:qFormat/>
    <w:rsid w:val="0054503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sz w:val="18"/>
      <w:szCs w:val="18"/>
    </w:rPr>
  </w:style>
  <w:style w:type="character" w:customStyle="1" w:styleId="QuoteChar">
    <w:name w:val="Quote Char"/>
    <w:basedOn w:val="DefaultParagraphFont"/>
    <w:link w:val="Quote"/>
    <w:uiPriority w:val="14"/>
    <w:rsid w:val="0054503A"/>
    <w:rPr>
      <w:i/>
      <w:iCs/>
      <w:color w:val="232B39" w:themeColor="text1"/>
      <w:sz w:val="18"/>
      <w:szCs w:val="18"/>
    </w:rPr>
  </w:style>
  <w:style w:type="character" w:styleId="FollowedHyperlink">
    <w:name w:val="FollowedHyperlink"/>
    <w:basedOn w:val="DefaultParagraphFont"/>
    <w:uiPriority w:val="99"/>
    <w:semiHidden/>
    <w:rsid w:val="00CD24C2"/>
    <w:rPr>
      <w:color w:val="808080" w:themeColor="background1" w:themeShade="80"/>
      <w:u w:val="none"/>
    </w:rPr>
  </w:style>
  <w:style w:type="table" w:styleId="TableGridLight">
    <w:name w:val="Grid Table Light"/>
    <w:basedOn w:val="TableNormal"/>
    <w:uiPriority w:val="40"/>
    <w:rsid w:val="00B669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6739B"/>
    <w:pPr>
      <w:spacing w:after="0" w:line="240" w:lineRule="auto"/>
    </w:pPr>
    <w:tblPr>
      <w:tblStyleRowBandSize w:val="1"/>
      <w:tblStyleColBandSize w:val="1"/>
      <w:tblBorders>
        <w:top w:val="single" w:sz="4" w:space="0" w:color="97A5BF" w:themeColor="text1" w:themeTint="66"/>
        <w:left w:val="single" w:sz="4" w:space="0" w:color="97A5BF" w:themeColor="text1" w:themeTint="66"/>
        <w:bottom w:val="single" w:sz="4" w:space="0" w:color="97A5BF" w:themeColor="text1" w:themeTint="66"/>
        <w:right w:val="single" w:sz="4" w:space="0" w:color="97A5BF" w:themeColor="text1" w:themeTint="66"/>
        <w:insideH w:val="single" w:sz="4" w:space="0" w:color="97A5BF" w:themeColor="text1" w:themeTint="66"/>
        <w:insideV w:val="single" w:sz="4" w:space="0" w:color="97A5BF" w:themeColor="text1" w:themeTint="66"/>
      </w:tblBorders>
    </w:tblPr>
    <w:tblStylePr w:type="firstRow">
      <w:rPr>
        <w:b/>
        <w:bCs/>
      </w:rPr>
      <w:tblPr/>
      <w:tcPr>
        <w:tcBorders>
          <w:bottom w:val="single" w:sz="12" w:space="0" w:color="63799F" w:themeColor="text1" w:themeTint="99"/>
        </w:tcBorders>
      </w:tcPr>
    </w:tblStylePr>
    <w:tblStylePr w:type="lastRow">
      <w:rPr>
        <w:b/>
        <w:bCs/>
      </w:rPr>
      <w:tblPr/>
      <w:tcPr>
        <w:tcBorders>
          <w:top w:val="double" w:sz="2" w:space="0" w:color="63799F"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45F1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3F50F0"/>
    <w:rPr>
      <w:color w:val="605E5C"/>
      <w:shd w:val="clear" w:color="auto" w:fill="E1DFDD"/>
    </w:rPr>
  </w:style>
  <w:style w:type="character" w:styleId="CommentReference">
    <w:name w:val="annotation reference"/>
    <w:basedOn w:val="DefaultParagraphFont"/>
    <w:uiPriority w:val="99"/>
    <w:semiHidden/>
    <w:unhideWhenUsed/>
    <w:rsid w:val="00255958"/>
    <w:rPr>
      <w:sz w:val="16"/>
      <w:szCs w:val="16"/>
    </w:rPr>
  </w:style>
  <w:style w:type="paragraph" w:styleId="CommentText">
    <w:name w:val="annotation text"/>
    <w:basedOn w:val="Normal"/>
    <w:link w:val="CommentTextChar"/>
    <w:uiPriority w:val="99"/>
    <w:semiHidden/>
    <w:unhideWhenUsed/>
    <w:rsid w:val="00255958"/>
    <w:pPr>
      <w:spacing w:line="240" w:lineRule="auto"/>
    </w:pPr>
  </w:style>
  <w:style w:type="character" w:customStyle="1" w:styleId="CommentTextChar">
    <w:name w:val="Comment Text Char"/>
    <w:basedOn w:val="DefaultParagraphFont"/>
    <w:link w:val="CommentText"/>
    <w:uiPriority w:val="99"/>
    <w:semiHidden/>
    <w:rsid w:val="00255958"/>
    <w:rPr>
      <w:color w:val="232B39" w:themeColor="text1"/>
    </w:rPr>
  </w:style>
  <w:style w:type="paragraph" w:styleId="CommentSubject">
    <w:name w:val="annotation subject"/>
    <w:basedOn w:val="CommentText"/>
    <w:next w:val="CommentText"/>
    <w:link w:val="CommentSubjectChar"/>
    <w:uiPriority w:val="99"/>
    <w:semiHidden/>
    <w:unhideWhenUsed/>
    <w:rsid w:val="00255958"/>
    <w:rPr>
      <w:b/>
      <w:bCs/>
    </w:rPr>
  </w:style>
  <w:style w:type="character" w:customStyle="1" w:styleId="CommentSubjectChar">
    <w:name w:val="Comment Subject Char"/>
    <w:basedOn w:val="CommentTextChar"/>
    <w:link w:val="CommentSubject"/>
    <w:uiPriority w:val="99"/>
    <w:semiHidden/>
    <w:rsid w:val="00255958"/>
    <w:rPr>
      <w:b/>
      <w:bCs/>
      <w:color w:val="232B39" w:themeColor="text1"/>
    </w:rPr>
  </w:style>
  <w:style w:type="paragraph" w:styleId="Revision">
    <w:name w:val="Revision"/>
    <w:hidden/>
    <w:uiPriority w:val="99"/>
    <w:semiHidden/>
    <w:rsid w:val="00255958"/>
    <w:pPr>
      <w:spacing w:after="0" w:line="240" w:lineRule="auto"/>
    </w:pPr>
    <w:rPr>
      <w:color w:val="232B39"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857">
      <w:bodyDiv w:val="1"/>
      <w:marLeft w:val="0"/>
      <w:marRight w:val="0"/>
      <w:marTop w:val="0"/>
      <w:marBottom w:val="0"/>
      <w:divBdr>
        <w:top w:val="none" w:sz="0" w:space="0" w:color="auto"/>
        <w:left w:val="none" w:sz="0" w:space="0" w:color="auto"/>
        <w:bottom w:val="none" w:sz="0" w:space="0" w:color="auto"/>
        <w:right w:val="none" w:sz="0" w:space="0" w:color="auto"/>
      </w:divBdr>
    </w:div>
    <w:div w:id="57561179">
      <w:bodyDiv w:val="1"/>
      <w:marLeft w:val="0"/>
      <w:marRight w:val="0"/>
      <w:marTop w:val="0"/>
      <w:marBottom w:val="0"/>
      <w:divBdr>
        <w:top w:val="none" w:sz="0" w:space="0" w:color="auto"/>
        <w:left w:val="none" w:sz="0" w:space="0" w:color="auto"/>
        <w:bottom w:val="none" w:sz="0" w:space="0" w:color="auto"/>
        <w:right w:val="none" w:sz="0" w:space="0" w:color="auto"/>
      </w:divBdr>
    </w:div>
    <w:div w:id="146870291">
      <w:bodyDiv w:val="1"/>
      <w:marLeft w:val="0"/>
      <w:marRight w:val="0"/>
      <w:marTop w:val="0"/>
      <w:marBottom w:val="0"/>
      <w:divBdr>
        <w:top w:val="none" w:sz="0" w:space="0" w:color="auto"/>
        <w:left w:val="none" w:sz="0" w:space="0" w:color="auto"/>
        <w:bottom w:val="none" w:sz="0" w:space="0" w:color="auto"/>
        <w:right w:val="none" w:sz="0" w:space="0" w:color="auto"/>
      </w:divBdr>
    </w:div>
    <w:div w:id="164175272">
      <w:bodyDiv w:val="1"/>
      <w:marLeft w:val="0"/>
      <w:marRight w:val="0"/>
      <w:marTop w:val="0"/>
      <w:marBottom w:val="0"/>
      <w:divBdr>
        <w:top w:val="none" w:sz="0" w:space="0" w:color="auto"/>
        <w:left w:val="none" w:sz="0" w:space="0" w:color="auto"/>
        <w:bottom w:val="none" w:sz="0" w:space="0" w:color="auto"/>
        <w:right w:val="none" w:sz="0" w:space="0" w:color="auto"/>
      </w:divBdr>
    </w:div>
    <w:div w:id="182482833">
      <w:bodyDiv w:val="1"/>
      <w:marLeft w:val="0"/>
      <w:marRight w:val="0"/>
      <w:marTop w:val="0"/>
      <w:marBottom w:val="0"/>
      <w:divBdr>
        <w:top w:val="none" w:sz="0" w:space="0" w:color="auto"/>
        <w:left w:val="none" w:sz="0" w:space="0" w:color="auto"/>
        <w:bottom w:val="none" w:sz="0" w:space="0" w:color="auto"/>
        <w:right w:val="none" w:sz="0" w:space="0" w:color="auto"/>
      </w:divBdr>
    </w:div>
    <w:div w:id="205534682">
      <w:bodyDiv w:val="1"/>
      <w:marLeft w:val="0"/>
      <w:marRight w:val="0"/>
      <w:marTop w:val="0"/>
      <w:marBottom w:val="0"/>
      <w:divBdr>
        <w:top w:val="none" w:sz="0" w:space="0" w:color="auto"/>
        <w:left w:val="none" w:sz="0" w:space="0" w:color="auto"/>
        <w:bottom w:val="none" w:sz="0" w:space="0" w:color="auto"/>
        <w:right w:val="none" w:sz="0" w:space="0" w:color="auto"/>
      </w:divBdr>
    </w:div>
    <w:div w:id="207114363">
      <w:bodyDiv w:val="1"/>
      <w:marLeft w:val="0"/>
      <w:marRight w:val="0"/>
      <w:marTop w:val="0"/>
      <w:marBottom w:val="0"/>
      <w:divBdr>
        <w:top w:val="none" w:sz="0" w:space="0" w:color="auto"/>
        <w:left w:val="none" w:sz="0" w:space="0" w:color="auto"/>
        <w:bottom w:val="none" w:sz="0" w:space="0" w:color="auto"/>
        <w:right w:val="none" w:sz="0" w:space="0" w:color="auto"/>
      </w:divBdr>
    </w:div>
    <w:div w:id="238564956">
      <w:bodyDiv w:val="1"/>
      <w:marLeft w:val="0"/>
      <w:marRight w:val="0"/>
      <w:marTop w:val="0"/>
      <w:marBottom w:val="0"/>
      <w:divBdr>
        <w:top w:val="none" w:sz="0" w:space="0" w:color="auto"/>
        <w:left w:val="none" w:sz="0" w:space="0" w:color="auto"/>
        <w:bottom w:val="none" w:sz="0" w:space="0" w:color="auto"/>
        <w:right w:val="none" w:sz="0" w:space="0" w:color="auto"/>
      </w:divBdr>
    </w:div>
    <w:div w:id="288054392">
      <w:bodyDiv w:val="1"/>
      <w:marLeft w:val="0"/>
      <w:marRight w:val="0"/>
      <w:marTop w:val="0"/>
      <w:marBottom w:val="0"/>
      <w:divBdr>
        <w:top w:val="none" w:sz="0" w:space="0" w:color="auto"/>
        <w:left w:val="none" w:sz="0" w:space="0" w:color="auto"/>
        <w:bottom w:val="none" w:sz="0" w:space="0" w:color="auto"/>
        <w:right w:val="none" w:sz="0" w:space="0" w:color="auto"/>
      </w:divBdr>
    </w:div>
    <w:div w:id="346030094">
      <w:bodyDiv w:val="1"/>
      <w:marLeft w:val="0"/>
      <w:marRight w:val="0"/>
      <w:marTop w:val="0"/>
      <w:marBottom w:val="0"/>
      <w:divBdr>
        <w:top w:val="none" w:sz="0" w:space="0" w:color="auto"/>
        <w:left w:val="none" w:sz="0" w:space="0" w:color="auto"/>
        <w:bottom w:val="none" w:sz="0" w:space="0" w:color="auto"/>
        <w:right w:val="none" w:sz="0" w:space="0" w:color="auto"/>
      </w:divBdr>
    </w:div>
    <w:div w:id="418525649">
      <w:bodyDiv w:val="1"/>
      <w:marLeft w:val="0"/>
      <w:marRight w:val="0"/>
      <w:marTop w:val="0"/>
      <w:marBottom w:val="0"/>
      <w:divBdr>
        <w:top w:val="none" w:sz="0" w:space="0" w:color="auto"/>
        <w:left w:val="none" w:sz="0" w:space="0" w:color="auto"/>
        <w:bottom w:val="none" w:sz="0" w:space="0" w:color="auto"/>
        <w:right w:val="none" w:sz="0" w:space="0" w:color="auto"/>
      </w:divBdr>
    </w:div>
    <w:div w:id="421993176">
      <w:bodyDiv w:val="1"/>
      <w:marLeft w:val="0"/>
      <w:marRight w:val="0"/>
      <w:marTop w:val="0"/>
      <w:marBottom w:val="0"/>
      <w:divBdr>
        <w:top w:val="none" w:sz="0" w:space="0" w:color="auto"/>
        <w:left w:val="none" w:sz="0" w:space="0" w:color="auto"/>
        <w:bottom w:val="none" w:sz="0" w:space="0" w:color="auto"/>
        <w:right w:val="none" w:sz="0" w:space="0" w:color="auto"/>
      </w:divBdr>
    </w:div>
    <w:div w:id="576282191">
      <w:bodyDiv w:val="1"/>
      <w:marLeft w:val="0"/>
      <w:marRight w:val="0"/>
      <w:marTop w:val="0"/>
      <w:marBottom w:val="0"/>
      <w:divBdr>
        <w:top w:val="none" w:sz="0" w:space="0" w:color="auto"/>
        <w:left w:val="none" w:sz="0" w:space="0" w:color="auto"/>
        <w:bottom w:val="none" w:sz="0" w:space="0" w:color="auto"/>
        <w:right w:val="none" w:sz="0" w:space="0" w:color="auto"/>
      </w:divBdr>
      <w:divsChild>
        <w:div w:id="545990314">
          <w:marLeft w:val="1123"/>
          <w:marRight w:val="0"/>
          <w:marTop w:val="60"/>
          <w:marBottom w:val="120"/>
          <w:divBdr>
            <w:top w:val="none" w:sz="0" w:space="0" w:color="auto"/>
            <w:left w:val="none" w:sz="0" w:space="0" w:color="auto"/>
            <w:bottom w:val="none" w:sz="0" w:space="0" w:color="auto"/>
            <w:right w:val="none" w:sz="0" w:space="0" w:color="auto"/>
          </w:divBdr>
        </w:div>
        <w:div w:id="481315246">
          <w:marLeft w:val="1123"/>
          <w:marRight w:val="0"/>
          <w:marTop w:val="60"/>
          <w:marBottom w:val="120"/>
          <w:divBdr>
            <w:top w:val="none" w:sz="0" w:space="0" w:color="auto"/>
            <w:left w:val="none" w:sz="0" w:space="0" w:color="auto"/>
            <w:bottom w:val="none" w:sz="0" w:space="0" w:color="auto"/>
            <w:right w:val="none" w:sz="0" w:space="0" w:color="auto"/>
          </w:divBdr>
        </w:div>
        <w:div w:id="889267819">
          <w:marLeft w:val="1123"/>
          <w:marRight w:val="0"/>
          <w:marTop w:val="60"/>
          <w:marBottom w:val="120"/>
          <w:divBdr>
            <w:top w:val="none" w:sz="0" w:space="0" w:color="auto"/>
            <w:left w:val="none" w:sz="0" w:space="0" w:color="auto"/>
            <w:bottom w:val="none" w:sz="0" w:space="0" w:color="auto"/>
            <w:right w:val="none" w:sz="0" w:space="0" w:color="auto"/>
          </w:divBdr>
        </w:div>
        <w:div w:id="742262301">
          <w:marLeft w:val="1123"/>
          <w:marRight w:val="0"/>
          <w:marTop w:val="60"/>
          <w:marBottom w:val="0"/>
          <w:divBdr>
            <w:top w:val="none" w:sz="0" w:space="0" w:color="auto"/>
            <w:left w:val="none" w:sz="0" w:space="0" w:color="auto"/>
            <w:bottom w:val="none" w:sz="0" w:space="0" w:color="auto"/>
            <w:right w:val="none" w:sz="0" w:space="0" w:color="auto"/>
          </w:divBdr>
        </w:div>
      </w:divsChild>
    </w:div>
    <w:div w:id="753478863">
      <w:bodyDiv w:val="1"/>
      <w:marLeft w:val="0"/>
      <w:marRight w:val="0"/>
      <w:marTop w:val="0"/>
      <w:marBottom w:val="0"/>
      <w:divBdr>
        <w:top w:val="none" w:sz="0" w:space="0" w:color="auto"/>
        <w:left w:val="none" w:sz="0" w:space="0" w:color="auto"/>
        <w:bottom w:val="none" w:sz="0" w:space="0" w:color="auto"/>
        <w:right w:val="none" w:sz="0" w:space="0" w:color="auto"/>
      </w:divBdr>
    </w:div>
    <w:div w:id="926384110">
      <w:bodyDiv w:val="1"/>
      <w:marLeft w:val="0"/>
      <w:marRight w:val="0"/>
      <w:marTop w:val="0"/>
      <w:marBottom w:val="0"/>
      <w:divBdr>
        <w:top w:val="none" w:sz="0" w:space="0" w:color="auto"/>
        <w:left w:val="none" w:sz="0" w:space="0" w:color="auto"/>
        <w:bottom w:val="none" w:sz="0" w:space="0" w:color="auto"/>
        <w:right w:val="none" w:sz="0" w:space="0" w:color="auto"/>
      </w:divBdr>
    </w:div>
    <w:div w:id="1023557381">
      <w:bodyDiv w:val="1"/>
      <w:marLeft w:val="0"/>
      <w:marRight w:val="0"/>
      <w:marTop w:val="0"/>
      <w:marBottom w:val="0"/>
      <w:divBdr>
        <w:top w:val="none" w:sz="0" w:space="0" w:color="auto"/>
        <w:left w:val="none" w:sz="0" w:space="0" w:color="auto"/>
        <w:bottom w:val="none" w:sz="0" w:space="0" w:color="auto"/>
        <w:right w:val="none" w:sz="0" w:space="0" w:color="auto"/>
      </w:divBdr>
    </w:div>
    <w:div w:id="1049843380">
      <w:bodyDiv w:val="1"/>
      <w:marLeft w:val="0"/>
      <w:marRight w:val="0"/>
      <w:marTop w:val="0"/>
      <w:marBottom w:val="0"/>
      <w:divBdr>
        <w:top w:val="none" w:sz="0" w:space="0" w:color="auto"/>
        <w:left w:val="none" w:sz="0" w:space="0" w:color="auto"/>
        <w:bottom w:val="none" w:sz="0" w:space="0" w:color="auto"/>
        <w:right w:val="none" w:sz="0" w:space="0" w:color="auto"/>
      </w:divBdr>
    </w:div>
    <w:div w:id="1204364757">
      <w:bodyDiv w:val="1"/>
      <w:marLeft w:val="0"/>
      <w:marRight w:val="0"/>
      <w:marTop w:val="0"/>
      <w:marBottom w:val="0"/>
      <w:divBdr>
        <w:top w:val="none" w:sz="0" w:space="0" w:color="auto"/>
        <w:left w:val="none" w:sz="0" w:space="0" w:color="auto"/>
        <w:bottom w:val="none" w:sz="0" w:space="0" w:color="auto"/>
        <w:right w:val="none" w:sz="0" w:space="0" w:color="auto"/>
      </w:divBdr>
      <w:divsChild>
        <w:div w:id="1486626155">
          <w:marLeft w:val="446"/>
          <w:marRight w:val="0"/>
          <w:marTop w:val="200"/>
          <w:marBottom w:val="0"/>
          <w:divBdr>
            <w:top w:val="none" w:sz="0" w:space="0" w:color="auto"/>
            <w:left w:val="none" w:sz="0" w:space="0" w:color="auto"/>
            <w:bottom w:val="none" w:sz="0" w:space="0" w:color="auto"/>
            <w:right w:val="none" w:sz="0" w:space="0" w:color="auto"/>
          </w:divBdr>
        </w:div>
        <w:div w:id="2091002788">
          <w:marLeft w:val="446"/>
          <w:marRight w:val="0"/>
          <w:marTop w:val="200"/>
          <w:marBottom w:val="0"/>
          <w:divBdr>
            <w:top w:val="none" w:sz="0" w:space="0" w:color="auto"/>
            <w:left w:val="none" w:sz="0" w:space="0" w:color="auto"/>
            <w:bottom w:val="none" w:sz="0" w:space="0" w:color="auto"/>
            <w:right w:val="none" w:sz="0" w:space="0" w:color="auto"/>
          </w:divBdr>
        </w:div>
        <w:div w:id="1018508603">
          <w:marLeft w:val="446"/>
          <w:marRight w:val="0"/>
          <w:marTop w:val="200"/>
          <w:marBottom w:val="0"/>
          <w:divBdr>
            <w:top w:val="none" w:sz="0" w:space="0" w:color="auto"/>
            <w:left w:val="none" w:sz="0" w:space="0" w:color="auto"/>
            <w:bottom w:val="none" w:sz="0" w:space="0" w:color="auto"/>
            <w:right w:val="none" w:sz="0" w:space="0" w:color="auto"/>
          </w:divBdr>
        </w:div>
        <w:div w:id="1273127785">
          <w:marLeft w:val="446"/>
          <w:marRight w:val="0"/>
          <w:marTop w:val="200"/>
          <w:marBottom w:val="0"/>
          <w:divBdr>
            <w:top w:val="none" w:sz="0" w:space="0" w:color="auto"/>
            <w:left w:val="none" w:sz="0" w:space="0" w:color="auto"/>
            <w:bottom w:val="none" w:sz="0" w:space="0" w:color="auto"/>
            <w:right w:val="none" w:sz="0" w:space="0" w:color="auto"/>
          </w:divBdr>
        </w:div>
      </w:divsChild>
    </w:div>
    <w:div w:id="1237083215">
      <w:bodyDiv w:val="1"/>
      <w:marLeft w:val="0"/>
      <w:marRight w:val="0"/>
      <w:marTop w:val="0"/>
      <w:marBottom w:val="0"/>
      <w:divBdr>
        <w:top w:val="none" w:sz="0" w:space="0" w:color="auto"/>
        <w:left w:val="none" w:sz="0" w:space="0" w:color="auto"/>
        <w:bottom w:val="none" w:sz="0" w:space="0" w:color="auto"/>
        <w:right w:val="none" w:sz="0" w:space="0" w:color="auto"/>
      </w:divBdr>
      <w:divsChild>
        <w:div w:id="143470099">
          <w:marLeft w:val="446"/>
          <w:marRight w:val="0"/>
          <w:marTop w:val="0"/>
          <w:marBottom w:val="240"/>
          <w:divBdr>
            <w:top w:val="none" w:sz="0" w:space="0" w:color="auto"/>
            <w:left w:val="none" w:sz="0" w:space="0" w:color="auto"/>
            <w:bottom w:val="none" w:sz="0" w:space="0" w:color="auto"/>
            <w:right w:val="none" w:sz="0" w:space="0" w:color="auto"/>
          </w:divBdr>
        </w:div>
        <w:div w:id="245699870">
          <w:marLeft w:val="446"/>
          <w:marRight w:val="0"/>
          <w:marTop w:val="0"/>
          <w:marBottom w:val="240"/>
          <w:divBdr>
            <w:top w:val="none" w:sz="0" w:space="0" w:color="auto"/>
            <w:left w:val="none" w:sz="0" w:space="0" w:color="auto"/>
            <w:bottom w:val="none" w:sz="0" w:space="0" w:color="auto"/>
            <w:right w:val="none" w:sz="0" w:space="0" w:color="auto"/>
          </w:divBdr>
        </w:div>
        <w:div w:id="1835876113">
          <w:marLeft w:val="446"/>
          <w:marRight w:val="0"/>
          <w:marTop w:val="0"/>
          <w:marBottom w:val="240"/>
          <w:divBdr>
            <w:top w:val="none" w:sz="0" w:space="0" w:color="auto"/>
            <w:left w:val="none" w:sz="0" w:space="0" w:color="auto"/>
            <w:bottom w:val="none" w:sz="0" w:space="0" w:color="auto"/>
            <w:right w:val="none" w:sz="0" w:space="0" w:color="auto"/>
          </w:divBdr>
        </w:div>
        <w:div w:id="1348168191">
          <w:marLeft w:val="446"/>
          <w:marRight w:val="0"/>
          <w:marTop w:val="0"/>
          <w:marBottom w:val="240"/>
          <w:divBdr>
            <w:top w:val="none" w:sz="0" w:space="0" w:color="auto"/>
            <w:left w:val="none" w:sz="0" w:space="0" w:color="auto"/>
            <w:bottom w:val="none" w:sz="0" w:space="0" w:color="auto"/>
            <w:right w:val="none" w:sz="0" w:space="0" w:color="auto"/>
          </w:divBdr>
        </w:div>
        <w:div w:id="294069723">
          <w:marLeft w:val="446"/>
          <w:marRight w:val="0"/>
          <w:marTop w:val="0"/>
          <w:marBottom w:val="240"/>
          <w:divBdr>
            <w:top w:val="none" w:sz="0" w:space="0" w:color="auto"/>
            <w:left w:val="none" w:sz="0" w:space="0" w:color="auto"/>
            <w:bottom w:val="none" w:sz="0" w:space="0" w:color="auto"/>
            <w:right w:val="none" w:sz="0" w:space="0" w:color="auto"/>
          </w:divBdr>
        </w:div>
      </w:divsChild>
    </w:div>
    <w:div w:id="1245265857">
      <w:bodyDiv w:val="1"/>
      <w:marLeft w:val="0"/>
      <w:marRight w:val="0"/>
      <w:marTop w:val="0"/>
      <w:marBottom w:val="0"/>
      <w:divBdr>
        <w:top w:val="none" w:sz="0" w:space="0" w:color="auto"/>
        <w:left w:val="none" w:sz="0" w:space="0" w:color="auto"/>
        <w:bottom w:val="none" w:sz="0" w:space="0" w:color="auto"/>
        <w:right w:val="none" w:sz="0" w:space="0" w:color="auto"/>
      </w:divBdr>
    </w:div>
    <w:div w:id="1293905984">
      <w:bodyDiv w:val="1"/>
      <w:marLeft w:val="0"/>
      <w:marRight w:val="0"/>
      <w:marTop w:val="0"/>
      <w:marBottom w:val="0"/>
      <w:divBdr>
        <w:top w:val="none" w:sz="0" w:space="0" w:color="auto"/>
        <w:left w:val="none" w:sz="0" w:space="0" w:color="auto"/>
        <w:bottom w:val="none" w:sz="0" w:space="0" w:color="auto"/>
        <w:right w:val="none" w:sz="0" w:space="0" w:color="auto"/>
      </w:divBdr>
      <w:divsChild>
        <w:div w:id="1618294839">
          <w:marLeft w:val="446"/>
          <w:marRight w:val="0"/>
          <w:marTop w:val="0"/>
          <w:marBottom w:val="120"/>
          <w:divBdr>
            <w:top w:val="none" w:sz="0" w:space="0" w:color="auto"/>
            <w:left w:val="none" w:sz="0" w:space="0" w:color="auto"/>
            <w:bottom w:val="none" w:sz="0" w:space="0" w:color="auto"/>
            <w:right w:val="none" w:sz="0" w:space="0" w:color="auto"/>
          </w:divBdr>
        </w:div>
        <w:div w:id="311832565">
          <w:marLeft w:val="446"/>
          <w:marRight w:val="0"/>
          <w:marTop w:val="0"/>
          <w:marBottom w:val="240"/>
          <w:divBdr>
            <w:top w:val="none" w:sz="0" w:space="0" w:color="auto"/>
            <w:left w:val="none" w:sz="0" w:space="0" w:color="auto"/>
            <w:bottom w:val="none" w:sz="0" w:space="0" w:color="auto"/>
            <w:right w:val="none" w:sz="0" w:space="0" w:color="auto"/>
          </w:divBdr>
        </w:div>
      </w:divsChild>
    </w:div>
    <w:div w:id="1360812075">
      <w:bodyDiv w:val="1"/>
      <w:marLeft w:val="0"/>
      <w:marRight w:val="0"/>
      <w:marTop w:val="0"/>
      <w:marBottom w:val="0"/>
      <w:divBdr>
        <w:top w:val="none" w:sz="0" w:space="0" w:color="auto"/>
        <w:left w:val="none" w:sz="0" w:space="0" w:color="auto"/>
        <w:bottom w:val="none" w:sz="0" w:space="0" w:color="auto"/>
        <w:right w:val="none" w:sz="0" w:space="0" w:color="auto"/>
      </w:divBdr>
    </w:div>
    <w:div w:id="1391885075">
      <w:bodyDiv w:val="1"/>
      <w:marLeft w:val="0"/>
      <w:marRight w:val="0"/>
      <w:marTop w:val="0"/>
      <w:marBottom w:val="0"/>
      <w:divBdr>
        <w:top w:val="none" w:sz="0" w:space="0" w:color="auto"/>
        <w:left w:val="none" w:sz="0" w:space="0" w:color="auto"/>
        <w:bottom w:val="none" w:sz="0" w:space="0" w:color="auto"/>
        <w:right w:val="none" w:sz="0" w:space="0" w:color="auto"/>
      </w:divBdr>
    </w:div>
    <w:div w:id="1496067423">
      <w:bodyDiv w:val="1"/>
      <w:marLeft w:val="0"/>
      <w:marRight w:val="0"/>
      <w:marTop w:val="0"/>
      <w:marBottom w:val="0"/>
      <w:divBdr>
        <w:top w:val="none" w:sz="0" w:space="0" w:color="auto"/>
        <w:left w:val="none" w:sz="0" w:space="0" w:color="auto"/>
        <w:bottom w:val="none" w:sz="0" w:space="0" w:color="auto"/>
        <w:right w:val="none" w:sz="0" w:space="0" w:color="auto"/>
      </w:divBdr>
    </w:div>
    <w:div w:id="1563901485">
      <w:bodyDiv w:val="1"/>
      <w:marLeft w:val="0"/>
      <w:marRight w:val="0"/>
      <w:marTop w:val="0"/>
      <w:marBottom w:val="0"/>
      <w:divBdr>
        <w:top w:val="none" w:sz="0" w:space="0" w:color="auto"/>
        <w:left w:val="none" w:sz="0" w:space="0" w:color="auto"/>
        <w:bottom w:val="none" w:sz="0" w:space="0" w:color="auto"/>
        <w:right w:val="none" w:sz="0" w:space="0" w:color="auto"/>
      </w:divBdr>
    </w:div>
    <w:div w:id="1573126800">
      <w:bodyDiv w:val="1"/>
      <w:marLeft w:val="0"/>
      <w:marRight w:val="0"/>
      <w:marTop w:val="0"/>
      <w:marBottom w:val="0"/>
      <w:divBdr>
        <w:top w:val="none" w:sz="0" w:space="0" w:color="auto"/>
        <w:left w:val="none" w:sz="0" w:space="0" w:color="auto"/>
        <w:bottom w:val="none" w:sz="0" w:space="0" w:color="auto"/>
        <w:right w:val="none" w:sz="0" w:space="0" w:color="auto"/>
      </w:divBdr>
    </w:div>
    <w:div w:id="1611739386">
      <w:bodyDiv w:val="1"/>
      <w:marLeft w:val="0"/>
      <w:marRight w:val="0"/>
      <w:marTop w:val="0"/>
      <w:marBottom w:val="0"/>
      <w:divBdr>
        <w:top w:val="none" w:sz="0" w:space="0" w:color="auto"/>
        <w:left w:val="none" w:sz="0" w:space="0" w:color="auto"/>
        <w:bottom w:val="none" w:sz="0" w:space="0" w:color="auto"/>
        <w:right w:val="none" w:sz="0" w:space="0" w:color="auto"/>
      </w:divBdr>
    </w:div>
    <w:div w:id="1622957314">
      <w:bodyDiv w:val="1"/>
      <w:marLeft w:val="0"/>
      <w:marRight w:val="0"/>
      <w:marTop w:val="0"/>
      <w:marBottom w:val="0"/>
      <w:divBdr>
        <w:top w:val="none" w:sz="0" w:space="0" w:color="auto"/>
        <w:left w:val="none" w:sz="0" w:space="0" w:color="auto"/>
        <w:bottom w:val="none" w:sz="0" w:space="0" w:color="auto"/>
        <w:right w:val="none" w:sz="0" w:space="0" w:color="auto"/>
      </w:divBdr>
    </w:div>
    <w:div w:id="1664821028">
      <w:bodyDiv w:val="1"/>
      <w:marLeft w:val="0"/>
      <w:marRight w:val="0"/>
      <w:marTop w:val="0"/>
      <w:marBottom w:val="0"/>
      <w:divBdr>
        <w:top w:val="none" w:sz="0" w:space="0" w:color="auto"/>
        <w:left w:val="none" w:sz="0" w:space="0" w:color="auto"/>
        <w:bottom w:val="none" w:sz="0" w:space="0" w:color="auto"/>
        <w:right w:val="none" w:sz="0" w:space="0" w:color="auto"/>
      </w:divBdr>
    </w:div>
    <w:div w:id="1665739410">
      <w:bodyDiv w:val="1"/>
      <w:marLeft w:val="0"/>
      <w:marRight w:val="0"/>
      <w:marTop w:val="0"/>
      <w:marBottom w:val="0"/>
      <w:divBdr>
        <w:top w:val="none" w:sz="0" w:space="0" w:color="auto"/>
        <w:left w:val="none" w:sz="0" w:space="0" w:color="auto"/>
        <w:bottom w:val="none" w:sz="0" w:space="0" w:color="auto"/>
        <w:right w:val="none" w:sz="0" w:space="0" w:color="auto"/>
      </w:divBdr>
    </w:div>
    <w:div w:id="1754814733">
      <w:bodyDiv w:val="1"/>
      <w:marLeft w:val="0"/>
      <w:marRight w:val="0"/>
      <w:marTop w:val="0"/>
      <w:marBottom w:val="0"/>
      <w:divBdr>
        <w:top w:val="none" w:sz="0" w:space="0" w:color="auto"/>
        <w:left w:val="none" w:sz="0" w:space="0" w:color="auto"/>
        <w:bottom w:val="none" w:sz="0" w:space="0" w:color="auto"/>
        <w:right w:val="none" w:sz="0" w:space="0" w:color="auto"/>
      </w:divBdr>
    </w:div>
    <w:div w:id="1815443519">
      <w:bodyDiv w:val="1"/>
      <w:marLeft w:val="0"/>
      <w:marRight w:val="0"/>
      <w:marTop w:val="0"/>
      <w:marBottom w:val="0"/>
      <w:divBdr>
        <w:top w:val="none" w:sz="0" w:space="0" w:color="auto"/>
        <w:left w:val="none" w:sz="0" w:space="0" w:color="auto"/>
        <w:bottom w:val="none" w:sz="0" w:space="0" w:color="auto"/>
        <w:right w:val="none" w:sz="0" w:space="0" w:color="auto"/>
      </w:divBdr>
    </w:div>
    <w:div w:id="1820726383">
      <w:bodyDiv w:val="1"/>
      <w:marLeft w:val="0"/>
      <w:marRight w:val="0"/>
      <w:marTop w:val="0"/>
      <w:marBottom w:val="0"/>
      <w:divBdr>
        <w:top w:val="none" w:sz="0" w:space="0" w:color="auto"/>
        <w:left w:val="none" w:sz="0" w:space="0" w:color="auto"/>
        <w:bottom w:val="none" w:sz="0" w:space="0" w:color="auto"/>
        <w:right w:val="none" w:sz="0" w:space="0" w:color="auto"/>
      </w:divBdr>
    </w:div>
    <w:div w:id="1848207748">
      <w:bodyDiv w:val="1"/>
      <w:marLeft w:val="0"/>
      <w:marRight w:val="0"/>
      <w:marTop w:val="0"/>
      <w:marBottom w:val="0"/>
      <w:divBdr>
        <w:top w:val="none" w:sz="0" w:space="0" w:color="auto"/>
        <w:left w:val="none" w:sz="0" w:space="0" w:color="auto"/>
        <w:bottom w:val="none" w:sz="0" w:space="0" w:color="auto"/>
        <w:right w:val="none" w:sz="0" w:space="0" w:color="auto"/>
      </w:divBdr>
    </w:div>
    <w:div w:id="1868173141">
      <w:bodyDiv w:val="1"/>
      <w:marLeft w:val="0"/>
      <w:marRight w:val="0"/>
      <w:marTop w:val="0"/>
      <w:marBottom w:val="0"/>
      <w:divBdr>
        <w:top w:val="none" w:sz="0" w:space="0" w:color="auto"/>
        <w:left w:val="none" w:sz="0" w:space="0" w:color="auto"/>
        <w:bottom w:val="none" w:sz="0" w:space="0" w:color="auto"/>
        <w:right w:val="none" w:sz="0" w:space="0" w:color="auto"/>
      </w:divBdr>
    </w:div>
    <w:div w:id="1913848669">
      <w:bodyDiv w:val="1"/>
      <w:marLeft w:val="0"/>
      <w:marRight w:val="0"/>
      <w:marTop w:val="0"/>
      <w:marBottom w:val="0"/>
      <w:divBdr>
        <w:top w:val="none" w:sz="0" w:space="0" w:color="auto"/>
        <w:left w:val="none" w:sz="0" w:space="0" w:color="auto"/>
        <w:bottom w:val="none" w:sz="0" w:space="0" w:color="auto"/>
        <w:right w:val="none" w:sz="0" w:space="0" w:color="auto"/>
      </w:divBdr>
      <w:divsChild>
        <w:div w:id="641619084">
          <w:marLeft w:val="446"/>
          <w:marRight w:val="0"/>
          <w:marTop w:val="0"/>
          <w:marBottom w:val="120"/>
          <w:divBdr>
            <w:top w:val="none" w:sz="0" w:space="0" w:color="auto"/>
            <w:left w:val="none" w:sz="0" w:space="0" w:color="auto"/>
            <w:bottom w:val="none" w:sz="0" w:space="0" w:color="auto"/>
            <w:right w:val="none" w:sz="0" w:space="0" w:color="auto"/>
          </w:divBdr>
        </w:div>
        <w:div w:id="1897626625">
          <w:marLeft w:val="446"/>
          <w:marRight w:val="0"/>
          <w:marTop w:val="0"/>
          <w:marBottom w:val="120"/>
          <w:divBdr>
            <w:top w:val="none" w:sz="0" w:space="0" w:color="auto"/>
            <w:left w:val="none" w:sz="0" w:space="0" w:color="auto"/>
            <w:bottom w:val="none" w:sz="0" w:space="0" w:color="auto"/>
            <w:right w:val="none" w:sz="0" w:space="0" w:color="auto"/>
          </w:divBdr>
        </w:div>
        <w:div w:id="1050769842">
          <w:marLeft w:val="1166"/>
          <w:marRight w:val="0"/>
          <w:marTop w:val="0"/>
          <w:marBottom w:val="120"/>
          <w:divBdr>
            <w:top w:val="none" w:sz="0" w:space="0" w:color="auto"/>
            <w:left w:val="none" w:sz="0" w:space="0" w:color="auto"/>
            <w:bottom w:val="none" w:sz="0" w:space="0" w:color="auto"/>
            <w:right w:val="none" w:sz="0" w:space="0" w:color="auto"/>
          </w:divBdr>
        </w:div>
        <w:div w:id="1273434726">
          <w:marLeft w:val="446"/>
          <w:marRight w:val="0"/>
          <w:marTop w:val="0"/>
          <w:marBottom w:val="120"/>
          <w:divBdr>
            <w:top w:val="none" w:sz="0" w:space="0" w:color="auto"/>
            <w:left w:val="none" w:sz="0" w:space="0" w:color="auto"/>
            <w:bottom w:val="none" w:sz="0" w:space="0" w:color="auto"/>
            <w:right w:val="none" w:sz="0" w:space="0" w:color="auto"/>
          </w:divBdr>
        </w:div>
        <w:div w:id="283394110">
          <w:marLeft w:val="1166"/>
          <w:marRight w:val="0"/>
          <w:marTop w:val="0"/>
          <w:marBottom w:val="120"/>
          <w:divBdr>
            <w:top w:val="none" w:sz="0" w:space="0" w:color="auto"/>
            <w:left w:val="none" w:sz="0" w:space="0" w:color="auto"/>
            <w:bottom w:val="none" w:sz="0" w:space="0" w:color="auto"/>
            <w:right w:val="none" w:sz="0" w:space="0" w:color="auto"/>
          </w:divBdr>
        </w:div>
        <w:div w:id="615790513">
          <w:marLeft w:val="446"/>
          <w:marRight w:val="0"/>
          <w:marTop w:val="0"/>
          <w:marBottom w:val="120"/>
          <w:divBdr>
            <w:top w:val="none" w:sz="0" w:space="0" w:color="auto"/>
            <w:left w:val="none" w:sz="0" w:space="0" w:color="auto"/>
            <w:bottom w:val="none" w:sz="0" w:space="0" w:color="auto"/>
            <w:right w:val="none" w:sz="0" w:space="0" w:color="auto"/>
          </w:divBdr>
        </w:div>
        <w:div w:id="10377615">
          <w:marLeft w:val="1166"/>
          <w:marRight w:val="0"/>
          <w:marTop w:val="0"/>
          <w:marBottom w:val="240"/>
          <w:divBdr>
            <w:top w:val="none" w:sz="0" w:space="0" w:color="auto"/>
            <w:left w:val="none" w:sz="0" w:space="0" w:color="auto"/>
            <w:bottom w:val="none" w:sz="0" w:space="0" w:color="auto"/>
            <w:right w:val="none" w:sz="0" w:space="0" w:color="auto"/>
          </w:divBdr>
        </w:div>
      </w:divsChild>
    </w:div>
    <w:div w:id="1954634767">
      <w:bodyDiv w:val="1"/>
      <w:marLeft w:val="0"/>
      <w:marRight w:val="0"/>
      <w:marTop w:val="0"/>
      <w:marBottom w:val="0"/>
      <w:divBdr>
        <w:top w:val="none" w:sz="0" w:space="0" w:color="auto"/>
        <w:left w:val="none" w:sz="0" w:space="0" w:color="auto"/>
        <w:bottom w:val="none" w:sz="0" w:space="0" w:color="auto"/>
        <w:right w:val="none" w:sz="0" w:space="0" w:color="auto"/>
      </w:divBdr>
    </w:div>
    <w:div w:id="1962417921">
      <w:bodyDiv w:val="1"/>
      <w:marLeft w:val="0"/>
      <w:marRight w:val="0"/>
      <w:marTop w:val="0"/>
      <w:marBottom w:val="0"/>
      <w:divBdr>
        <w:top w:val="none" w:sz="0" w:space="0" w:color="auto"/>
        <w:left w:val="none" w:sz="0" w:space="0" w:color="auto"/>
        <w:bottom w:val="none" w:sz="0" w:space="0" w:color="auto"/>
        <w:right w:val="none" w:sz="0" w:space="0" w:color="auto"/>
      </w:divBdr>
      <w:divsChild>
        <w:div w:id="876236283">
          <w:marLeft w:val="446"/>
          <w:marRight w:val="0"/>
          <w:marTop w:val="0"/>
          <w:marBottom w:val="120"/>
          <w:divBdr>
            <w:top w:val="none" w:sz="0" w:space="0" w:color="auto"/>
            <w:left w:val="none" w:sz="0" w:space="0" w:color="auto"/>
            <w:bottom w:val="none" w:sz="0" w:space="0" w:color="auto"/>
            <w:right w:val="none" w:sz="0" w:space="0" w:color="auto"/>
          </w:divBdr>
        </w:div>
        <w:div w:id="735710492">
          <w:marLeft w:val="446"/>
          <w:marRight w:val="0"/>
          <w:marTop w:val="0"/>
          <w:marBottom w:val="120"/>
          <w:divBdr>
            <w:top w:val="none" w:sz="0" w:space="0" w:color="auto"/>
            <w:left w:val="none" w:sz="0" w:space="0" w:color="auto"/>
            <w:bottom w:val="none" w:sz="0" w:space="0" w:color="auto"/>
            <w:right w:val="none" w:sz="0" w:space="0" w:color="auto"/>
          </w:divBdr>
        </w:div>
        <w:div w:id="1771928434">
          <w:marLeft w:val="446"/>
          <w:marRight w:val="0"/>
          <w:marTop w:val="0"/>
          <w:marBottom w:val="120"/>
          <w:divBdr>
            <w:top w:val="none" w:sz="0" w:space="0" w:color="auto"/>
            <w:left w:val="none" w:sz="0" w:space="0" w:color="auto"/>
            <w:bottom w:val="none" w:sz="0" w:space="0" w:color="auto"/>
            <w:right w:val="none" w:sz="0" w:space="0" w:color="auto"/>
          </w:divBdr>
        </w:div>
      </w:divsChild>
    </w:div>
    <w:div w:id="1987006544">
      <w:bodyDiv w:val="1"/>
      <w:marLeft w:val="0"/>
      <w:marRight w:val="0"/>
      <w:marTop w:val="0"/>
      <w:marBottom w:val="0"/>
      <w:divBdr>
        <w:top w:val="none" w:sz="0" w:space="0" w:color="auto"/>
        <w:left w:val="none" w:sz="0" w:space="0" w:color="auto"/>
        <w:bottom w:val="none" w:sz="0" w:space="0" w:color="auto"/>
        <w:right w:val="none" w:sz="0" w:space="0" w:color="auto"/>
      </w:divBdr>
      <w:divsChild>
        <w:div w:id="1059748234">
          <w:marLeft w:val="446"/>
          <w:marRight w:val="0"/>
          <w:marTop w:val="200"/>
          <w:marBottom w:val="0"/>
          <w:divBdr>
            <w:top w:val="none" w:sz="0" w:space="0" w:color="auto"/>
            <w:left w:val="none" w:sz="0" w:space="0" w:color="auto"/>
            <w:bottom w:val="none" w:sz="0" w:space="0" w:color="auto"/>
            <w:right w:val="none" w:sz="0" w:space="0" w:color="auto"/>
          </w:divBdr>
        </w:div>
        <w:div w:id="166019378">
          <w:marLeft w:val="446"/>
          <w:marRight w:val="0"/>
          <w:marTop w:val="200"/>
          <w:marBottom w:val="0"/>
          <w:divBdr>
            <w:top w:val="none" w:sz="0" w:space="0" w:color="auto"/>
            <w:left w:val="none" w:sz="0" w:space="0" w:color="auto"/>
            <w:bottom w:val="none" w:sz="0" w:space="0" w:color="auto"/>
            <w:right w:val="none" w:sz="0" w:space="0" w:color="auto"/>
          </w:divBdr>
        </w:div>
        <w:div w:id="838351402">
          <w:marLeft w:val="446"/>
          <w:marRight w:val="0"/>
          <w:marTop w:val="200"/>
          <w:marBottom w:val="0"/>
          <w:divBdr>
            <w:top w:val="none" w:sz="0" w:space="0" w:color="auto"/>
            <w:left w:val="none" w:sz="0" w:space="0" w:color="auto"/>
            <w:bottom w:val="none" w:sz="0" w:space="0" w:color="auto"/>
            <w:right w:val="none" w:sz="0" w:space="0" w:color="auto"/>
          </w:divBdr>
        </w:div>
        <w:div w:id="1169056641">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creativecommons.org/licenses/by/3.0/au/" TargetMode="External"/><Relationship Id="rId26" Type="http://schemas.openxmlformats.org/officeDocument/2006/relationships/header" Target="header5.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yperlink" Target="mailto:IPpolicy@dtf.vic.gov.au" TargetMode="Externa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reativecommons.org/licenses/by/4.0/"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tf.vic.gov.au" TargetMode="External"/><Relationship Id="rId28" Type="http://schemas.openxmlformats.org/officeDocument/2006/relationships/footer" Target="footer5.xml"/><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file:///C:\www.vic.gov.au\towards-best-practice-guide-regulat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information@dtf.vic.gov.au" TargetMode="External"/><Relationship Id="rId27" Type="http://schemas.openxmlformats.org/officeDocument/2006/relationships/header" Target="header6.xml"/><Relationship Id="rId30" Type="http://schemas.openxmlformats.org/officeDocument/2006/relationships/hyperlink" Target="https://www.vic.gov.au/towards-best-practice-guide-regulators" TargetMode="External"/><Relationship Id="rId35" Type="http://schemas.openxmlformats.org/officeDocument/2006/relationships/footer" Target="footer8.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Reports.dotm" TargetMode="External"/></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C030F27E737E4B82F276836E62941D" ma:contentTypeVersion="7" ma:contentTypeDescription="Create a new document." ma:contentTypeScope="" ma:versionID="36a6d129078cc37533ac86d358c93f99">
  <xsd:schema xmlns:xsd="http://www.w3.org/2001/XMLSchema" xmlns:xs="http://www.w3.org/2001/XMLSchema" xmlns:p="http://schemas.microsoft.com/office/2006/metadata/properties" xmlns:ns3="6c7ebd3a-55dd-45de-a274-621637d9157d" xmlns:ns4="cfd0c00f-5d18-46e1-8b1f-0c853e17d861" targetNamespace="http://schemas.microsoft.com/office/2006/metadata/properties" ma:root="true" ma:fieldsID="39c3d81626e5bec14d831232a9187a7f" ns3:_="" ns4:_="">
    <xsd:import namespace="6c7ebd3a-55dd-45de-a274-621637d9157d"/>
    <xsd:import namespace="cfd0c00f-5d18-46e1-8b1f-0c853e17d8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ebd3a-55dd-45de-a274-621637d91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0c00f-5d18-46e1-8b1f-0c853e17d8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3B75EC5-EDE4-495C-88FD-9F957C307CFE}">
  <ds:schemaRefs>
    <ds:schemaRef ds:uri="http://schemas.openxmlformats.org/officeDocument/2006/bibliography"/>
  </ds:schemaRefs>
</ds:datastoreItem>
</file>

<file path=customXml/itemProps2.xml><?xml version="1.0" encoding="utf-8"?>
<ds:datastoreItem xmlns:ds="http://schemas.openxmlformats.org/officeDocument/2006/customXml" ds:itemID="{D95B8F2D-0413-4D42-953B-4CD4AF3478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A3A514-B85B-46EB-8B6B-308F03318FB3}">
  <ds:schemaRefs>
    <ds:schemaRef ds:uri="http://schemas.microsoft.com/sharepoint/v3/contenttype/forms"/>
  </ds:schemaRefs>
</ds:datastoreItem>
</file>

<file path=customXml/itemProps4.xml><?xml version="1.0" encoding="utf-8"?>
<ds:datastoreItem xmlns:ds="http://schemas.openxmlformats.org/officeDocument/2006/customXml" ds:itemID="{E6FF19FC-64C1-46EF-A349-0C6CCECC1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ebd3a-55dd-45de-a274-621637d9157d"/>
    <ds:schemaRef ds:uri="cfd0c00f-5d18-46e1-8b1f-0c853e17d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3E7EC2-0C2D-4CFA-BE41-7EFC5362CBD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Reports.dotm</Template>
  <TotalTime>10</TotalTime>
  <Pages>21</Pages>
  <Words>4481</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Johnson (DTF)</dc:creator>
  <cp:lastModifiedBy>Susan Zhao (DTF)</cp:lastModifiedBy>
  <cp:revision>4</cp:revision>
  <cp:lastPrinted>2023-04-13T07:10:00Z</cp:lastPrinted>
  <dcterms:created xsi:type="dcterms:W3CDTF">2023-08-07T04:53:00Z</dcterms:created>
  <dcterms:modified xsi:type="dcterms:W3CDTF">2023-08-07T04:56:00Z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ContentTypeId">
    <vt:lpwstr>0x010100EAC030F27E737E4B82F276836E62941D</vt:lpwstr>
  </property>
  <property fmtid="{D5CDD505-2E9C-101B-9397-08002B2CF9AE}" pid="5" name="MSIP_Label_bb4ee517-5ca4-4fff-98d2-ed4f906edd6d_Enabled">
    <vt:lpwstr>true</vt:lpwstr>
  </property>
  <property fmtid="{D5CDD505-2E9C-101B-9397-08002B2CF9AE}" pid="6" name="MSIP_Label_bb4ee517-5ca4-4fff-98d2-ed4f906edd6d_SetDate">
    <vt:lpwstr>2023-04-13T07:08:01Z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e7fea69f-1b42-4285-8a53-409577d9e32f</vt:lpwstr>
  </property>
  <property fmtid="{D5CDD505-2E9C-101B-9397-08002B2CF9AE}" pid="11" name="MSIP_Label_bb4ee517-5ca4-4fff-98d2-ed4f906edd6d_ContentBits">
    <vt:lpwstr>0</vt:lpwstr>
  </property>
</Properties>
</file>